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D1505">
      <w:pPr>
        <w:spacing w:before="0" w:after="240" w:line="360" w:lineRule="auto"/>
        <w:jc w:val="center"/>
      </w:pPr>
      <w:r>
        <w:rPr>
          <w:rFonts w:ascii="Times New Roman" w:hAnsi="Times New Roman" w:eastAsia="宋体"/>
          <w:b/>
          <w:sz w:val="32"/>
        </w:rPr>
        <w:t>《常见风湿免疫疾病中西医结合临床诊疗指南</w:t>
      </w:r>
      <w:r>
        <w:rPr>
          <w:rFonts w:ascii="Times New Roman" w:hAnsi="Times New Roman" w:eastAsia="宋体"/>
          <w:b/>
          <w:sz w:val="32"/>
        </w:rPr>
        <w:br w:type="textWrapping"/>
      </w:r>
      <w:r>
        <w:rPr>
          <w:rFonts w:ascii="Times New Roman" w:hAnsi="Times New Roman" w:eastAsia="宋体"/>
          <w:b/>
          <w:sz w:val="32"/>
        </w:rPr>
        <w:t>系统性红斑狼疮》团体标准编制说明</w:t>
      </w:r>
    </w:p>
    <w:p w14:paraId="6E17C960">
      <w:pPr>
        <w:spacing w:before="160" w:after="80" w:line="360" w:lineRule="auto"/>
      </w:pPr>
      <w:r>
        <w:rPr>
          <w:rFonts w:ascii="Times New Roman" w:hAnsi="Times New Roman" w:eastAsia="黑体"/>
          <w:b/>
          <w:sz w:val="28"/>
        </w:rPr>
        <w:t>一、标准编制背景及任务来源</w:t>
      </w:r>
    </w:p>
    <w:p w14:paraId="4628737D">
      <w:pPr>
        <w:spacing w:before="160" w:after="80" w:line="360" w:lineRule="auto"/>
      </w:pPr>
      <w:r>
        <w:rPr>
          <w:rFonts w:ascii="Times New Roman" w:hAnsi="Times New Roman" w:eastAsia="黑体"/>
          <w:b/>
          <w:sz w:val="24"/>
        </w:rPr>
        <w:t>（一）标准编制背景</w:t>
      </w:r>
    </w:p>
    <w:p w14:paraId="576F1079">
      <w:pPr>
        <w:spacing w:before="0" w:after="0" w:line="360" w:lineRule="auto"/>
        <w:ind w:firstLine="480"/>
      </w:pPr>
      <w:r>
        <w:rPr>
          <w:rFonts w:ascii="Times New Roman" w:hAnsi="Times New Roman" w:eastAsia="宋体"/>
          <w:b w:val="0"/>
          <w:sz w:val="24"/>
        </w:rPr>
        <w:t>系统性红斑狼疮（systemic lupus erythematosus，SLE）是一种累及多系统、多器官的自身免疫性疾病，以全身多个系统和脏器受累、反复复发与缓解、体内存在大量自身抗体为主要临床特点。SLE全球发病率约为（1.4～11.0）/10万，我国发病率约14.09/10万，男女患病比为1∶10～1∶12，好发于15～45岁育龄期女性。随着SLE诊治水平的不断提高，患者5年生存率已从20世纪50年代的50%～60%升至目前的超过95%，SLE已由过去的急性、高致死性疾病转变为慢性、可控性疾病。</w:t>
      </w:r>
    </w:p>
    <w:p w14:paraId="5D6F8E05">
      <w:pPr>
        <w:spacing w:before="0" w:after="0" w:line="360" w:lineRule="auto"/>
        <w:ind w:firstLine="480"/>
      </w:pPr>
      <w:r>
        <w:rPr>
          <w:rFonts w:ascii="Times New Roman" w:hAnsi="Times New Roman" w:eastAsia="宋体"/>
          <w:b w:val="0"/>
          <w:sz w:val="24"/>
        </w:rPr>
        <w:t>然而，SLE的诊疗仍面临诸多挑战：一是疾病异质性大，临床表现复杂多样，涉及皮肤、关节、肾脏、血液、神经精神等多个系统，诊疗难度大；二是中西医结合诊疗缺乏统一规范，中医辨证分型与西医病情评估未能有效结合，影响了诊疗效果的提升；三是我国SLE患者基数大，但规范化诊疗水平参差不齐，基层医疗机构诊疗能力不足；四是随着生物制剂等新型治疗手段的不断涌现，亟需建立涵盖中西医并重、全病程管理的标准化诊疗方案，以指导各级医疗机构临床实践。</w:t>
      </w:r>
    </w:p>
    <w:p w14:paraId="4D42D914">
      <w:pPr>
        <w:spacing w:before="0" w:after="0" w:line="360" w:lineRule="auto"/>
        <w:ind w:firstLine="480"/>
      </w:pPr>
      <w:r>
        <w:rPr>
          <w:rFonts w:ascii="Times New Roman" w:hAnsi="Times New Roman" w:eastAsia="宋体"/>
          <w:b w:val="0"/>
          <w:sz w:val="24"/>
        </w:rPr>
        <w:t>中医药在SLE治疗中具有独特优势。中医古籍中与SLE相关的记载颇多，如“蝴蝶斑”“红蝴蝶疮”“阴阳毒”“痹证”等，认为本病以阴虚血热为核心病机，瘀血阻滞贯穿疾病始终，可概括为毒、瘀、虚三个主要方面。中西医结合治疗SLE在增效减毒、改善症状、减少复发、提高生活质量等方面显示出良好效果。但目前国内针对SLE中西医结合诊疗的团体标准仍有待完善，制约了中西医结合诊疗模式的规范化推广与应用。</w:t>
      </w:r>
    </w:p>
    <w:p w14:paraId="0910C0C2">
      <w:pPr>
        <w:spacing w:before="0" w:after="0" w:line="360" w:lineRule="auto"/>
        <w:ind w:firstLine="480"/>
      </w:pPr>
      <w:r>
        <w:rPr>
          <w:rFonts w:ascii="Times New Roman" w:hAnsi="Times New Roman" w:eastAsia="宋体"/>
          <w:b w:val="0"/>
          <w:sz w:val="24"/>
        </w:rPr>
        <w:t>国家《“十四五”中医药发展规划》明确提出要推动中西医结合高质量发展，加强中西医结合学科建设，制定中西医结合诊疗指南。《“健康中国2030”规划纲要》强调要充分发挥中医药独特优势，推动中医药与西医药相互补充、协调发展。在此背景下，制定《常见风湿免疫疾病中西医结合临床诊疗指南 系统性红斑狼疮》团体标准，对于规范SLE中西医结合诊疗行为、提高临床疗效、促进中医药传承创新发展具有重要意义。</w:t>
      </w:r>
    </w:p>
    <w:p w14:paraId="1C064877">
      <w:pPr>
        <w:spacing w:before="160" w:after="80" w:line="360" w:lineRule="auto"/>
      </w:pPr>
      <w:r>
        <w:rPr>
          <w:rFonts w:ascii="Times New Roman" w:hAnsi="Times New Roman" w:eastAsia="黑体"/>
          <w:b/>
          <w:sz w:val="24"/>
        </w:rPr>
        <w:t>（二）任务来源</w:t>
      </w:r>
    </w:p>
    <w:p w14:paraId="2EED3E69">
      <w:pPr>
        <w:spacing w:before="0" w:after="0" w:line="360" w:lineRule="auto"/>
        <w:ind w:firstLine="480"/>
      </w:pPr>
      <w:r>
        <w:rPr>
          <w:rFonts w:ascii="Times New Roman" w:hAnsi="Times New Roman" w:eastAsia="宋体"/>
          <w:b w:val="0"/>
          <w:sz w:val="24"/>
        </w:rPr>
        <w:t>中国民族卫生协会是经卫生部（现国家卫健委）、国家民族事务委员会、民政部审核同意并报国务院批准成立的国家一级非营利性行业社会团体，于2005年5月18日正式成立，评估等级为AAAA级。卫生部（现为国家卫健委）为其业务主管单位。协会全面遵守国家宪法、法律和法规，认真贯彻执行党和国家民族卫生政策，团结组织社会各方面力量，加强国内、国际交流与合作，促进民族地区卫生事业发展，弘扬中华民族传统医药，振兴民族医药产业，为各民族地区人民健康服务，为全面建设小康社会、构建社会主义和谐社会服务为发展宗旨。</w:t>
      </w:r>
    </w:p>
    <w:p w14:paraId="108381B0">
      <w:pPr>
        <w:spacing w:before="0" w:after="0" w:line="360" w:lineRule="auto"/>
        <w:ind w:firstLine="480"/>
        <w:rPr>
          <w:rFonts w:ascii="Times New Roman" w:hAnsi="Times New Roman" w:eastAsia="宋体"/>
          <w:b w:val="0"/>
          <w:sz w:val="24"/>
        </w:rPr>
      </w:pPr>
      <w:r>
        <w:rPr>
          <w:rFonts w:ascii="Times New Roman" w:hAnsi="Times New Roman" w:eastAsia="宋体"/>
          <w:b w:val="0"/>
          <w:sz w:val="24"/>
        </w:rPr>
        <w:t>本标准由中国民族卫生协会风湿</w:t>
      </w:r>
      <w:r>
        <w:rPr>
          <w:rFonts w:hint="eastAsia" w:ascii="Times New Roman" w:hAnsi="Times New Roman" w:eastAsia="宋体"/>
          <w:b w:val="0"/>
          <w:sz w:val="24"/>
          <w:lang w:eastAsia="zh-CN"/>
        </w:rPr>
        <w:t>疑难病</w:t>
      </w:r>
      <w:r>
        <w:rPr>
          <w:rFonts w:ascii="Times New Roman" w:hAnsi="Times New Roman" w:eastAsia="宋体"/>
          <w:b w:val="0"/>
          <w:sz w:val="24"/>
        </w:rPr>
        <w:t>专业委员会提出，2025年</w:t>
      </w:r>
      <w:r>
        <w:rPr>
          <w:rFonts w:hint="eastAsia" w:ascii="Times New Roman" w:hAnsi="Times New Roman" w:eastAsia="宋体"/>
          <w:b w:val="0"/>
          <w:sz w:val="24"/>
          <w:lang w:val="en-US" w:eastAsia="zh-CN"/>
        </w:rPr>
        <w:t>11</w:t>
      </w:r>
      <w:r>
        <w:rPr>
          <w:rFonts w:ascii="Times New Roman" w:hAnsi="Times New Roman" w:eastAsia="宋体"/>
          <w:b w:val="0"/>
          <w:sz w:val="24"/>
        </w:rPr>
        <w:t>月</w:t>
      </w:r>
      <w:r>
        <w:rPr>
          <w:rFonts w:hint="eastAsia" w:ascii="Times New Roman" w:hAnsi="Times New Roman" w:eastAsia="宋体"/>
          <w:b w:val="0"/>
          <w:sz w:val="24"/>
          <w:lang w:val="en-US" w:eastAsia="zh-CN"/>
        </w:rPr>
        <w:t>26</w:t>
      </w:r>
      <w:r>
        <w:rPr>
          <w:rFonts w:ascii="Times New Roman" w:hAnsi="Times New Roman" w:eastAsia="宋体"/>
          <w:b w:val="0"/>
          <w:sz w:val="24"/>
        </w:rPr>
        <w:t>日经中国民族卫生协会标准化技术委员会审核，中国民族卫生协会批准立项（项目编号：T/CNHAW-B-0025-2025）。为保质保量完成标准制定工作，由</w:t>
      </w:r>
      <w:r>
        <w:rPr>
          <w:rFonts w:hint="eastAsia" w:ascii="Times New Roman" w:hAnsi="Times New Roman" w:eastAsia="宋体"/>
          <w:b w:val="0"/>
          <w:sz w:val="24"/>
        </w:rPr>
        <w:t>中国民族卫生协会风湿疑难病专业委员会联合风湿免疫领域相关医疗机构、高校共同组成标准起草小组，负责标准的起草和编制工作。</w:t>
      </w:r>
    </w:p>
    <w:p w14:paraId="1D20EE41">
      <w:pPr>
        <w:spacing w:before="160" w:after="80" w:line="360" w:lineRule="auto"/>
      </w:pPr>
      <w:r>
        <w:rPr>
          <w:rFonts w:ascii="Times New Roman" w:hAnsi="Times New Roman" w:eastAsia="黑体"/>
          <w:b/>
          <w:sz w:val="28"/>
        </w:rPr>
        <w:t>二、主要工作过程</w:t>
      </w:r>
    </w:p>
    <w:p w14:paraId="02BBE046">
      <w:pPr>
        <w:spacing w:before="160" w:after="80" w:line="360" w:lineRule="auto"/>
      </w:pPr>
      <w:r>
        <w:rPr>
          <w:rFonts w:ascii="Times New Roman" w:hAnsi="Times New Roman" w:eastAsia="黑体"/>
          <w:b/>
          <w:sz w:val="24"/>
        </w:rPr>
        <w:t>（一）预研（2025年7月～2025年10月）</w:t>
      </w:r>
    </w:p>
    <w:p w14:paraId="5FECD9A8">
      <w:pPr>
        <w:spacing w:before="0" w:after="0" w:line="360" w:lineRule="auto"/>
        <w:ind w:firstLine="480"/>
      </w:pPr>
      <w:r>
        <w:rPr>
          <w:rFonts w:ascii="Times New Roman" w:hAnsi="Times New Roman" w:eastAsia="宋体"/>
          <w:b w:val="0"/>
          <w:sz w:val="24"/>
        </w:rPr>
        <w:t>接到编制任务后，</w:t>
      </w:r>
      <w:r>
        <w:rPr>
          <w:rFonts w:hint="eastAsia" w:ascii="Times New Roman" w:hAnsi="Times New Roman" w:eastAsia="宋体"/>
          <w:b w:val="0"/>
          <w:sz w:val="24"/>
        </w:rPr>
        <w:t>中国民族卫生协会风湿疑难病专业委员会联合</w:t>
      </w:r>
      <w:r>
        <w:rPr>
          <w:rFonts w:hint="eastAsia" w:ascii="Times New Roman" w:hAnsi="Times New Roman" w:eastAsia="宋体"/>
          <w:b w:val="0"/>
          <w:sz w:val="24"/>
          <w:lang w:val="en-US" w:eastAsia="zh-CN"/>
        </w:rPr>
        <w:t>长春中医药大学</w:t>
      </w:r>
      <w:r>
        <w:rPr>
          <w:rFonts w:hint="eastAsia" w:ascii="Times New Roman" w:hAnsi="Times New Roman" w:eastAsia="宋体"/>
          <w:b w:val="0"/>
          <w:sz w:val="24"/>
        </w:rPr>
        <w:t>、</w:t>
      </w:r>
      <w:r>
        <w:rPr>
          <w:rFonts w:hint="eastAsia" w:ascii="Times New Roman" w:hAnsi="Times New Roman" w:eastAsia="宋体"/>
          <w:b w:val="0"/>
          <w:sz w:val="24"/>
          <w:lang w:val="en-US" w:eastAsia="zh-CN"/>
        </w:rPr>
        <w:t>长春中医药大学附属第一医院</w:t>
      </w:r>
      <w:r>
        <w:rPr>
          <w:rFonts w:hint="eastAsia" w:ascii="Times New Roman" w:hAnsi="Times New Roman" w:eastAsia="宋体"/>
          <w:b w:val="0"/>
          <w:sz w:val="24"/>
          <w:lang w:eastAsia="zh-CN"/>
        </w:rPr>
        <w:t>、</w:t>
      </w:r>
      <w:r>
        <w:rPr>
          <w:rFonts w:hint="eastAsia" w:ascii="Times New Roman" w:hAnsi="Times New Roman" w:eastAsia="宋体"/>
          <w:b w:val="0"/>
          <w:sz w:val="24"/>
          <w:lang w:val="en-US" w:eastAsia="zh-CN"/>
        </w:rPr>
        <w:t>长春吉润净月医院</w:t>
      </w:r>
      <w:r>
        <w:rPr>
          <w:rFonts w:hint="eastAsia" w:ascii="Times New Roman" w:hAnsi="Times New Roman" w:eastAsia="宋体"/>
          <w:b w:val="0"/>
          <w:sz w:val="24"/>
        </w:rPr>
        <w:t>等多家单位，</w:t>
      </w:r>
      <w:r>
        <w:rPr>
          <w:rFonts w:ascii="Times New Roman" w:hAnsi="Times New Roman" w:eastAsia="宋体"/>
          <w:b w:val="0"/>
          <w:sz w:val="24"/>
        </w:rPr>
        <w:t>，于2025年</w:t>
      </w:r>
      <w:r>
        <w:rPr>
          <w:rFonts w:hint="eastAsia" w:ascii="Times New Roman" w:hAnsi="Times New Roman" w:eastAsia="宋体"/>
          <w:b w:val="0"/>
          <w:sz w:val="24"/>
          <w:lang w:val="en-US" w:eastAsia="zh-CN"/>
        </w:rPr>
        <w:t>1</w:t>
      </w:r>
      <w:r>
        <w:rPr>
          <w:rFonts w:ascii="Times New Roman" w:hAnsi="Times New Roman" w:eastAsia="宋体"/>
          <w:b w:val="0"/>
          <w:sz w:val="24"/>
        </w:rPr>
        <w:t>月成立了标准起草小组并启动编制工作。在第一次全体成员会议上，明确了标准编制的总体思路、技术路线和分步实施计划，确定了“病证结合、分期分型、循证与经验互补、动态调方”的编制方针。</w:t>
      </w:r>
    </w:p>
    <w:p w14:paraId="765017F9">
      <w:pPr>
        <w:spacing w:before="0" w:after="0" w:line="360" w:lineRule="auto"/>
        <w:ind w:firstLine="480"/>
      </w:pPr>
      <w:r>
        <w:rPr>
          <w:rFonts w:ascii="Times New Roman" w:hAnsi="Times New Roman" w:eastAsia="宋体"/>
          <w:b w:val="0"/>
          <w:sz w:val="24"/>
        </w:rPr>
        <w:t>起草小组系统检索了国内外SLE诊疗相关指南、共识及文献资料，包括《2020中国系统性红斑狼疮诊疗指南》、《系统性红斑狼疮诊疗规范》（2023年）、2019年EULAR/ACR SLE分类标准、2012年SLICC SLE分类标准等，并对中医药治疗SLE的古今文献进行了全面梳理，为标准编制奠定了坚实的文献基础。</w:t>
      </w:r>
    </w:p>
    <w:p w14:paraId="06095C6E">
      <w:pPr>
        <w:spacing w:before="160" w:after="80" w:line="360" w:lineRule="auto"/>
      </w:pPr>
      <w:r>
        <w:rPr>
          <w:rFonts w:ascii="Times New Roman" w:hAnsi="Times New Roman" w:eastAsia="黑体"/>
          <w:b/>
          <w:sz w:val="24"/>
        </w:rPr>
        <w:t>（二）编制（2025年11月～2025年12月）</w:t>
      </w:r>
    </w:p>
    <w:p w14:paraId="3D55F388">
      <w:pPr>
        <w:spacing w:before="0" w:after="0" w:line="360" w:lineRule="auto"/>
        <w:ind w:firstLine="480"/>
      </w:pPr>
      <w:r>
        <w:rPr>
          <w:rFonts w:ascii="Times New Roman" w:hAnsi="Times New Roman" w:eastAsia="宋体"/>
          <w:b w:val="0"/>
          <w:sz w:val="24"/>
        </w:rPr>
        <w:t>2025年11月—2025年12月，标准起草小组确定了标准框架，共9个核心章节，分别是：范围、规范性引用文件、术语和定义、缩略语、总则、临床症状、诊断、治疗、预防与调护，另设资料性附录与参考文献。</w:t>
      </w:r>
    </w:p>
    <w:p w14:paraId="1D08FE1D">
      <w:pPr>
        <w:spacing w:before="0" w:after="0" w:line="360" w:lineRule="auto"/>
        <w:ind w:firstLine="480"/>
      </w:pPr>
      <w:r>
        <w:rPr>
          <w:rFonts w:ascii="Times New Roman" w:hAnsi="Times New Roman" w:eastAsia="宋体"/>
          <w:b w:val="0"/>
          <w:sz w:val="24"/>
        </w:rPr>
        <w:t>2025年12月初，标准起草小组专家代表与</w:t>
      </w:r>
      <w:r>
        <w:rPr>
          <w:rFonts w:hint="eastAsia" w:ascii="Times New Roman" w:hAnsi="Times New Roman" w:eastAsia="宋体"/>
          <w:b w:val="0"/>
          <w:sz w:val="24"/>
          <w:lang w:val="en-US" w:eastAsia="zh-CN"/>
        </w:rPr>
        <w:t>中国</w:t>
      </w:r>
      <w:r>
        <w:rPr>
          <w:rFonts w:ascii="Times New Roman" w:hAnsi="Times New Roman" w:eastAsia="宋体"/>
          <w:b w:val="0"/>
          <w:sz w:val="24"/>
        </w:rPr>
        <w:t>民族卫生协会标委会专家针对《系统性红斑狼疮中西医诊疗标准》团标内容的科学性进行了进一步的讨论，最终从标准的制定要求以及行业的需求等多方面考虑，将《系统性红斑狼疮中西医诊疗标准》团标修定为《常见风湿免疫疾病中西医结合临床诊疗指南 系统性红斑狼疮》团标。随后起草小组根据专家意见，经过多次讨论及修改，对原有内容作了相应调整。</w:t>
      </w:r>
    </w:p>
    <w:p w14:paraId="6DED1D4D">
      <w:pPr>
        <w:spacing w:before="160" w:after="80" w:line="360" w:lineRule="auto"/>
      </w:pPr>
      <w:r>
        <w:rPr>
          <w:rFonts w:ascii="Times New Roman" w:hAnsi="Times New Roman" w:eastAsia="黑体"/>
          <w:b/>
          <w:sz w:val="24"/>
        </w:rPr>
        <w:t>（三）研讨（2025年12月）</w:t>
      </w:r>
    </w:p>
    <w:p w14:paraId="7C58D891">
      <w:pPr>
        <w:spacing w:before="0" w:after="0" w:line="360" w:lineRule="auto"/>
        <w:ind w:firstLine="480"/>
      </w:pPr>
      <w:r>
        <w:rPr>
          <w:rFonts w:ascii="Times New Roman" w:hAnsi="Times New Roman" w:eastAsia="宋体"/>
          <w:b w:val="0"/>
          <w:sz w:val="24"/>
        </w:rPr>
        <w:t>2025年12月初，起草小组在完成标准修订稿的基础上，开展了数次研讨，对照专家评审意见对草案进行逐条修改，形成送审稿。</w:t>
      </w:r>
    </w:p>
    <w:p w14:paraId="5070FF9A">
      <w:pPr>
        <w:spacing w:before="160" w:after="80" w:line="360" w:lineRule="auto"/>
      </w:pPr>
      <w:r>
        <w:rPr>
          <w:rFonts w:ascii="Times New Roman" w:hAnsi="Times New Roman" w:eastAsia="黑体"/>
          <w:b/>
          <w:sz w:val="28"/>
        </w:rPr>
        <w:t>三、标准编制原则及主要技术内容确定</w:t>
      </w:r>
    </w:p>
    <w:p w14:paraId="24A9EFBB">
      <w:pPr>
        <w:spacing w:before="160" w:after="80" w:line="360" w:lineRule="auto"/>
      </w:pPr>
      <w:r>
        <w:rPr>
          <w:rFonts w:ascii="Times New Roman" w:hAnsi="Times New Roman" w:eastAsia="黑体"/>
          <w:b/>
          <w:sz w:val="24"/>
        </w:rPr>
        <w:t>（一）标准编制原则</w:t>
      </w:r>
    </w:p>
    <w:p w14:paraId="6CC92C19">
      <w:pPr>
        <w:spacing w:before="0" w:after="0" w:line="360" w:lineRule="auto"/>
        <w:ind w:firstLine="480"/>
      </w:pPr>
      <w:r>
        <w:rPr>
          <w:rFonts w:ascii="Times New Roman" w:hAnsi="Times New Roman" w:eastAsia="宋体"/>
          <w:b w:val="0"/>
          <w:sz w:val="24"/>
        </w:rPr>
        <w:t>1、科学性原则：本标准以循证医学证据为基础，充分吸纳国内外SLE诊疗最新研究成果，结合中医药理论特色和临床实践经验，确保标准内容的科学性和先进性。</w:t>
      </w:r>
    </w:p>
    <w:p w14:paraId="22A400C9">
      <w:pPr>
        <w:spacing w:before="0" w:after="0" w:line="360" w:lineRule="auto"/>
        <w:ind w:firstLine="480"/>
      </w:pPr>
      <w:r>
        <w:rPr>
          <w:rFonts w:ascii="Times New Roman" w:hAnsi="Times New Roman" w:eastAsia="宋体"/>
          <w:b w:val="0"/>
          <w:sz w:val="24"/>
        </w:rPr>
        <w:t>2、实用性原则：标准内容贴近临床实际，注重可操作性，针对不同疾病活动期、不同证型给出明确的诊疗方案，为不同层级医疗机构的中西医结合诊疗提供清晰指导，满足临床医师的实际需求。</w:t>
      </w:r>
    </w:p>
    <w:p w14:paraId="25D14FAC">
      <w:pPr>
        <w:spacing w:before="0" w:after="0" w:line="360" w:lineRule="auto"/>
        <w:ind w:firstLine="480"/>
      </w:pPr>
      <w:r>
        <w:rPr>
          <w:rFonts w:ascii="Times New Roman" w:hAnsi="Times New Roman" w:eastAsia="宋体"/>
          <w:b w:val="0"/>
          <w:sz w:val="24"/>
        </w:rPr>
        <w:t>3、中西医结合原则：遵循“病证结合、分期分型、循证与经验互补、动态调方”的方针，将西医疾病诊断、病情活动度评估与中医辨证论治有机结合，体现中西医并重、优势互补。急性活动期以西医控制病情为主、中医协同增效减毒；缓解期以中医扶正固本为主、西医维持治疗，构建全病程中西医协同诊疗模式。</w:t>
      </w:r>
    </w:p>
    <w:p w14:paraId="3C75EE04">
      <w:pPr>
        <w:spacing w:before="0" w:after="0" w:line="360" w:lineRule="auto"/>
        <w:ind w:firstLine="480"/>
      </w:pPr>
      <w:r>
        <w:rPr>
          <w:rFonts w:ascii="Times New Roman" w:hAnsi="Times New Roman" w:eastAsia="宋体"/>
          <w:b w:val="0"/>
          <w:sz w:val="24"/>
        </w:rPr>
        <w:t>4、规范性原则：标准编写严格遵循GB/T 1.1-2020《标准化工作导则 第1部分：标准化文件的结构和起草规则》的要求，格式规范、层次清晰、表述准确。</w:t>
      </w:r>
    </w:p>
    <w:p w14:paraId="42DCCEAF">
      <w:pPr>
        <w:spacing w:before="160" w:after="80" w:line="360" w:lineRule="auto"/>
      </w:pPr>
      <w:r>
        <w:rPr>
          <w:rFonts w:ascii="Times New Roman" w:hAnsi="Times New Roman" w:eastAsia="黑体"/>
          <w:b/>
          <w:sz w:val="24"/>
        </w:rPr>
        <w:t>（二）团体标准主要内容确定</w:t>
      </w:r>
    </w:p>
    <w:p w14:paraId="4F78A458">
      <w:pPr>
        <w:spacing w:before="0" w:after="0" w:line="360" w:lineRule="auto"/>
        <w:ind w:firstLine="480"/>
      </w:pPr>
      <w:r>
        <w:rPr>
          <w:rFonts w:ascii="Times New Roman" w:hAnsi="Times New Roman" w:eastAsia="宋体"/>
          <w:b w:val="0"/>
          <w:sz w:val="24"/>
        </w:rPr>
        <w:t>本标准主要内容如下：</w:t>
      </w:r>
    </w:p>
    <w:p w14:paraId="10931FDB">
      <w:pPr>
        <w:spacing w:before="0" w:after="0" w:line="360" w:lineRule="auto"/>
      </w:pPr>
      <w:r>
        <w:rPr>
          <w:rFonts w:ascii="Times New Roman" w:hAnsi="Times New Roman" w:eastAsia="宋体"/>
          <w:b w:val="0"/>
          <w:sz w:val="24"/>
        </w:rPr>
        <w:t>1 范围</w:t>
      </w:r>
    </w:p>
    <w:p w14:paraId="667C4063">
      <w:pPr>
        <w:spacing w:before="0" w:after="0" w:line="360" w:lineRule="auto"/>
      </w:pPr>
      <w:r>
        <w:rPr>
          <w:rFonts w:ascii="Times New Roman" w:hAnsi="Times New Roman" w:eastAsia="宋体"/>
          <w:b w:val="0"/>
          <w:sz w:val="24"/>
        </w:rPr>
        <w:t>2 规范性引用文件</w:t>
      </w:r>
    </w:p>
    <w:p w14:paraId="08F886AB">
      <w:pPr>
        <w:spacing w:before="0" w:after="0" w:line="360" w:lineRule="auto"/>
      </w:pPr>
      <w:r>
        <w:rPr>
          <w:rFonts w:ascii="Times New Roman" w:hAnsi="Times New Roman" w:eastAsia="宋体"/>
          <w:b w:val="0"/>
          <w:sz w:val="24"/>
        </w:rPr>
        <w:t>3 术语和定义</w:t>
      </w:r>
    </w:p>
    <w:p w14:paraId="1994FD4E">
      <w:pPr>
        <w:spacing w:before="0" w:after="0" w:line="360" w:lineRule="auto"/>
      </w:pPr>
      <w:r>
        <w:rPr>
          <w:rFonts w:ascii="Times New Roman" w:hAnsi="Times New Roman" w:eastAsia="宋体"/>
          <w:b w:val="0"/>
          <w:sz w:val="24"/>
        </w:rPr>
        <w:t>4 缩略语</w:t>
      </w:r>
    </w:p>
    <w:p w14:paraId="542F2826">
      <w:pPr>
        <w:spacing w:before="0" w:after="0" w:line="360" w:lineRule="auto"/>
      </w:pPr>
      <w:r>
        <w:rPr>
          <w:rFonts w:ascii="Times New Roman" w:hAnsi="Times New Roman" w:eastAsia="宋体"/>
          <w:b w:val="0"/>
          <w:sz w:val="24"/>
        </w:rPr>
        <w:t>5 总则</w:t>
      </w:r>
    </w:p>
    <w:p w14:paraId="10FBAE70">
      <w:pPr>
        <w:spacing w:before="0" w:after="0" w:line="360" w:lineRule="auto"/>
      </w:pPr>
      <w:r>
        <w:rPr>
          <w:rFonts w:ascii="Times New Roman" w:hAnsi="Times New Roman" w:eastAsia="宋体"/>
          <w:b w:val="0"/>
          <w:sz w:val="24"/>
        </w:rPr>
        <w:t>6 临床症状</w:t>
      </w:r>
    </w:p>
    <w:p w14:paraId="277E84D8">
      <w:pPr>
        <w:spacing w:before="0" w:after="0" w:line="360" w:lineRule="auto"/>
      </w:pPr>
      <w:r>
        <w:rPr>
          <w:rFonts w:ascii="Times New Roman" w:hAnsi="Times New Roman" w:eastAsia="宋体"/>
          <w:b w:val="0"/>
          <w:sz w:val="24"/>
        </w:rPr>
        <w:t>7 诊断</w:t>
      </w:r>
    </w:p>
    <w:p w14:paraId="423ED829">
      <w:pPr>
        <w:spacing w:before="0" w:after="0" w:line="360" w:lineRule="auto"/>
      </w:pPr>
      <w:r>
        <w:rPr>
          <w:rFonts w:ascii="Times New Roman" w:hAnsi="Times New Roman" w:eastAsia="宋体"/>
          <w:b w:val="0"/>
          <w:sz w:val="24"/>
        </w:rPr>
        <w:t>8 治疗</w:t>
      </w:r>
    </w:p>
    <w:p w14:paraId="1DF0F08C">
      <w:pPr>
        <w:spacing w:before="0" w:after="0" w:line="360" w:lineRule="auto"/>
      </w:pPr>
      <w:r>
        <w:rPr>
          <w:rFonts w:ascii="Times New Roman" w:hAnsi="Times New Roman" w:eastAsia="宋体"/>
          <w:b w:val="0"/>
          <w:sz w:val="24"/>
        </w:rPr>
        <w:t>9 预防与调护</w:t>
      </w:r>
    </w:p>
    <w:p w14:paraId="2B2B6D4A">
      <w:pPr>
        <w:spacing w:before="0" w:after="0" w:line="360" w:lineRule="auto"/>
        <w:ind w:firstLine="480"/>
      </w:pPr>
      <w:r>
        <w:rPr>
          <w:rFonts w:ascii="Times New Roman" w:hAnsi="Times New Roman" w:eastAsia="宋体"/>
          <w:b w:val="0"/>
          <w:sz w:val="24"/>
        </w:rPr>
        <w:t>其中，诊断部分涵盖西医临床表现、实验室与影像学检查、分类标准与疾病活动度评估，以及中医辨证分型，实现辨病与辨证的统一；治疗部分构建西医分层药物治疗、中医辨证论治、外治疗法、营养管理、运动康复、心理调护相结合的综合诊疗体系，突出中西医结合的全病程管理理念。</w:t>
      </w:r>
    </w:p>
    <w:p w14:paraId="6066EE3E">
      <w:pPr>
        <w:spacing w:before="160" w:after="80" w:line="360" w:lineRule="auto"/>
      </w:pPr>
      <w:r>
        <w:rPr>
          <w:rFonts w:ascii="Times New Roman" w:hAnsi="Times New Roman" w:eastAsia="黑体"/>
          <w:b/>
          <w:sz w:val="28"/>
        </w:rPr>
        <w:t>四、采用国际、国内标准情况</w:t>
      </w:r>
    </w:p>
    <w:p w14:paraId="5D061DF0">
      <w:pPr>
        <w:spacing w:before="0" w:after="0" w:line="360" w:lineRule="auto"/>
        <w:ind w:firstLine="480"/>
      </w:pPr>
      <w:r>
        <w:rPr>
          <w:rFonts w:ascii="Times New Roman" w:hAnsi="Times New Roman" w:eastAsia="宋体"/>
          <w:b w:val="0"/>
          <w:sz w:val="24"/>
        </w:rPr>
        <w:t>本标准在制定过程中参考了以下国际、国内标准及指南：</w:t>
      </w:r>
    </w:p>
    <w:p w14:paraId="7C2731FD">
      <w:pPr>
        <w:spacing w:before="0" w:after="0" w:line="360" w:lineRule="auto"/>
      </w:pPr>
      <w:r>
        <w:rPr>
          <w:rFonts w:ascii="Times New Roman" w:hAnsi="Times New Roman" w:eastAsia="宋体"/>
          <w:b w:val="0"/>
          <w:sz w:val="24"/>
        </w:rPr>
        <w:t>2012年国际狼疮研究临床协作组（SLICC）SLE分类标准</w:t>
      </w:r>
    </w:p>
    <w:p w14:paraId="6AEF3197">
      <w:pPr>
        <w:spacing w:before="0" w:after="0" w:line="360" w:lineRule="auto"/>
      </w:pPr>
      <w:r>
        <w:rPr>
          <w:rFonts w:ascii="Times New Roman" w:hAnsi="Times New Roman" w:eastAsia="宋体"/>
          <w:b w:val="0"/>
          <w:sz w:val="24"/>
        </w:rPr>
        <w:t>2019年欧洲抗风湿病联盟（EULAR）/美国风湿病学会（ACR）SLE分类标准</w:t>
      </w:r>
    </w:p>
    <w:p w14:paraId="0BD4C845">
      <w:pPr>
        <w:spacing w:before="0" w:after="0" w:line="360" w:lineRule="auto"/>
      </w:pPr>
      <w:r>
        <w:rPr>
          <w:rFonts w:ascii="Times New Roman" w:hAnsi="Times New Roman" w:eastAsia="宋体"/>
          <w:b w:val="0"/>
          <w:sz w:val="24"/>
        </w:rPr>
        <w:t>《2020中国系统性红斑狼疮诊疗指南》</w:t>
      </w:r>
    </w:p>
    <w:p w14:paraId="7014856D">
      <w:pPr>
        <w:spacing w:before="0" w:after="0" w:line="360" w:lineRule="auto"/>
      </w:pPr>
      <w:r>
        <w:rPr>
          <w:rFonts w:ascii="Times New Roman" w:hAnsi="Times New Roman" w:eastAsia="宋体"/>
          <w:b w:val="0"/>
          <w:sz w:val="24"/>
        </w:rPr>
        <w:t>《系统性红斑狼疮诊疗规范》（中华风湿病学杂志，2023年）</w:t>
      </w:r>
    </w:p>
    <w:p w14:paraId="38EB6A37">
      <w:pPr>
        <w:spacing w:before="0" w:after="0" w:line="360" w:lineRule="auto"/>
      </w:pPr>
      <w:r>
        <w:rPr>
          <w:rFonts w:ascii="Times New Roman" w:hAnsi="Times New Roman" w:eastAsia="宋体"/>
          <w:b w:val="0"/>
          <w:sz w:val="24"/>
        </w:rPr>
        <w:t>SLEDAI-2000疾病活动度评分标准</w:t>
      </w:r>
    </w:p>
    <w:p w14:paraId="383E7E90">
      <w:pPr>
        <w:spacing w:before="0" w:after="0" w:line="360" w:lineRule="auto"/>
      </w:pPr>
      <w:r>
        <w:rPr>
          <w:rFonts w:ascii="Times New Roman" w:hAnsi="Times New Roman" w:eastAsia="宋体"/>
          <w:b w:val="0"/>
          <w:sz w:val="24"/>
        </w:rPr>
        <w:t>EULAR SLE疾病活动度分级标准</w:t>
      </w:r>
    </w:p>
    <w:p w14:paraId="48CF72E1">
      <w:pPr>
        <w:spacing w:before="0" w:after="0" w:line="360" w:lineRule="auto"/>
      </w:pPr>
      <w:r>
        <w:rPr>
          <w:rFonts w:ascii="Times New Roman" w:hAnsi="Times New Roman" w:eastAsia="宋体"/>
          <w:b w:val="0"/>
          <w:sz w:val="24"/>
        </w:rPr>
        <w:t>GB/T 12346—2021 经穴名称与定位</w:t>
      </w:r>
    </w:p>
    <w:p w14:paraId="100B2BAB">
      <w:pPr>
        <w:spacing w:before="0" w:after="0" w:line="360" w:lineRule="auto"/>
      </w:pPr>
      <w:r>
        <w:rPr>
          <w:rFonts w:ascii="Times New Roman" w:hAnsi="Times New Roman" w:eastAsia="宋体"/>
          <w:b w:val="0"/>
          <w:sz w:val="24"/>
        </w:rPr>
        <w:t>GB/T 15657—2021 中医病证分类与代码</w:t>
      </w:r>
    </w:p>
    <w:p w14:paraId="15D31BE8">
      <w:pPr>
        <w:spacing w:before="0" w:after="0" w:line="360" w:lineRule="auto"/>
      </w:pPr>
      <w:r>
        <w:rPr>
          <w:rFonts w:ascii="Times New Roman" w:hAnsi="Times New Roman" w:eastAsia="宋体"/>
          <w:b w:val="0"/>
          <w:sz w:val="24"/>
        </w:rPr>
        <w:t>ZY/T 10—2024 中医病证诊断与疗效评价规范制修订通则</w:t>
      </w:r>
    </w:p>
    <w:p w14:paraId="0D1AC8D8">
      <w:pPr>
        <w:spacing w:before="160" w:after="80" w:line="360" w:lineRule="auto"/>
      </w:pPr>
      <w:r>
        <w:rPr>
          <w:rFonts w:ascii="Times New Roman" w:hAnsi="Times New Roman" w:eastAsia="黑体"/>
          <w:b/>
          <w:sz w:val="28"/>
        </w:rPr>
        <w:t>五、与现行法律法规和强制性标准的关系</w:t>
      </w:r>
    </w:p>
    <w:p w14:paraId="35CED762">
      <w:pPr>
        <w:spacing w:before="0" w:after="0" w:line="360" w:lineRule="auto"/>
        <w:ind w:firstLine="480"/>
      </w:pPr>
      <w:r>
        <w:rPr>
          <w:rFonts w:ascii="Times New Roman" w:hAnsi="Times New Roman" w:eastAsia="宋体"/>
          <w:b w:val="0"/>
          <w:sz w:val="24"/>
        </w:rPr>
        <w:t>本标准与现行有关法律法规和强制性标准协调一致。</w:t>
      </w:r>
    </w:p>
    <w:p w14:paraId="013929FD">
      <w:pPr>
        <w:spacing w:before="0" w:after="0" w:line="360" w:lineRule="auto"/>
        <w:ind w:firstLine="480"/>
      </w:pPr>
      <w:r>
        <w:rPr>
          <w:rFonts w:ascii="Times New Roman" w:hAnsi="Times New Roman" w:eastAsia="宋体"/>
          <w:b w:val="0"/>
          <w:sz w:val="24"/>
        </w:rPr>
        <w:t>规范的起草、编写格式符合GB/T 1.1-2020《标准化工作导则 第1部分：标准化文件的结构和起草规则》、GB/T 1.2-2002《标准化工作导则 第2部分：标准中规范性技术要素内容的确定方法》的规格。</w:t>
      </w:r>
    </w:p>
    <w:p w14:paraId="489720E1">
      <w:pPr>
        <w:spacing w:before="160" w:after="80" w:line="360" w:lineRule="auto"/>
      </w:pPr>
      <w:r>
        <w:rPr>
          <w:rFonts w:ascii="Times New Roman" w:hAnsi="Times New Roman" w:eastAsia="黑体"/>
          <w:b/>
          <w:sz w:val="28"/>
        </w:rPr>
        <w:t>六、重大分歧意见处理</w:t>
      </w:r>
    </w:p>
    <w:p w14:paraId="5229DC26">
      <w:pPr>
        <w:spacing w:before="0" w:after="0" w:line="360" w:lineRule="auto"/>
        <w:ind w:firstLine="480"/>
      </w:pPr>
      <w:r>
        <w:rPr>
          <w:rFonts w:ascii="Times New Roman" w:hAnsi="Times New Roman" w:eastAsia="宋体"/>
          <w:b w:val="0"/>
          <w:sz w:val="24"/>
        </w:rPr>
        <w:t>无</w:t>
      </w:r>
    </w:p>
    <w:p w14:paraId="1348D4C8">
      <w:pPr>
        <w:spacing w:before="160" w:after="80" w:line="360" w:lineRule="auto"/>
      </w:pPr>
      <w:r>
        <w:rPr>
          <w:rFonts w:ascii="Times New Roman" w:hAnsi="Times New Roman" w:eastAsia="黑体"/>
          <w:b/>
          <w:sz w:val="28"/>
        </w:rPr>
        <w:t>七、标准作为强制性或推荐性标准发布的意见</w:t>
      </w:r>
    </w:p>
    <w:p w14:paraId="38DF5465">
      <w:pPr>
        <w:spacing w:before="0" w:after="0" w:line="360" w:lineRule="auto"/>
        <w:ind w:firstLine="480"/>
      </w:pPr>
      <w:r>
        <w:rPr>
          <w:rFonts w:ascii="Times New Roman" w:hAnsi="Times New Roman" w:eastAsia="宋体"/>
          <w:b w:val="0"/>
          <w:sz w:val="24"/>
        </w:rPr>
        <w:t>推荐性</w:t>
      </w:r>
    </w:p>
    <w:p w14:paraId="3588D302">
      <w:pPr>
        <w:spacing w:before="160" w:after="80" w:line="360" w:lineRule="auto"/>
      </w:pPr>
      <w:r>
        <w:rPr>
          <w:rFonts w:ascii="Times New Roman" w:hAnsi="Times New Roman" w:eastAsia="黑体"/>
          <w:b/>
          <w:sz w:val="28"/>
        </w:rPr>
        <w:t>八、贯彻标准的建议</w:t>
      </w:r>
    </w:p>
    <w:p w14:paraId="4093DE42">
      <w:pPr>
        <w:spacing w:before="0" w:after="0" w:line="360" w:lineRule="auto"/>
      </w:pPr>
      <w:r>
        <w:rPr>
          <w:rFonts w:ascii="Times New Roman" w:hAnsi="Times New Roman" w:eastAsia="宋体"/>
          <w:b/>
          <w:sz w:val="24"/>
        </w:rPr>
        <w:t>实施推广建议</w:t>
      </w:r>
    </w:p>
    <w:p w14:paraId="1300FC64">
      <w:pPr>
        <w:spacing w:before="0" w:after="0" w:line="360" w:lineRule="auto"/>
        <w:ind w:firstLine="480"/>
      </w:pPr>
      <w:r>
        <w:rPr>
          <w:rFonts w:ascii="Times New Roman" w:hAnsi="Times New Roman" w:eastAsia="宋体"/>
          <w:b w:val="0"/>
          <w:sz w:val="24"/>
        </w:rPr>
        <w:t>为了保证此规范的实施推广，具体建议如下：</w:t>
      </w:r>
    </w:p>
    <w:p w14:paraId="3AC0BC37">
      <w:pPr>
        <w:spacing w:before="0" w:after="0" w:line="360" w:lineRule="auto"/>
        <w:ind w:firstLine="480"/>
      </w:pPr>
      <w:r>
        <w:rPr>
          <w:rFonts w:ascii="Times New Roman" w:hAnsi="Times New Roman" w:eastAsia="宋体"/>
          <w:b w:val="0"/>
          <w:sz w:val="24"/>
        </w:rPr>
        <w:t>1、加强标准宣贯培训：标准发布后，组织面向风湿免疫科、中医科、中西医结合科医师的专题培训，通过学术会议、继续教育项目、网络课程等形式，提高标准知晓度和应用率；</w:t>
      </w:r>
    </w:p>
    <w:p w14:paraId="7F4320D8">
      <w:pPr>
        <w:spacing w:before="0" w:after="0" w:line="360" w:lineRule="auto"/>
        <w:ind w:firstLine="480"/>
      </w:pPr>
      <w:r>
        <w:rPr>
          <w:rFonts w:ascii="Times New Roman" w:hAnsi="Times New Roman" w:eastAsia="宋体"/>
          <w:b w:val="0"/>
          <w:sz w:val="24"/>
        </w:rPr>
        <w:t>2、建立评价反馈机制：定期收集标准实施过程中的意见和建议，评估标准应用效果，为标准的修订完善提供依据；</w:t>
      </w:r>
    </w:p>
    <w:p w14:paraId="249323C8">
      <w:pPr>
        <w:spacing w:before="0" w:after="0" w:line="360" w:lineRule="auto"/>
        <w:ind w:firstLine="480"/>
      </w:pPr>
      <w:r>
        <w:rPr>
          <w:rFonts w:ascii="Times New Roman" w:hAnsi="Times New Roman" w:eastAsia="宋体"/>
          <w:b w:val="0"/>
          <w:sz w:val="24"/>
        </w:rPr>
        <w:t>3、利用专业期刊、学术网站、微信公众号等媒体平台，对标准进行宣传推广，扩大标准影响力；</w:t>
      </w:r>
    </w:p>
    <w:p w14:paraId="493802B9">
      <w:pPr>
        <w:spacing w:before="0" w:after="0" w:line="360" w:lineRule="auto"/>
        <w:ind w:firstLine="480"/>
      </w:pPr>
      <w:r>
        <w:rPr>
          <w:rFonts w:ascii="Times New Roman" w:hAnsi="Times New Roman" w:eastAsia="宋体"/>
          <w:b w:val="0"/>
          <w:sz w:val="24"/>
        </w:rPr>
        <w:t>4、在实践中不断检验、总结经验和完善。</w:t>
      </w:r>
    </w:p>
    <w:p w14:paraId="47AC3BCA">
      <w:pPr>
        <w:spacing w:before="160" w:after="80" w:line="360" w:lineRule="auto"/>
      </w:pPr>
      <w:r>
        <w:rPr>
          <w:rFonts w:ascii="Times New Roman" w:hAnsi="Times New Roman" w:eastAsia="黑体"/>
          <w:b/>
          <w:sz w:val="28"/>
        </w:rPr>
        <w:t>九、经费使用情况</w:t>
      </w:r>
    </w:p>
    <w:p w14:paraId="5DBA1AD7">
      <w:pPr>
        <w:spacing w:before="0" w:after="0" w:line="360" w:lineRule="auto"/>
        <w:ind w:firstLine="480"/>
      </w:pPr>
      <w:r>
        <w:rPr>
          <w:rFonts w:ascii="Times New Roman" w:hAnsi="Times New Roman" w:eastAsia="宋体"/>
          <w:b w:val="0"/>
          <w:sz w:val="24"/>
        </w:rPr>
        <w:t>主要用于：书籍与资料购置、出差调研、材料打印、研讨交流以及项目评审等。</w:t>
      </w:r>
    </w:p>
    <w:p w14:paraId="4C4CFED6">
      <w:pPr>
        <w:spacing w:before="160" w:after="80" w:line="360" w:lineRule="auto"/>
      </w:pPr>
      <w:r>
        <w:rPr>
          <w:rFonts w:ascii="Times New Roman" w:hAnsi="Times New Roman" w:eastAsia="黑体"/>
          <w:b/>
          <w:sz w:val="28"/>
        </w:rPr>
        <w:t>十、其他应予以说明的事项</w:t>
      </w:r>
    </w:p>
    <w:p w14:paraId="4E3283B3">
      <w:pPr>
        <w:spacing w:before="0" w:after="0" w:line="360" w:lineRule="auto"/>
      </w:pPr>
      <w:r>
        <w:rPr>
          <w:rFonts w:ascii="Times New Roman" w:hAnsi="Times New Roman" w:eastAsia="宋体"/>
          <w:b w:val="0"/>
          <w:sz w:val="24"/>
        </w:rPr>
        <w:t>附起草人员组成的基本情况</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9"/>
        <w:gridCol w:w="2625"/>
        <w:gridCol w:w="615"/>
        <w:gridCol w:w="4621"/>
      </w:tblGrid>
      <w:tr w14:paraId="5225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14:paraId="0D996987">
            <w:pPr>
              <w:spacing w:after="0" w:line="240" w:lineRule="auto"/>
              <w:jc w:val="center"/>
            </w:pPr>
            <w:r>
              <w:rPr>
                <w:rFonts w:ascii="Times New Roman" w:hAnsi="Times New Roman" w:eastAsia="宋体"/>
                <w:b/>
                <w:sz w:val="21"/>
              </w:rPr>
              <w:t>序号</w:t>
            </w:r>
          </w:p>
        </w:tc>
        <w:tc>
          <w:tcPr>
            <w:tcW w:w="2625" w:type="dxa"/>
          </w:tcPr>
          <w:p w14:paraId="7B93FA68">
            <w:pPr>
              <w:spacing w:after="0" w:line="240" w:lineRule="auto"/>
              <w:jc w:val="center"/>
            </w:pPr>
            <w:r>
              <w:rPr>
                <w:rFonts w:ascii="Times New Roman" w:hAnsi="Times New Roman" w:eastAsia="宋体"/>
                <w:b/>
                <w:sz w:val="21"/>
              </w:rPr>
              <w:t>类别</w:t>
            </w:r>
          </w:p>
        </w:tc>
        <w:tc>
          <w:tcPr>
            <w:tcW w:w="615" w:type="dxa"/>
          </w:tcPr>
          <w:p w14:paraId="14D1F875">
            <w:pPr>
              <w:spacing w:after="0" w:line="240" w:lineRule="auto"/>
              <w:jc w:val="center"/>
            </w:pPr>
            <w:r>
              <w:rPr>
                <w:rFonts w:ascii="Times New Roman" w:hAnsi="Times New Roman" w:eastAsia="宋体"/>
                <w:b/>
                <w:sz w:val="21"/>
              </w:rPr>
              <w:t>数量</w:t>
            </w:r>
          </w:p>
        </w:tc>
        <w:tc>
          <w:tcPr>
            <w:tcW w:w="4621" w:type="dxa"/>
          </w:tcPr>
          <w:p w14:paraId="496B3777">
            <w:pPr>
              <w:spacing w:after="0" w:line="240" w:lineRule="auto"/>
              <w:jc w:val="center"/>
            </w:pPr>
            <w:r>
              <w:rPr>
                <w:rFonts w:ascii="Times New Roman" w:hAnsi="Times New Roman" w:eastAsia="宋体"/>
                <w:b/>
                <w:sz w:val="21"/>
              </w:rPr>
              <w:t>具体情况</w:t>
            </w:r>
          </w:p>
        </w:tc>
      </w:tr>
      <w:tr w14:paraId="5FC7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dxa"/>
          </w:tcPr>
          <w:p w14:paraId="426A38EC">
            <w:pPr>
              <w:spacing w:before="0" w:after="0" w:line="360" w:lineRule="auto"/>
              <w:rPr>
                <w:rFonts w:ascii="Times New Roman" w:hAnsi="Times New Roman" w:eastAsia="宋体"/>
                <w:b w:val="0"/>
                <w:sz w:val="24"/>
              </w:rPr>
            </w:pPr>
            <w:r>
              <w:rPr>
                <w:rFonts w:ascii="Times New Roman" w:hAnsi="Times New Roman" w:eastAsia="宋体"/>
                <w:b w:val="0"/>
                <w:sz w:val="24"/>
              </w:rPr>
              <w:t>1</w:t>
            </w:r>
          </w:p>
        </w:tc>
        <w:tc>
          <w:tcPr>
            <w:tcW w:w="2625" w:type="dxa"/>
          </w:tcPr>
          <w:p w14:paraId="68A4208A">
            <w:pPr>
              <w:spacing w:before="0" w:after="0" w:line="360" w:lineRule="auto"/>
              <w:rPr>
                <w:rFonts w:ascii="Times New Roman" w:hAnsi="Times New Roman" w:eastAsia="宋体"/>
                <w:b w:val="0"/>
                <w:sz w:val="24"/>
              </w:rPr>
            </w:pPr>
            <w:r>
              <w:rPr>
                <w:rFonts w:ascii="Times New Roman" w:hAnsi="Times New Roman" w:eastAsia="宋体"/>
                <w:b w:val="0"/>
                <w:sz w:val="24"/>
              </w:rPr>
              <w:t>行业协会/专业委员会</w:t>
            </w:r>
          </w:p>
        </w:tc>
        <w:tc>
          <w:tcPr>
            <w:tcW w:w="615" w:type="dxa"/>
          </w:tcPr>
          <w:p w14:paraId="36B9B512">
            <w:pPr>
              <w:spacing w:before="0" w:after="0" w:line="360" w:lineRule="auto"/>
              <w:rPr>
                <w:rFonts w:ascii="Times New Roman" w:hAnsi="Times New Roman" w:eastAsia="宋体"/>
                <w:b w:val="0"/>
                <w:sz w:val="24"/>
              </w:rPr>
            </w:pPr>
            <w:r>
              <w:rPr>
                <w:rFonts w:ascii="Times New Roman" w:hAnsi="Times New Roman" w:eastAsia="宋体"/>
                <w:b w:val="0"/>
                <w:sz w:val="24"/>
              </w:rPr>
              <w:t>1</w:t>
            </w:r>
          </w:p>
        </w:tc>
        <w:tc>
          <w:tcPr>
            <w:tcW w:w="4621" w:type="dxa"/>
          </w:tcPr>
          <w:p w14:paraId="03DDD122">
            <w:pPr>
              <w:spacing w:before="0" w:after="0" w:line="360" w:lineRule="auto"/>
              <w:rPr>
                <w:rFonts w:ascii="Times New Roman" w:hAnsi="Times New Roman" w:eastAsia="宋体"/>
                <w:b w:val="0"/>
                <w:sz w:val="24"/>
              </w:rPr>
            </w:pPr>
            <w:r>
              <w:rPr>
                <w:rFonts w:ascii="Times New Roman" w:hAnsi="Times New Roman" w:eastAsia="宋体"/>
                <w:b w:val="0"/>
                <w:sz w:val="24"/>
              </w:rPr>
              <w:t>中国民族卫生协会风湿骨病专业委员会</w:t>
            </w:r>
          </w:p>
        </w:tc>
      </w:tr>
      <w:tr w14:paraId="6A56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14:paraId="41417E0D">
            <w:pPr>
              <w:spacing w:before="0" w:after="0" w:line="360" w:lineRule="auto"/>
              <w:rPr>
                <w:rFonts w:ascii="Times New Roman" w:hAnsi="Times New Roman" w:eastAsia="宋体"/>
                <w:b w:val="0"/>
                <w:sz w:val="24"/>
              </w:rPr>
            </w:pPr>
            <w:r>
              <w:rPr>
                <w:rFonts w:ascii="Times New Roman" w:hAnsi="Times New Roman" w:eastAsia="宋体"/>
                <w:b w:val="0"/>
                <w:sz w:val="24"/>
              </w:rPr>
              <w:t>2</w:t>
            </w:r>
          </w:p>
        </w:tc>
        <w:tc>
          <w:tcPr>
            <w:tcW w:w="2625" w:type="dxa"/>
          </w:tcPr>
          <w:p w14:paraId="3EEB295D">
            <w:pPr>
              <w:spacing w:before="0" w:after="0" w:line="360" w:lineRule="auto"/>
              <w:rPr>
                <w:rFonts w:ascii="Times New Roman" w:hAnsi="Times New Roman" w:eastAsia="宋体"/>
                <w:b w:val="0"/>
                <w:sz w:val="24"/>
              </w:rPr>
            </w:pPr>
            <w:r>
              <w:rPr>
                <w:rFonts w:ascii="Times New Roman" w:hAnsi="Times New Roman" w:eastAsia="宋体"/>
                <w:b w:val="0"/>
                <w:sz w:val="24"/>
              </w:rPr>
              <w:t>高校</w:t>
            </w:r>
          </w:p>
        </w:tc>
        <w:tc>
          <w:tcPr>
            <w:tcW w:w="615" w:type="dxa"/>
          </w:tcPr>
          <w:p w14:paraId="6872ED6A">
            <w:pPr>
              <w:spacing w:before="0" w:after="0" w:line="360" w:lineRule="auto"/>
              <w:rPr>
                <w:rFonts w:hint="eastAsia" w:ascii="Times New Roman" w:hAnsi="Times New Roman" w:eastAsia="宋体"/>
                <w:b w:val="0"/>
                <w:sz w:val="24"/>
                <w:lang w:val="en-US" w:eastAsia="zh-CN"/>
              </w:rPr>
            </w:pPr>
            <w:r>
              <w:rPr>
                <w:rFonts w:hint="eastAsia" w:ascii="Times New Roman" w:hAnsi="Times New Roman" w:eastAsia="宋体"/>
                <w:b w:val="0"/>
                <w:sz w:val="24"/>
                <w:lang w:val="en-US" w:eastAsia="zh-CN"/>
              </w:rPr>
              <w:t>1</w:t>
            </w:r>
          </w:p>
        </w:tc>
        <w:tc>
          <w:tcPr>
            <w:tcW w:w="4621" w:type="dxa"/>
          </w:tcPr>
          <w:p w14:paraId="5E11478D">
            <w:pPr>
              <w:spacing w:before="0" w:after="0" w:line="360" w:lineRule="auto"/>
              <w:rPr>
                <w:rFonts w:ascii="Times New Roman" w:hAnsi="Times New Roman" w:eastAsia="宋体"/>
                <w:b w:val="0"/>
                <w:sz w:val="24"/>
              </w:rPr>
            </w:pPr>
            <w:r>
              <w:rPr>
                <w:rFonts w:ascii="Times New Roman" w:hAnsi="Times New Roman" w:eastAsia="宋体"/>
                <w:b w:val="0"/>
                <w:sz w:val="24"/>
                <w:lang w:val="en-US" w:eastAsia="zh-CN"/>
              </w:rPr>
              <w:t>长春中医药大学</w:t>
            </w:r>
          </w:p>
        </w:tc>
      </w:tr>
      <w:tr w14:paraId="383B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14:paraId="7D9C9123">
            <w:pPr>
              <w:spacing w:before="0" w:after="0" w:line="360" w:lineRule="auto"/>
              <w:rPr>
                <w:rFonts w:ascii="Times New Roman" w:hAnsi="Times New Roman" w:eastAsia="宋体"/>
                <w:b w:val="0"/>
                <w:sz w:val="24"/>
              </w:rPr>
            </w:pPr>
            <w:r>
              <w:rPr>
                <w:rFonts w:ascii="Times New Roman" w:hAnsi="Times New Roman" w:eastAsia="宋体"/>
                <w:b w:val="0"/>
                <w:sz w:val="24"/>
              </w:rPr>
              <w:t>3</w:t>
            </w:r>
          </w:p>
        </w:tc>
        <w:tc>
          <w:tcPr>
            <w:tcW w:w="2625" w:type="dxa"/>
          </w:tcPr>
          <w:p w14:paraId="520AB668">
            <w:pPr>
              <w:spacing w:before="0" w:after="0" w:line="360" w:lineRule="auto"/>
              <w:rPr>
                <w:rFonts w:ascii="Times New Roman" w:hAnsi="Times New Roman" w:eastAsia="宋体"/>
                <w:b w:val="0"/>
                <w:sz w:val="24"/>
              </w:rPr>
            </w:pPr>
            <w:r>
              <w:rPr>
                <w:rFonts w:ascii="Times New Roman" w:hAnsi="Times New Roman" w:eastAsia="宋体"/>
                <w:b w:val="0"/>
                <w:sz w:val="24"/>
              </w:rPr>
              <w:t>医疗机构</w:t>
            </w:r>
          </w:p>
        </w:tc>
        <w:tc>
          <w:tcPr>
            <w:tcW w:w="615" w:type="dxa"/>
          </w:tcPr>
          <w:p w14:paraId="2A45CD61">
            <w:pPr>
              <w:spacing w:before="0" w:after="0" w:line="360" w:lineRule="auto"/>
              <w:rPr>
                <w:rFonts w:hint="eastAsia" w:ascii="Times New Roman" w:hAnsi="Times New Roman" w:eastAsia="宋体"/>
                <w:b w:val="0"/>
                <w:sz w:val="24"/>
                <w:lang w:eastAsia="zh-CN"/>
              </w:rPr>
            </w:pPr>
            <w:r>
              <w:rPr>
                <w:rFonts w:hint="eastAsia" w:ascii="Times New Roman" w:hAnsi="Times New Roman" w:eastAsia="宋体"/>
                <w:b w:val="0"/>
                <w:sz w:val="24"/>
                <w:lang w:val="en-US" w:eastAsia="zh-CN"/>
              </w:rPr>
              <w:t>3</w:t>
            </w:r>
            <w:bookmarkStart w:id="0" w:name="_GoBack"/>
            <w:bookmarkEnd w:id="0"/>
          </w:p>
        </w:tc>
        <w:tc>
          <w:tcPr>
            <w:tcW w:w="4621" w:type="dxa"/>
          </w:tcPr>
          <w:p w14:paraId="48BD6D21">
            <w:pPr>
              <w:spacing w:before="0" w:after="0" w:line="360" w:lineRule="auto"/>
              <w:rPr>
                <w:rFonts w:ascii="Times New Roman" w:hAnsi="Times New Roman" w:eastAsia="宋体"/>
                <w:b w:val="0"/>
                <w:sz w:val="24"/>
              </w:rPr>
            </w:pPr>
            <w:r>
              <w:rPr>
                <w:rFonts w:hint="eastAsia" w:ascii="Times New Roman" w:hAnsi="Times New Roman" w:eastAsia="宋体"/>
                <w:b w:val="0"/>
                <w:sz w:val="24"/>
                <w:lang w:val="en-US" w:eastAsia="zh-CN"/>
              </w:rPr>
              <w:t>长春中医药大学附属第一医院、英平风湿医院、长春吉润净月医院</w:t>
            </w:r>
          </w:p>
        </w:tc>
      </w:tr>
      <w:tr w14:paraId="48F3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14:paraId="6273217B">
            <w:pPr>
              <w:spacing w:before="0" w:after="0" w:line="360" w:lineRule="auto"/>
              <w:rPr>
                <w:rFonts w:ascii="Times New Roman" w:hAnsi="Times New Roman" w:eastAsia="宋体"/>
                <w:b w:val="0"/>
                <w:sz w:val="24"/>
              </w:rPr>
            </w:pPr>
            <w:r>
              <w:rPr>
                <w:rFonts w:ascii="Times New Roman" w:hAnsi="Times New Roman" w:eastAsia="宋体"/>
                <w:b w:val="0"/>
                <w:sz w:val="24"/>
              </w:rPr>
              <w:t>4</w:t>
            </w:r>
          </w:p>
        </w:tc>
        <w:tc>
          <w:tcPr>
            <w:tcW w:w="2625" w:type="dxa"/>
          </w:tcPr>
          <w:p w14:paraId="4C33AA85">
            <w:pPr>
              <w:spacing w:before="0" w:after="0" w:line="360" w:lineRule="auto"/>
              <w:rPr>
                <w:rFonts w:ascii="Times New Roman" w:hAnsi="Times New Roman" w:eastAsia="宋体"/>
                <w:b w:val="0"/>
                <w:sz w:val="24"/>
              </w:rPr>
            </w:pPr>
            <w:r>
              <w:rPr>
                <w:rFonts w:ascii="Times New Roman" w:hAnsi="Times New Roman" w:eastAsia="宋体"/>
                <w:b w:val="0"/>
                <w:sz w:val="24"/>
              </w:rPr>
              <w:t>科研院所</w:t>
            </w:r>
          </w:p>
        </w:tc>
        <w:tc>
          <w:tcPr>
            <w:tcW w:w="615" w:type="dxa"/>
          </w:tcPr>
          <w:p w14:paraId="00F146B0">
            <w:pPr>
              <w:spacing w:before="0" w:after="0" w:line="360" w:lineRule="auto"/>
              <w:rPr>
                <w:rFonts w:hint="eastAsia" w:ascii="Times New Roman" w:hAnsi="Times New Roman" w:eastAsia="宋体"/>
                <w:b w:val="0"/>
                <w:sz w:val="24"/>
                <w:lang w:eastAsia="zh-CN"/>
              </w:rPr>
            </w:pPr>
            <w:r>
              <w:rPr>
                <w:rFonts w:hint="eastAsia" w:ascii="Times New Roman" w:hAnsi="Times New Roman" w:eastAsia="宋体"/>
                <w:b w:val="0"/>
                <w:sz w:val="24"/>
                <w:lang w:val="en-US" w:eastAsia="zh-CN"/>
              </w:rPr>
              <w:t>1</w:t>
            </w:r>
          </w:p>
        </w:tc>
        <w:tc>
          <w:tcPr>
            <w:tcW w:w="4621" w:type="dxa"/>
          </w:tcPr>
          <w:p w14:paraId="62451E93">
            <w:pPr>
              <w:spacing w:before="0" w:after="0" w:line="360" w:lineRule="auto"/>
              <w:rPr>
                <w:rFonts w:ascii="Times New Roman" w:hAnsi="Times New Roman" w:eastAsia="宋体"/>
                <w:b w:val="0"/>
                <w:sz w:val="24"/>
              </w:rPr>
            </w:pPr>
            <w:r>
              <w:rPr>
                <w:rFonts w:hint="eastAsia" w:ascii="Times New Roman" w:hAnsi="Times New Roman" w:eastAsia="宋体"/>
                <w:b w:val="0"/>
                <w:sz w:val="24"/>
                <w:lang w:val="en-US" w:eastAsia="zh-CN"/>
              </w:rPr>
              <w:t>北京英平医疗技术研究所</w:t>
            </w:r>
          </w:p>
        </w:tc>
      </w:tr>
      <w:tr w14:paraId="7D95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dxa"/>
          </w:tcPr>
          <w:p w14:paraId="2D0EC9F9">
            <w:pPr>
              <w:spacing w:before="0" w:after="0" w:line="360" w:lineRule="auto"/>
              <w:rPr>
                <w:rFonts w:ascii="Times New Roman" w:hAnsi="Times New Roman" w:eastAsia="宋体"/>
                <w:b w:val="0"/>
                <w:sz w:val="24"/>
              </w:rPr>
            </w:pPr>
            <w:r>
              <w:rPr>
                <w:rFonts w:ascii="Times New Roman" w:hAnsi="Times New Roman" w:eastAsia="宋体"/>
                <w:b w:val="0"/>
                <w:sz w:val="24"/>
              </w:rPr>
              <w:t>5</w:t>
            </w:r>
          </w:p>
        </w:tc>
        <w:tc>
          <w:tcPr>
            <w:tcW w:w="2625" w:type="dxa"/>
          </w:tcPr>
          <w:p w14:paraId="33E55E1A">
            <w:pPr>
              <w:spacing w:before="0" w:after="0" w:line="360" w:lineRule="auto"/>
              <w:rPr>
                <w:rFonts w:ascii="Times New Roman" w:hAnsi="Times New Roman" w:eastAsia="宋体"/>
                <w:b w:val="0"/>
                <w:sz w:val="24"/>
              </w:rPr>
            </w:pPr>
            <w:r>
              <w:rPr>
                <w:rFonts w:ascii="Times New Roman" w:hAnsi="Times New Roman" w:eastAsia="宋体"/>
                <w:b w:val="0"/>
                <w:sz w:val="24"/>
              </w:rPr>
              <w:t>医药及相关企业</w:t>
            </w:r>
          </w:p>
        </w:tc>
        <w:tc>
          <w:tcPr>
            <w:tcW w:w="615" w:type="dxa"/>
          </w:tcPr>
          <w:p w14:paraId="47789D76">
            <w:pPr>
              <w:spacing w:before="0" w:after="0" w:line="360" w:lineRule="auto"/>
              <w:rPr>
                <w:rFonts w:hint="eastAsia" w:ascii="Times New Roman" w:hAnsi="Times New Roman" w:eastAsia="宋体"/>
                <w:b w:val="0"/>
                <w:sz w:val="24"/>
                <w:lang w:eastAsia="zh-CN"/>
              </w:rPr>
            </w:pPr>
            <w:r>
              <w:rPr>
                <w:rFonts w:hint="eastAsia" w:ascii="Times New Roman" w:hAnsi="Times New Roman" w:eastAsia="宋体"/>
                <w:b w:val="0"/>
                <w:sz w:val="24"/>
                <w:lang w:val="en-US" w:eastAsia="zh-CN"/>
              </w:rPr>
              <w:t>2</w:t>
            </w:r>
          </w:p>
        </w:tc>
        <w:tc>
          <w:tcPr>
            <w:tcW w:w="4621" w:type="dxa"/>
          </w:tcPr>
          <w:p w14:paraId="11EC0795">
            <w:pPr>
              <w:spacing w:before="0" w:after="0" w:line="360" w:lineRule="auto"/>
              <w:rPr>
                <w:rFonts w:ascii="Times New Roman" w:hAnsi="Times New Roman" w:eastAsia="宋体"/>
                <w:b w:val="0"/>
                <w:sz w:val="24"/>
              </w:rPr>
            </w:pPr>
            <w:r>
              <w:rPr>
                <w:rFonts w:hint="eastAsia" w:ascii="Times New Roman" w:hAnsi="Times New Roman" w:eastAsia="宋体"/>
                <w:b w:val="0"/>
                <w:sz w:val="24"/>
                <w:lang w:val="en-US" w:eastAsia="zh-CN"/>
              </w:rPr>
              <w:t>英平集团</w:t>
            </w:r>
            <w:r>
              <w:rPr>
                <w:rFonts w:ascii="Times New Roman" w:hAnsi="Times New Roman" w:eastAsia="宋体"/>
                <w:b w:val="0"/>
                <w:sz w:val="24"/>
                <w:lang w:val="en-US" w:eastAsia="zh-CN"/>
              </w:rPr>
              <w:t>、</w:t>
            </w:r>
            <w:r>
              <w:rPr>
                <w:rFonts w:hint="eastAsia" w:ascii="Times New Roman" w:hAnsi="Times New Roman" w:eastAsia="宋体"/>
                <w:b w:val="0"/>
                <w:sz w:val="24"/>
                <w:lang w:val="en-US" w:eastAsia="zh-CN"/>
              </w:rPr>
              <w:t>星烁科技有限公司</w:t>
            </w:r>
          </w:p>
        </w:tc>
      </w:tr>
    </w:tbl>
    <w:p w14:paraId="74B17B50"/>
    <w:p w14:paraId="40182BC7">
      <w:pPr>
        <w:spacing w:before="240" w:after="0" w:line="360" w:lineRule="auto"/>
        <w:jc w:val="right"/>
      </w:pPr>
      <w:r>
        <w:rPr>
          <w:rFonts w:ascii="Times New Roman" w:hAnsi="Times New Roman" w:eastAsia="宋体"/>
          <w:b w:val="0"/>
          <w:sz w:val="24"/>
        </w:rPr>
        <w:t>《常见风湿免疫疾病中西医结合临床诊疗指南</w:t>
      </w:r>
      <w:r>
        <w:rPr>
          <w:rFonts w:ascii="Times New Roman" w:hAnsi="Times New Roman" w:eastAsia="宋体"/>
          <w:b w:val="0"/>
          <w:sz w:val="24"/>
        </w:rPr>
        <w:br w:type="textWrapping"/>
      </w:r>
      <w:r>
        <w:rPr>
          <w:rFonts w:ascii="Times New Roman" w:hAnsi="Times New Roman" w:eastAsia="宋体"/>
          <w:b w:val="0"/>
          <w:sz w:val="24"/>
        </w:rPr>
        <w:t>系统性红斑狼疮》起草组</w:t>
      </w:r>
    </w:p>
    <w:p w14:paraId="7B8AEF20">
      <w:pPr>
        <w:spacing w:before="0" w:after="0" w:line="360" w:lineRule="auto"/>
        <w:jc w:val="right"/>
      </w:pPr>
      <w:r>
        <w:rPr>
          <w:rFonts w:ascii="Times New Roman" w:hAnsi="Times New Roman" w:eastAsia="宋体"/>
          <w:b w:val="0"/>
          <w:sz w:val="24"/>
        </w:rPr>
        <w:t>2026年9月6日</w:t>
      </w:r>
    </w:p>
    <w:sectPr>
      <w:pgSz w:w="12240" w:h="15840"/>
      <w:pgMar w:top="1440" w:right="1474" w:bottom="1440"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F023B69"/>
    <w:rsid w:val="3B3B4941"/>
    <w:rsid w:val="6F6A6E59"/>
    <w:rsid w:val="6FF7262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6</Pages>
  <Words>1071</Words>
  <Characters>1156</Characters>
  <Lines>0</Lines>
  <Paragraphs>0</Paragraphs>
  <TotalTime>0</TotalTime>
  <ScaleCrop>false</ScaleCrop>
  <LinksUpToDate>false</LinksUpToDate>
  <CharactersWithSpaces>1159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小螃蟹</cp:lastModifiedBy>
  <dcterms:modified xsi:type="dcterms:W3CDTF">2026-09-11T00:34:21Z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8CEA1A014730E345BAE09E6AAE1E279E_42</vt:lpwstr>
  </property>
  <property fmtid="{D5CDD505-2E9C-101B-9397-08002B2CF9AE}" pid="4" name="KSOTemplateDocerSaveRecord">
    <vt:lpwstr>eyJoZGlkIjoiNTBjZWIzZjliZTBlZmRkYzRiNTY0MmFlYWYzZTc5MGUiLCJ1c2VySWQiOiI1MDY0NTY2MjEifQ==</vt:lpwstr>
  </property>
</Properties>
</file>