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922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《常见风湿免疫疾病中西医结合临床诊疗指南</w:t>
      </w:r>
      <w:r>
        <w:rPr>
          <w:rFonts w:hint="eastAsia" w:ascii="Calibri" w:hAnsi="Calibri" w:eastAsia="宋体" w:cs="Times New Roman"/>
          <w:kern w:val="2"/>
          <w:szCs w:val="24"/>
          <w:highlight w:val="none"/>
          <w:lang w:val="en-US" w:eastAsia="zh-CN" w:bidi="ar-SA"/>
        </w:rPr>
        <w:t xml:space="preserve">IgA </w:t>
      </w:r>
      <w:r>
        <w:rPr>
          <w:rFonts w:hint="eastAsia" w:ascii="宋体" w:hAnsi="宋体" w:eastAsia="宋体" w:cs="宋体"/>
          <w:sz w:val="21"/>
          <w:szCs w:val="21"/>
        </w:rPr>
        <w:t>血管炎》团体标准编制说明</w:t>
      </w:r>
    </w:p>
    <w:p w14:paraId="589E8E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0" w:name="heading_0"/>
    </w:p>
    <w:p w14:paraId="435328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一、标准编制背景及任务来源</w:t>
      </w:r>
      <w:bookmarkEnd w:id="0"/>
    </w:p>
    <w:p w14:paraId="61C4CF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1" w:name="heading_1"/>
      <w:r>
        <w:rPr>
          <w:rFonts w:hint="eastAsia" w:ascii="宋体" w:hAnsi="宋体" w:eastAsia="宋体" w:cs="宋体"/>
          <w:sz w:val="21"/>
          <w:szCs w:val="21"/>
        </w:rPr>
        <w:t>（一）标准编制背景</w:t>
      </w:r>
      <w:bookmarkEnd w:id="1"/>
    </w:p>
    <w:p w14:paraId="0597BF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Calibri" w:hAnsi="Calibri" w:eastAsia="宋体" w:cs="Times New Roman"/>
          <w:kern w:val="2"/>
          <w:szCs w:val="24"/>
          <w:highlight w:val="none"/>
          <w:lang w:val="en-US" w:eastAsia="zh-CN" w:bidi="ar-SA"/>
        </w:rPr>
        <w:t xml:space="preserve">IgA </w:t>
      </w:r>
      <w:r>
        <w:rPr>
          <w:rFonts w:hint="eastAsia" w:ascii="宋体" w:hAnsi="宋体" w:eastAsia="宋体" w:cs="宋体"/>
          <w:sz w:val="21"/>
          <w:szCs w:val="21"/>
        </w:rPr>
        <w:t>血管炎</w:t>
      </w:r>
      <w:r>
        <w:rPr>
          <w:rFonts w:hint="eastAsia" w:ascii="Calibri" w:hAnsi="Calibri" w:eastAsia="宋体" w:cs="Times New Roman"/>
          <w:kern w:val="2"/>
          <w:szCs w:val="24"/>
          <w:highlight w:val="none"/>
          <w:lang w:val="en-US" w:eastAsia="zh-CN" w:bidi="ar-SA"/>
        </w:rPr>
        <w:t>（IgA Vasculitis，IgAV</w:t>
      </w:r>
      <w:r>
        <w:rPr>
          <w:rFonts w:hint="eastAsia" w:ascii="宋体" w:hAnsi="宋体" w:eastAsia="宋体" w:cs="宋体"/>
          <w:sz w:val="21"/>
          <w:szCs w:val="21"/>
        </w:rPr>
        <w:t>，曾用名：过敏性紫癜</w:t>
      </w:r>
      <w:r>
        <w:rPr>
          <w:rFonts w:hint="eastAsia" w:ascii="Calibri" w:hAnsi="Calibri" w:eastAsia="宋体" w:cs="Times New Roman"/>
          <w:kern w:val="2"/>
          <w:szCs w:val="24"/>
          <w:highlight w:val="none"/>
          <w:lang w:val="en-US" w:eastAsia="zh-CN" w:bidi="ar-SA"/>
        </w:rPr>
        <w:t xml:space="preserve"> Henoch - Schönlein purpura，HSP</w:t>
      </w:r>
      <w:r>
        <w:rPr>
          <w:rFonts w:hint="eastAsia" w:ascii="宋体" w:hAnsi="宋体" w:eastAsia="宋体" w:cs="宋体"/>
          <w:sz w:val="21"/>
          <w:szCs w:val="21"/>
        </w:rPr>
        <w:t xml:space="preserve">）是一种以异常糖基化 </w:t>
      </w:r>
      <w:r>
        <w:rPr>
          <w:rFonts w:hint="eastAsia" w:ascii="Calibri" w:hAnsi="Calibri" w:eastAsia="宋体" w:cs="Times New Roman"/>
          <w:kern w:val="2"/>
          <w:szCs w:val="24"/>
          <w:highlight w:val="none"/>
          <w:lang w:val="en-US" w:eastAsia="zh-CN" w:bidi="ar-SA"/>
        </w:rPr>
        <w:t xml:space="preserve">IgA1 </w:t>
      </w:r>
      <w:r>
        <w:rPr>
          <w:rFonts w:hint="eastAsia" w:ascii="宋体" w:hAnsi="宋体" w:eastAsia="宋体" w:cs="宋体"/>
          <w:sz w:val="21"/>
          <w:szCs w:val="21"/>
        </w:rPr>
        <w:t>为主的免疫复合物沉积于全身小血管壁为核心病理特征的白细胞碎裂性小血管炎，也是儿童期最常见的系统性血管炎，成人亦可发病，且成人患者脏器受累更重、复发率更高、预后相对更差。我国儿童</w:t>
      </w:r>
      <w:r>
        <w:rPr>
          <w:rFonts w:hint="eastAsia" w:ascii="宋体" w:hAnsi="宋体" w:eastAsia="宋体" w:cs="宋体"/>
          <w:sz w:val="21"/>
          <w:szCs w:val="21"/>
          <w:lang w:val="en-US" w:eastAsia="zh-CN"/>
        </w:rPr>
        <w:t xml:space="preserve"> </w:t>
      </w:r>
      <w:r>
        <w:rPr>
          <w:rFonts w:hint="eastAsia" w:ascii="Calibri" w:hAnsi="Calibri" w:eastAsia="宋体" w:cs="Times New Roman"/>
          <w:kern w:val="2"/>
          <w:szCs w:val="24"/>
          <w:highlight w:val="none"/>
          <w:lang w:val="en-US" w:eastAsia="zh-CN" w:bidi="ar-SA"/>
        </w:rPr>
        <w:t xml:space="preserve"> IgA  </w:t>
      </w:r>
      <w:r>
        <w:rPr>
          <w:rFonts w:hint="eastAsia" w:ascii="宋体" w:hAnsi="宋体" w:eastAsia="宋体" w:cs="宋体"/>
          <w:sz w:val="21"/>
          <w:szCs w:val="21"/>
        </w:rPr>
        <w:t>血管炎年发病率为</w:t>
      </w:r>
      <w:r>
        <w:rPr>
          <w:rFonts w:hint="eastAsia" w:ascii="Calibri" w:hAnsi="Calibri" w:eastAsia="宋体" w:cs="Times New Roman"/>
          <w:kern w:val="2"/>
          <w:szCs w:val="24"/>
          <w:highlight w:val="none"/>
          <w:lang w:val="en-US" w:eastAsia="zh-CN" w:bidi="ar-SA"/>
        </w:rPr>
        <w:t xml:space="preserve">（6.1～55.9）/10 </w:t>
      </w:r>
      <w:r>
        <w:rPr>
          <w:rFonts w:hint="eastAsia" w:ascii="宋体" w:hAnsi="宋体" w:eastAsia="宋体" w:cs="宋体"/>
          <w:sz w:val="21"/>
          <w:szCs w:val="21"/>
        </w:rPr>
        <w:t>万，不同地区差异较大，</w:t>
      </w:r>
      <w:r>
        <w:rPr>
          <w:rFonts w:hint="eastAsia" w:ascii="Calibri" w:hAnsi="Calibri" w:eastAsia="宋体" w:cs="Times New Roman"/>
          <w:kern w:val="2"/>
          <w:szCs w:val="24"/>
          <w:highlight w:val="none"/>
          <w:lang w:val="en-US" w:eastAsia="zh-CN" w:bidi="ar-SA"/>
        </w:rPr>
        <w:t xml:space="preserve">4～6 </w:t>
      </w:r>
      <w:r>
        <w:rPr>
          <w:rFonts w:hint="eastAsia" w:ascii="宋体" w:hAnsi="宋体" w:eastAsia="宋体" w:cs="宋体"/>
          <w:sz w:val="21"/>
          <w:szCs w:val="21"/>
        </w:rPr>
        <w:t>岁为发病高峰，秋冬季节高发。本病以皮肤、关节、胃肠道、肾脏多器官受累为主要临床特征，其中关节受累表现与风湿免疫疾病核心症状高度契合，是本系列指南纳入的重要病种之一。疾病不仅严重影响患者生存质量，亦给家庭与社会带来沉重的疾病负担。</w:t>
      </w:r>
    </w:p>
    <w:p w14:paraId="2478AA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随着</w:t>
      </w:r>
      <w:r>
        <w:rPr>
          <w:rFonts w:hint="eastAsia" w:ascii="Calibri" w:hAnsi="Calibri" w:eastAsia="宋体" w:cs="Times New Roman"/>
          <w:kern w:val="2"/>
          <w:szCs w:val="24"/>
          <w:highlight w:val="none"/>
          <w:lang w:val="en-US" w:eastAsia="zh-CN" w:bidi="ar-SA"/>
        </w:rPr>
        <w:t xml:space="preserve"> IgA</w:t>
      </w:r>
      <w:r>
        <w:rPr>
          <w:rFonts w:hint="eastAsia" w:ascii="宋体" w:hAnsi="宋体" w:eastAsia="宋体" w:cs="宋体"/>
          <w:sz w:val="21"/>
          <w:szCs w:val="21"/>
        </w:rPr>
        <w:t xml:space="preserve"> 血管炎诊疗水平的不断提高，规范诊疗理念广泛普及，患者预后已得到显著改善，但本病的诊疗仍面临诸多挑战：一是疾病异质性强，临床表现复杂多样，可累及多系统脏器，早期诊断与精准评估难度大；二是中西医结合诊疗缺乏统一规范，中医辨证分型与西医病情评估、分层治疗未能深度有机结合，诊疗方案参差不齐，影响了整体诊疗效果的提升；三是我国 </w:t>
      </w:r>
      <w:r>
        <w:rPr>
          <w:rFonts w:hint="eastAsia" w:ascii="Calibri" w:hAnsi="Calibri" w:eastAsia="宋体" w:cs="Times New Roman"/>
          <w:kern w:val="2"/>
          <w:szCs w:val="24"/>
          <w:highlight w:val="none"/>
          <w:lang w:val="en-US" w:eastAsia="zh-CN" w:bidi="ar-SA"/>
        </w:rPr>
        <w:t xml:space="preserve">IgA </w:t>
      </w:r>
      <w:r>
        <w:rPr>
          <w:rFonts w:hint="eastAsia" w:ascii="宋体" w:hAnsi="宋体" w:eastAsia="宋体" w:cs="宋体"/>
          <w:sz w:val="21"/>
          <w:szCs w:val="21"/>
        </w:rPr>
        <w:t>血管炎患者基数大，基层医疗机构规范化诊疗能力不足，中西医结合的优势未能充分下沉与发挥；四是随着生物制剂、精准营养支持等新型诊疗手段不断涌现，</w:t>
      </w:r>
      <w:r>
        <w:rPr>
          <w:rFonts w:hint="eastAsia" w:ascii="宋体" w:hAnsi="宋体" w:eastAsia="宋体" w:cs="宋体"/>
          <w:sz w:val="21"/>
          <w:szCs w:val="21"/>
          <w:lang w:val="en-US" w:eastAsia="zh-CN"/>
        </w:rPr>
        <w:t>急需</w:t>
      </w:r>
      <w:r>
        <w:rPr>
          <w:rFonts w:hint="eastAsia" w:ascii="宋体" w:hAnsi="宋体" w:eastAsia="宋体" w:cs="宋体"/>
          <w:sz w:val="21"/>
          <w:szCs w:val="21"/>
        </w:rPr>
        <w:t>建立涵盖中西医并重、全病程管理的标准化诊疗方案，以指导各级医疗机构临床实践。</w:t>
      </w:r>
    </w:p>
    <w:p w14:paraId="44E24C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中医药在</w:t>
      </w:r>
      <w:r>
        <w:rPr>
          <w:rFonts w:hint="eastAsia" w:ascii="Calibri" w:hAnsi="Calibri" w:eastAsia="宋体" w:cs="Times New Roman"/>
          <w:kern w:val="2"/>
          <w:szCs w:val="24"/>
          <w:highlight w:val="none"/>
          <w:lang w:val="en-US" w:eastAsia="zh-CN" w:bidi="ar-SA"/>
        </w:rPr>
        <w:t xml:space="preserve"> IgA </w:t>
      </w:r>
      <w:r>
        <w:rPr>
          <w:rFonts w:hint="eastAsia" w:ascii="宋体" w:hAnsi="宋体" w:eastAsia="宋体" w:cs="宋体"/>
          <w:sz w:val="21"/>
          <w:szCs w:val="21"/>
        </w:rPr>
        <w:t>血管炎治疗中具有独特优势。中医古籍中与本病相关的记载丰富，归属于“葡萄疫”“肌衄”“血风疮”“紫斑”“痹证”等范畴，认为本病病机为本虚标实，标实为风热、湿热、热毒、瘀血痹阻脉络，本虚为气血阴阳脏腑亏虚，病程演变有鲜明的分期分证特点。中西医结合治疗</w:t>
      </w:r>
      <w:r>
        <w:rPr>
          <w:rFonts w:hint="eastAsia" w:ascii="Calibri" w:hAnsi="Calibri" w:eastAsia="宋体" w:cs="Times New Roman"/>
          <w:kern w:val="2"/>
          <w:szCs w:val="24"/>
          <w:highlight w:val="none"/>
          <w:lang w:val="en-US" w:eastAsia="zh-CN" w:bidi="ar-SA"/>
        </w:rPr>
        <w:t xml:space="preserve"> IgA </w:t>
      </w:r>
      <w:r>
        <w:rPr>
          <w:rFonts w:hint="eastAsia" w:ascii="宋体" w:hAnsi="宋体" w:eastAsia="宋体" w:cs="宋体"/>
          <w:sz w:val="21"/>
          <w:szCs w:val="21"/>
        </w:rPr>
        <w:t>血管炎在增效减毒、改善症状、减少复发、保护脏器功能、提高生活质量等方面显示出良好效果。但目前国内针对</w:t>
      </w:r>
      <w:r>
        <w:rPr>
          <w:rFonts w:hint="eastAsia" w:ascii="Calibri" w:hAnsi="Calibri" w:eastAsia="宋体" w:cs="Times New Roman"/>
          <w:kern w:val="2"/>
          <w:szCs w:val="24"/>
          <w:highlight w:val="none"/>
          <w:lang w:val="en-US" w:eastAsia="zh-CN" w:bidi="ar-SA"/>
        </w:rPr>
        <w:t xml:space="preserve"> IgA </w:t>
      </w:r>
      <w:r>
        <w:rPr>
          <w:rFonts w:hint="eastAsia" w:ascii="宋体" w:hAnsi="宋体" w:eastAsia="宋体" w:cs="宋体"/>
          <w:sz w:val="21"/>
          <w:szCs w:val="21"/>
        </w:rPr>
        <w:t>血管炎中西医结合诊疗的团体标准仍有待完善，制约了中西医结合诊疗模式的规范化推广与应用。</w:t>
      </w:r>
    </w:p>
    <w:p w14:paraId="1704D4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国家《“十四五”中医药发展规划》明确提出要推动中西医结合高质量发展，加强中西医结合学科建设，制定中西医结合诊疗指南。《“健康中国 </w:t>
      </w:r>
      <w:r>
        <w:rPr>
          <w:rFonts w:hint="eastAsia" w:ascii="Calibri" w:hAnsi="Calibri" w:eastAsia="宋体" w:cs="Times New Roman"/>
          <w:kern w:val="2"/>
          <w:szCs w:val="24"/>
          <w:highlight w:val="none"/>
          <w:lang w:val="en-US" w:eastAsia="zh-CN" w:bidi="ar-SA"/>
        </w:rPr>
        <w:t>2030</w:t>
      </w:r>
      <w:r>
        <w:rPr>
          <w:rFonts w:hint="eastAsia" w:ascii="宋体" w:hAnsi="宋体" w:eastAsia="宋体" w:cs="宋体"/>
          <w:sz w:val="21"/>
          <w:szCs w:val="21"/>
        </w:rPr>
        <w:t xml:space="preserve">”规划纲要》强调要充分发挥中医药独特优势，推动中医药与西医药相互补充、协调发展。在此背景下，制定《常见风湿免疫疾病中西医结合临床诊疗指南 </w:t>
      </w:r>
      <w:r>
        <w:rPr>
          <w:rFonts w:hint="eastAsia" w:ascii="Calibri" w:hAnsi="Calibri" w:eastAsia="宋体" w:cs="Times New Roman"/>
          <w:kern w:val="2"/>
          <w:szCs w:val="24"/>
          <w:highlight w:val="none"/>
          <w:lang w:val="en-US" w:eastAsia="zh-CN" w:bidi="ar-SA"/>
        </w:rPr>
        <w:t xml:space="preserve">IgA </w:t>
      </w:r>
      <w:r>
        <w:rPr>
          <w:rFonts w:hint="eastAsia" w:ascii="宋体" w:hAnsi="宋体" w:eastAsia="宋体" w:cs="宋体"/>
          <w:sz w:val="21"/>
          <w:szCs w:val="21"/>
        </w:rPr>
        <w:t>血管炎》团体标准，对于规范</w:t>
      </w:r>
      <w:r>
        <w:rPr>
          <w:rFonts w:hint="eastAsia" w:ascii="Calibri" w:hAnsi="Calibri" w:eastAsia="宋体" w:cs="Times New Roman"/>
          <w:kern w:val="2"/>
          <w:szCs w:val="24"/>
          <w:highlight w:val="none"/>
          <w:lang w:val="en-US" w:eastAsia="zh-CN" w:bidi="ar-SA"/>
        </w:rPr>
        <w:t xml:space="preserve"> IgA </w:t>
      </w:r>
      <w:r>
        <w:rPr>
          <w:rFonts w:hint="eastAsia" w:ascii="宋体" w:hAnsi="宋体" w:eastAsia="宋体" w:cs="宋体"/>
          <w:sz w:val="21"/>
          <w:szCs w:val="21"/>
        </w:rPr>
        <w:t>血管炎中西医结合诊疗行为、提高临床疗效、促进中医药传承创新发展具有重要意义。</w:t>
      </w:r>
    </w:p>
    <w:p w14:paraId="3A1D75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2" w:name="heading_2"/>
      <w:r>
        <w:rPr>
          <w:rFonts w:hint="eastAsia" w:ascii="宋体" w:hAnsi="宋体" w:eastAsia="宋体" w:cs="宋体"/>
          <w:sz w:val="21"/>
          <w:szCs w:val="21"/>
        </w:rPr>
        <w:t>（二）任务来源</w:t>
      </w:r>
      <w:bookmarkEnd w:id="2"/>
    </w:p>
    <w:p w14:paraId="4D2554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3" w:name="heading_3"/>
      <w:r>
        <w:rPr>
          <w:rFonts w:hint="eastAsia" w:ascii="宋体" w:hAnsi="宋体" w:eastAsia="宋体" w:cs="宋体"/>
          <w:sz w:val="21"/>
          <w:szCs w:val="21"/>
        </w:rPr>
        <w:t>中国民族卫生协会是经卫生部（现国家卫健委）、国家民族事务委员会、民政部审核同意并报国务院批准成立的国家一级非营利性行业社会团体，于</w:t>
      </w:r>
      <w:r>
        <w:rPr>
          <w:rFonts w:hint="eastAsia" w:ascii="Calibri" w:hAnsi="Calibri" w:eastAsia="宋体" w:cs="Times New Roman"/>
          <w:kern w:val="2"/>
          <w:szCs w:val="24"/>
          <w:highlight w:val="none"/>
          <w:lang w:val="en-US" w:eastAsia="zh-CN" w:bidi="ar-SA"/>
        </w:rPr>
        <w:t>2005</w:t>
      </w:r>
      <w:r>
        <w:rPr>
          <w:rFonts w:hint="eastAsia" w:ascii="宋体" w:hAnsi="宋体" w:eastAsia="宋体" w:cs="宋体"/>
          <w:sz w:val="21"/>
          <w:szCs w:val="21"/>
        </w:rPr>
        <w:t>年</w:t>
      </w:r>
      <w:r>
        <w:rPr>
          <w:rFonts w:hint="eastAsia" w:ascii="Calibri" w:hAnsi="Calibri" w:eastAsia="宋体" w:cs="Times New Roman"/>
          <w:kern w:val="2"/>
          <w:szCs w:val="24"/>
          <w:highlight w:val="none"/>
          <w:lang w:val="en-US" w:eastAsia="zh-CN" w:bidi="ar-SA"/>
        </w:rPr>
        <w:t>5</w:t>
      </w:r>
      <w:r>
        <w:rPr>
          <w:rFonts w:hint="eastAsia" w:ascii="宋体" w:hAnsi="宋体" w:eastAsia="宋体" w:cs="宋体"/>
          <w:sz w:val="21"/>
          <w:szCs w:val="21"/>
        </w:rPr>
        <w:t>月</w:t>
      </w:r>
      <w:r>
        <w:rPr>
          <w:rFonts w:hint="eastAsia" w:ascii="Calibri" w:hAnsi="Calibri" w:eastAsia="宋体" w:cs="Times New Roman"/>
          <w:kern w:val="2"/>
          <w:szCs w:val="24"/>
          <w:highlight w:val="none"/>
          <w:lang w:val="en-US" w:eastAsia="zh-CN" w:bidi="ar-SA"/>
        </w:rPr>
        <w:t>18</w:t>
      </w:r>
      <w:r>
        <w:rPr>
          <w:rFonts w:hint="eastAsia" w:ascii="宋体" w:hAnsi="宋体" w:eastAsia="宋体" w:cs="宋体"/>
          <w:sz w:val="21"/>
          <w:szCs w:val="21"/>
        </w:rPr>
        <w:t>日正式成立，评估等级为AAAA级。卫生部（现为国家卫健委）为其业务主管单位。协会全面遵守国家宪法、法律和法规，认真贯彻执行党和国家民族卫生政策，团结组织社会各方面力量，加强国内、国际交流与合作，促进民族地区卫生事业发展，弘扬中华民族传统医药，振兴民族医药产业，为各民族地区人民健康服务，为全面建设小康社会、构建社会主义和谐社会服务为发展宗旨。</w:t>
      </w:r>
    </w:p>
    <w:p w14:paraId="64AC6E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本标准由中国民族卫生协会风湿疑难病专业委员会提出，</w:t>
      </w:r>
      <w:r>
        <w:rPr>
          <w:rFonts w:hint="eastAsia" w:ascii="Calibri" w:hAnsi="Calibri" w:eastAsia="宋体" w:cs="Times New Roman"/>
          <w:kern w:val="2"/>
          <w:szCs w:val="24"/>
          <w:highlight w:val="none"/>
          <w:lang w:val="en-US" w:eastAsia="zh-CN" w:bidi="ar-SA"/>
        </w:rPr>
        <w:t>2025</w:t>
      </w:r>
      <w:r>
        <w:rPr>
          <w:rFonts w:hint="eastAsia" w:ascii="宋体" w:hAnsi="宋体" w:eastAsia="宋体" w:cs="宋体"/>
          <w:sz w:val="21"/>
          <w:szCs w:val="21"/>
        </w:rPr>
        <w:t>年</w:t>
      </w:r>
      <w:r>
        <w:rPr>
          <w:rFonts w:hint="eastAsia" w:ascii="Calibri" w:hAnsi="Calibri" w:eastAsia="宋体" w:cs="Times New Roman"/>
          <w:kern w:val="2"/>
          <w:szCs w:val="24"/>
          <w:highlight w:val="none"/>
          <w:lang w:val="en-US" w:eastAsia="zh-CN" w:bidi="ar-SA"/>
        </w:rPr>
        <w:t>1</w:t>
      </w:r>
      <w:r>
        <w:rPr>
          <w:rFonts w:hint="eastAsia" w:ascii="宋体" w:hAnsi="宋体" w:eastAsia="宋体" w:cs="宋体"/>
          <w:sz w:val="21"/>
          <w:szCs w:val="21"/>
        </w:rPr>
        <w:t>月经中国民族卫生协会标准化技术委员会审核，中国民族卫生协会批准立项（项目编号：）。为保质保量完成标准制定工作，由中国民族卫生协会风湿疑难病专业委员会联合风湿免疫领域相关医疗机构、高校共同组成标准起草小组，负责标准的起草和编制工作。</w:t>
      </w:r>
    </w:p>
    <w:p w14:paraId="5355F4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p>
    <w:p w14:paraId="5009B9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二、主要工作过程</w:t>
      </w:r>
      <w:bookmarkEnd w:id="3"/>
    </w:p>
    <w:p w14:paraId="6A5C9D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4" w:name="heading_7"/>
      <w:r>
        <w:rPr>
          <w:rFonts w:hint="eastAsia" w:ascii="宋体" w:hAnsi="宋体" w:eastAsia="宋体" w:cs="宋体"/>
          <w:sz w:val="21"/>
          <w:szCs w:val="21"/>
        </w:rPr>
        <w:t>（一）预研（</w:t>
      </w:r>
      <w:r>
        <w:rPr>
          <w:rFonts w:hint="eastAsia" w:ascii="Calibri" w:hAnsi="Calibri" w:eastAsia="宋体" w:cs="Times New Roman"/>
          <w:kern w:val="2"/>
          <w:szCs w:val="24"/>
          <w:highlight w:val="none"/>
          <w:lang w:val="en-US" w:eastAsia="zh-CN" w:bidi="ar-SA"/>
        </w:rPr>
        <w:t>2025</w:t>
      </w:r>
      <w:r>
        <w:rPr>
          <w:rFonts w:hint="eastAsia" w:ascii="宋体" w:hAnsi="宋体" w:eastAsia="宋体" w:cs="宋体"/>
          <w:sz w:val="21"/>
          <w:szCs w:val="21"/>
        </w:rPr>
        <w:t>年</w:t>
      </w:r>
      <w:r>
        <w:rPr>
          <w:rFonts w:hint="eastAsia" w:ascii="Calibri" w:hAnsi="Calibri" w:eastAsia="宋体" w:cs="Times New Roman"/>
          <w:kern w:val="2"/>
          <w:szCs w:val="24"/>
          <w:highlight w:val="none"/>
          <w:lang w:val="en-US" w:eastAsia="zh-CN" w:bidi="ar-SA"/>
        </w:rPr>
        <w:t>1</w:t>
      </w:r>
      <w:r>
        <w:rPr>
          <w:rFonts w:hint="eastAsia" w:ascii="宋体" w:hAnsi="宋体" w:eastAsia="宋体" w:cs="宋体"/>
          <w:sz w:val="21"/>
          <w:szCs w:val="21"/>
        </w:rPr>
        <w:t>月～</w:t>
      </w:r>
      <w:r>
        <w:rPr>
          <w:rFonts w:hint="eastAsia" w:ascii="Calibri" w:hAnsi="Calibri" w:eastAsia="宋体" w:cs="Times New Roman"/>
          <w:kern w:val="2"/>
          <w:szCs w:val="24"/>
          <w:highlight w:val="none"/>
          <w:lang w:val="en-US" w:eastAsia="zh-CN" w:bidi="ar-SA"/>
        </w:rPr>
        <w:t>2025</w:t>
      </w:r>
      <w:r>
        <w:rPr>
          <w:rFonts w:hint="eastAsia" w:ascii="宋体" w:hAnsi="宋体" w:eastAsia="宋体" w:cs="宋体"/>
          <w:sz w:val="21"/>
          <w:szCs w:val="21"/>
        </w:rPr>
        <w:t>年</w:t>
      </w:r>
      <w:r>
        <w:rPr>
          <w:rFonts w:hint="eastAsia" w:ascii="Calibri" w:hAnsi="Calibri" w:eastAsia="宋体" w:cs="Times New Roman"/>
          <w:kern w:val="2"/>
          <w:szCs w:val="24"/>
          <w:highlight w:val="none"/>
          <w:lang w:val="en-US" w:eastAsia="zh-CN" w:bidi="ar-SA"/>
        </w:rPr>
        <w:t>6</w:t>
      </w:r>
      <w:r>
        <w:rPr>
          <w:rFonts w:hint="eastAsia" w:ascii="宋体" w:hAnsi="宋体" w:eastAsia="宋体" w:cs="宋体"/>
          <w:sz w:val="21"/>
          <w:szCs w:val="21"/>
        </w:rPr>
        <w:t>月）</w:t>
      </w:r>
    </w:p>
    <w:p w14:paraId="2538C7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接到编制任务后，中国民族卫生协会风湿疑难病专业委员会联合长春中医药大学、长春中医药大学附属第一医院、长春吉润净月医院等多家单位，于</w:t>
      </w:r>
      <w:r>
        <w:rPr>
          <w:rFonts w:hint="eastAsia" w:ascii="Calibri" w:hAnsi="Calibri" w:eastAsia="宋体" w:cs="Times New Roman"/>
          <w:kern w:val="2"/>
          <w:szCs w:val="24"/>
          <w:highlight w:val="none"/>
          <w:lang w:val="en-US" w:eastAsia="zh-CN" w:bidi="ar-SA"/>
        </w:rPr>
        <w:t>2025</w:t>
      </w:r>
      <w:r>
        <w:rPr>
          <w:rFonts w:hint="eastAsia" w:ascii="宋体" w:hAnsi="宋体" w:eastAsia="宋体" w:cs="宋体"/>
          <w:sz w:val="21"/>
          <w:szCs w:val="21"/>
        </w:rPr>
        <w:t>年</w:t>
      </w:r>
      <w:r>
        <w:rPr>
          <w:rFonts w:hint="eastAsia" w:ascii="Calibri" w:hAnsi="Calibri" w:eastAsia="宋体" w:cs="Times New Roman"/>
          <w:kern w:val="2"/>
          <w:szCs w:val="24"/>
          <w:highlight w:val="none"/>
          <w:lang w:val="en-US" w:eastAsia="zh-CN" w:bidi="ar-SA"/>
        </w:rPr>
        <w:t>1</w:t>
      </w:r>
      <w:r>
        <w:rPr>
          <w:rFonts w:hint="eastAsia" w:ascii="宋体" w:hAnsi="宋体" w:eastAsia="宋体" w:cs="宋体"/>
          <w:sz w:val="21"/>
          <w:szCs w:val="21"/>
        </w:rPr>
        <w:t>月成立了标准起草小组并启动编制工作。在第一次全体成员会议上，明确了标准编制的总体思路、技术路线和分步实施计划，确定了“病证结合、分期分型、循证与经验互补、动态调方”的编制方针。</w:t>
      </w:r>
    </w:p>
    <w:p w14:paraId="3E3845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起草小组系统检索了国内外</w:t>
      </w:r>
      <w:r>
        <w:rPr>
          <w:rFonts w:hint="eastAsia" w:ascii="Calibri" w:hAnsi="Calibri" w:eastAsia="宋体" w:cs="Times New Roman"/>
          <w:kern w:val="2"/>
          <w:szCs w:val="24"/>
          <w:highlight w:val="none"/>
          <w:lang w:val="en-US" w:eastAsia="zh-CN" w:bidi="ar-SA"/>
        </w:rPr>
        <w:t xml:space="preserve"> IgA </w:t>
      </w:r>
      <w:r>
        <w:rPr>
          <w:rFonts w:hint="eastAsia" w:ascii="宋体" w:hAnsi="宋体" w:eastAsia="宋体" w:cs="宋体"/>
          <w:sz w:val="21"/>
          <w:szCs w:val="21"/>
        </w:rPr>
        <w:t xml:space="preserve">血管炎诊疗相关指南、共识及文献资料，包括《中国儿童 </w:t>
      </w:r>
      <w:r>
        <w:rPr>
          <w:rFonts w:hint="eastAsia" w:ascii="Calibri" w:hAnsi="Calibri" w:eastAsia="宋体" w:cs="Times New Roman"/>
          <w:kern w:val="2"/>
          <w:szCs w:val="24"/>
          <w:highlight w:val="none"/>
          <w:lang w:val="en-US" w:eastAsia="zh-CN" w:bidi="ar-SA"/>
        </w:rPr>
        <w:t xml:space="preserve">IgA </w:t>
      </w:r>
      <w:r>
        <w:rPr>
          <w:rFonts w:hint="eastAsia" w:ascii="宋体" w:hAnsi="宋体" w:eastAsia="宋体" w:cs="宋体"/>
          <w:sz w:val="21"/>
          <w:szCs w:val="21"/>
        </w:rPr>
        <w:t>血管炎诊断与治疗指南</w:t>
      </w:r>
      <w:r>
        <w:rPr>
          <w:rFonts w:hint="eastAsia" w:ascii="Calibri" w:hAnsi="Calibri" w:eastAsia="宋体" w:cs="Times New Roman"/>
          <w:kern w:val="2"/>
          <w:szCs w:val="24"/>
          <w:highlight w:val="none"/>
          <w:lang w:val="en-US" w:eastAsia="zh-CN" w:bidi="ar-SA"/>
        </w:rPr>
        <w:t>（2023）</w:t>
      </w:r>
      <w:r>
        <w:rPr>
          <w:rFonts w:hint="eastAsia" w:ascii="宋体" w:hAnsi="宋体" w:eastAsia="宋体" w:cs="宋体"/>
          <w:sz w:val="21"/>
          <w:szCs w:val="21"/>
        </w:rPr>
        <w:t>》、</w:t>
      </w:r>
      <w:r>
        <w:rPr>
          <w:rFonts w:hint="eastAsia" w:ascii="Calibri" w:hAnsi="Calibri" w:eastAsia="宋体" w:cs="Times New Roman"/>
          <w:kern w:val="2"/>
          <w:szCs w:val="24"/>
          <w:highlight w:val="none"/>
          <w:lang w:val="en-US" w:eastAsia="zh-CN" w:bidi="ar-SA"/>
        </w:rPr>
        <w:t xml:space="preserve">2022 </w:t>
      </w:r>
      <w:r>
        <w:rPr>
          <w:rFonts w:hint="eastAsia" w:ascii="宋体" w:hAnsi="宋体" w:eastAsia="宋体" w:cs="宋体"/>
          <w:sz w:val="21"/>
          <w:szCs w:val="21"/>
        </w:rPr>
        <w:t>年</w:t>
      </w:r>
      <w:r>
        <w:rPr>
          <w:rFonts w:hint="eastAsia" w:ascii="Calibri" w:hAnsi="Calibri" w:eastAsia="宋体" w:cs="Times New Roman"/>
          <w:kern w:val="2"/>
          <w:szCs w:val="24"/>
          <w:highlight w:val="none"/>
          <w:lang w:val="en-US" w:eastAsia="zh-CN" w:bidi="ar-SA"/>
        </w:rPr>
        <w:t xml:space="preserve"> EULAR/PRINTO/PRES IgA </w:t>
      </w:r>
      <w:r>
        <w:rPr>
          <w:rFonts w:hint="eastAsia" w:ascii="宋体" w:hAnsi="宋体" w:eastAsia="宋体" w:cs="宋体"/>
          <w:sz w:val="21"/>
          <w:szCs w:val="21"/>
        </w:rPr>
        <w:t>血管炎分类标准、《成人过敏性紫癜临床诊疗专家共识</w:t>
      </w:r>
      <w:r>
        <w:rPr>
          <w:rFonts w:hint="eastAsia" w:ascii="Calibri" w:hAnsi="Calibri" w:eastAsia="宋体" w:cs="Times New Roman"/>
          <w:kern w:val="2"/>
          <w:szCs w:val="24"/>
          <w:highlight w:val="none"/>
          <w:lang w:val="en-US" w:eastAsia="zh-CN" w:bidi="ar-SA"/>
        </w:rPr>
        <w:t>（2022）</w:t>
      </w:r>
      <w:r>
        <w:rPr>
          <w:rFonts w:hint="eastAsia" w:ascii="宋体" w:hAnsi="宋体" w:eastAsia="宋体" w:cs="宋体"/>
          <w:sz w:val="21"/>
          <w:szCs w:val="21"/>
        </w:rPr>
        <w:t>》、</w:t>
      </w:r>
      <w:r>
        <w:rPr>
          <w:rFonts w:hint="eastAsia" w:ascii="Calibri" w:hAnsi="Calibri" w:eastAsia="宋体" w:cs="Times New Roman"/>
          <w:kern w:val="2"/>
          <w:szCs w:val="24"/>
          <w:highlight w:val="none"/>
          <w:lang w:val="en-US" w:eastAsia="zh-CN" w:bidi="ar-SA"/>
        </w:rPr>
        <w:t xml:space="preserve">KDIGO 2021 </w:t>
      </w:r>
      <w:r>
        <w:rPr>
          <w:rFonts w:hint="eastAsia" w:ascii="宋体" w:hAnsi="宋体" w:eastAsia="宋体" w:cs="宋体"/>
          <w:sz w:val="21"/>
          <w:szCs w:val="21"/>
        </w:rPr>
        <w:t xml:space="preserve">肾小球疾病临床实践指南、《过敏性紫癜中医诊疗指南》等，并对中医药治疗 </w:t>
      </w:r>
      <w:r>
        <w:rPr>
          <w:rFonts w:hint="eastAsia" w:ascii="Calibri" w:hAnsi="Calibri" w:eastAsia="宋体" w:cs="Times New Roman"/>
          <w:kern w:val="2"/>
          <w:szCs w:val="24"/>
          <w:highlight w:val="none"/>
          <w:lang w:val="en-US" w:eastAsia="zh-CN" w:bidi="ar-SA"/>
        </w:rPr>
        <w:t xml:space="preserve">IgA </w:t>
      </w:r>
      <w:r>
        <w:rPr>
          <w:rFonts w:hint="eastAsia" w:ascii="宋体" w:hAnsi="宋体" w:eastAsia="宋体" w:cs="宋体"/>
          <w:sz w:val="21"/>
          <w:szCs w:val="21"/>
        </w:rPr>
        <w:t>血管炎的古今文献进行了全面梳理，为标准编制奠定了坚实的文献基础。</w:t>
      </w:r>
    </w:p>
    <w:p w14:paraId="471A28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（二）编制（</w:t>
      </w:r>
      <w:r>
        <w:rPr>
          <w:rFonts w:hint="eastAsia" w:ascii="Calibri" w:hAnsi="Calibri" w:eastAsia="宋体" w:cs="Times New Roman"/>
          <w:kern w:val="2"/>
          <w:szCs w:val="24"/>
          <w:highlight w:val="none"/>
          <w:lang w:val="en-US" w:eastAsia="zh-CN" w:bidi="ar-SA"/>
        </w:rPr>
        <w:t>2025</w:t>
      </w:r>
      <w:r>
        <w:rPr>
          <w:rFonts w:hint="eastAsia" w:ascii="宋体" w:hAnsi="宋体" w:eastAsia="宋体" w:cs="宋体"/>
          <w:sz w:val="21"/>
          <w:szCs w:val="21"/>
        </w:rPr>
        <w:t>年</w:t>
      </w:r>
      <w:r>
        <w:rPr>
          <w:rFonts w:hint="eastAsia" w:ascii="Calibri" w:hAnsi="Calibri" w:eastAsia="宋体" w:cs="Times New Roman"/>
          <w:kern w:val="2"/>
          <w:szCs w:val="24"/>
          <w:highlight w:val="none"/>
          <w:lang w:val="en-US" w:eastAsia="zh-CN" w:bidi="ar-SA"/>
        </w:rPr>
        <w:t>7</w:t>
      </w:r>
      <w:r>
        <w:rPr>
          <w:rFonts w:hint="eastAsia" w:ascii="宋体" w:hAnsi="宋体" w:eastAsia="宋体" w:cs="宋体"/>
          <w:sz w:val="21"/>
          <w:szCs w:val="21"/>
        </w:rPr>
        <w:t>月～</w:t>
      </w:r>
      <w:r>
        <w:rPr>
          <w:rFonts w:hint="eastAsia" w:ascii="Calibri" w:hAnsi="Calibri" w:eastAsia="宋体" w:cs="Times New Roman"/>
          <w:kern w:val="2"/>
          <w:szCs w:val="24"/>
          <w:highlight w:val="none"/>
          <w:lang w:val="en-US" w:eastAsia="zh-CN" w:bidi="ar-SA"/>
        </w:rPr>
        <w:t>2025</w:t>
      </w:r>
      <w:r>
        <w:rPr>
          <w:rFonts w:hint="eastAsia" w:ascii="宋体" w:hAnsi="宋体" w:eastAsia="宋体" w:cs="宋体"/>
          <w:sz w:val="21"/>
          <w:szCs w:val="21"/>
        </w:rPr>
        <w:t>年</w:t>
      </w:r>
      <w:r>
        <w:rPr>
          <w:rFonts w:hint="eastAsia" w:ascii="Calibri" w:hAnsi="Calibri" w:eastAsia="宋体" w:cs="Times New Roman"/>
          <w:kern w:val="2"/>
          <w:szCs w:val="24"/>
          <w:highlight w:val="none"/>
          <w:lang w:val="en-US" w:eastAsia="zh-CN" w:bidi="ar-SA"/>
        </w:rPr>
        <w:t>11</w:t>
      </w:r>
      <w:r>
        <w:rPr>
          <w:rFonts w:hint="eastAsia" w:ascii="宋体" w:hAnsi="宋体" w:eastAsia="宋体" w:cs="宋体"/>
          <w:sz w:val="21"/>
          <w:szCs w:val="21"/>
        </w:rPr>
        <w:t>月）</w:t>
      </w:r>
    </w:p>
    <w:p w14:paraId="1E4574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Calibri" w:hAnsi="Calibri" w:eastAsia="宋体" w:cs="Times New Roman"/>
          <w:kern w:val="2"/>
          <w:szCs w:val="24"/>
          <w:highlight w:val="none"/>
          <w:lang w:val="en-US" w:eastAsia="zh-CN" w:bidi="ar-SA"/>
        </w:rPr>
        <w:t>2025</w:t>
      </w:r>
      <w:r>
        <w:rPr>
          <w:rFonts w:hint="eastAsia" w:ascii="宋体" w:hAnsi="宋体" w:eastAsia="宋体" w:cs="宋体"/>
          <w:sz w:val="21"/>
          <w:szCs w:val="21"/>
        </w:rPr>
        <w:t>年</w:t>
      </w:r>
      <w:r>
        <w:rPr>
          <w:rFonts w:hint="eastAsia" w:ascii="Calibri" w:hAnsi="Calibri" w:eastAsia="宋体" w:cs="Times New Roman"/>
          <w:kern w:val="2"/>
          <w:szCs w:val="24"/>
          <w:highlight w:val="none"/>
          <w:lang w:val="en-US" w:eastAsia="zh-CN" w:bidi="ar-SA"/>
        </w:rPr>
        <w:t>7</w:t>
      </w:r>
      <w:r>
        <w:rPr>
          <w:rFonts w:hint="eastAsia" w:ascii="宋体" w:hAnsi="宋体" w:eastAsia="宋体" w:cs="宋体"/>
          <w:sz w:val="21"/>
          <w:szCs w:val="21"/>
        </w:rPr>
        <w:t>月～</w:t>
      </w:r>
      <w:r>
        <w:rPr>
          <w:rFonts w:hint="eastAsia" w:ascii="Calibri" w:hAnsi="Calibri" w:eastAsia="宋体" w:cs="Times New Roman"/>
          <w:kern w:val="2"/>
          <w:szCs w:val="24"/>
          <w:highlight w:val="none"/>
          <w:lang w:val="en-US" w:eastAsia="zh-CN" w:bidi="ar-SA"/>
        </w:rPr>
        <w:t>2025</w:t>
      </w:r>
      <w:r>
        <w:rPr>
          <w:rFonts w:hint="eastAsia" w:ascii="宋体" w:hAnsi="宋体" w:eastAsia="宋体" w:cs="宋体"/>
          <w:sz w:val="21"/>
          <w:szCs w:val="21"/>
        </w:rPr>
        <w:t>年</w:t>
      </w:r>
      <w:r>
        <w:rPr>
          <w:rFonts w:hint="eastAsia" w:ascii="Calibri" w:hAnsi="Calibri" w:eastAsia="宋体" w:cs="Times New Roman"/>
          <w:kern w:val="2"/>
          <w:szCs w:val="24"/>
          <w:highlight w:val="none"/>
          <w:lang w:val="en-US" w:eastAsia="zh-CN" w:bidi="ar-SA"/>
        </w:rPr>
        <w:t>11</w:t>
      </w:r>
      <w:r>
        <w:rPr>
          <w:rFonts w:hint="eastAsia" w:ascii="宋体" w:hAnsi="宋体" w:eastAsia="宋体" w:cs="宋体"/>
          <w:sz w:val="21"/>
          <w:szCs w:val="21"/>
        </w:rPr>
        <w:t>月，标准起草小组确定了标准框架，共</w:t>
      </w:r>
      <w:r>
        <w:rPr>
          <w:rFonts w:hint="eastAsia" w:ascii="宋体" w:hAnsi="宋体" w:eastAsia="宋体" w:cs="宋体"/>
          <w:sz w:val="21"/>
          <w:szCs w:val="21"/>
          <w:lang w:val="en-US" w:eastAsia="zh-CN"/>
        </w:rPr>
        <w:t>8</w:t>
      </w:r>
      <w:r>
        <w:rPr>
          <w:rFonts w:hint="eastAsia" w:ascii="宋体" w:hAnsi="宋体" w:eastAsia="宋体" w:cs="宋体"/>
          <w:sz w:val="21"/>
          <w:szCs w:val="21"/>
        </w:rPr>
        <w:t>个核心章节，分别是：范围、规范性引用文件、术语和定义、缩略语、总则、诊断、治疗、预防与调护，另设资料性附录与参考文献。</w:t>
      </w:r>
    </w:p>
    <w:p w14:paraId="7CC626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Calibri" w:hAnsi="Calibri" w:eastAsia="宋体" w:cs="Times New Roman"/>
          <w:kern w:val="2"/>
          <w:szCs w:val="24"/>
          <w:highlight w:val="none"/>
          <w:lang w:val="en-US" w:eastAsia="zh-CN" w:bidi="ar-SA"/>
        </w:rPr>
        <w:t>2025</w:t>
      </w:r>
      <w:r>
        <w:rPr>
          <w:rFonts w:hint="eastAsia" w:ascii="宋体" w:hAnsi="宋体" w:eastAsia="宋体" w:cs="宋体"/>
          <w:sz w:val="21"/>
          <w:szCs w:val="21"/>
        </w:rPr>
        <w:t>年</w:t>
      </w:r>
      <w:r>
        <w:rPr>
          <w:rFonts w:hint="eastAsia" w:ascii="Calibri" w:hAnsi="Calibri" w:eastAsia="宋体" w:cs="Times New Roman"/>
          <w:kern w:val="2"/>
          <w:szCs w:val="24"/>
          <w:highlight w:val="none"/>
          <w:lang w:val="en-US" w:eastAsia="zh-CN" w:bidi="ar-SA"/>
        </w:rPr>
        <w:t>10</w:t>
      </w:r>
      <w:r>
        <w:rPr>
          <w:rFonts w:hint="eastAsia" w:ascii="宋体" w:hAnsi="宋体" w:eastAsia="宋体" w:cs="宋体"/>
          <w:sz w:val="21"/>
          <w:szCs w:val="21"/>
        </w:rPr>
        <w:t>月初，标准起草小组专家代表与</w:t>
      </w:r>
      <w:r>
        <w:rPr>
          <w:rFonts w:hint="eastAsia" w:ascii="宋体" w:hAnsi="宋体" w:eastAsia="宋体" w:cs="宋体"/>
          <w:sz w:val="21"/>
          <w:szCs w:val="21"/>
          <w:lang w:val="en-US" w:eastAsia="zh-CN"/>
        </w:rPr>
        <w:t>中国</w:t>
      </w:r>
      <w:r>
        <w:rPr>
          <w:rFonts w:hint="eastAsia" w:ascii="宋体" w:hAnsi="宋体" w:eastAsia="宋体" w:cs="宋体"/>
          <w:sz w:val="21"/>
          <w:szCs w:val="21"/>
        </w:rPr>
        <w:t>民族卫生协会标委会专家针对《</w:t>
      </w:r>
      <w:r>
        <w:rPr>
          <w:rFonts w:hint="eastAsia" w:ascii="Calibri" w:hAnsi="Calibri" w:eastAsia="宋体" w:cs="Times New Roman"/>
          <w:kern w:val="2"/>
          <w:szCs w:val="24"/>
          <w:highlight w:val="none"/>
          <w:lang w:val="en-US" w:eastAsia="zh-CN" w:bidi="ar-SA"/>
        </w:rPr>
        <w:t xml:space="preserve"> IgA </w:t>
      </w:r>
      <w:r>
        <w:rPr>
          <w:rFonts w:hint="eastAsia" w:ascii="宋体" w:hAnsi="宋体" w:eastAsia="宋体" w:cs="宋体"/>
          <w:sz w:val="21"/>
          <w:szCs w:val="21"/>
        </w:rPr>
        <w:t>血管炎中西医诊疗标准》团标内容的科学性进行了进一步的讨论，最终从标准的制定要求以及行业的需求等多方面考虑，将《</w:t>
      </w:r>
      <w:r>
        <w:rPr>
          <w:rFonts w:hint="eastAsia" w:ascii="Calibri" w:hAnsi="Calibri" w:eastAsia="宋体" w:cs="Times New Roman"/>
          <w:kern w:val="2"/>
          <w:szCs w:val="24"/>
          <w:highlight w:val="none"/>
          <w:lang w:val="en-US" w:eastAsia="zh-CN" w:bidi="ar-SA"/>
        </w:rPr>
        <w:t xml:space="preserve"> IgA </w:t>
      </w:r>
      <w:r>
        <w:rPr>
          <w:rFonts w:hint="eastAsia" w:ascii="宋体" w:hAnsi="宋体" w:eastAsia="宋体" w:cs="宋体"/>
          <w:sz w:val="21"/>
          <w:szCs w:val="21"/>
        </w:rPr>
        <w:t xml:space="preserve">血管炎中西医诊疗标准》团标修定为《常见风湿免疫疾病中西医结合临床诊疗指南 </w:t>
      </w:r>
      <w:r>
        <w:rPr>
          <w:rFonts w:hint="eastAsia" w:ascii="Calibri" w:hAnsi="Calibri" w:eastAsia="宋体" w:cs="Times New Roman"/>
          <w:kern w:val="2"/>
          <w:szCs w:val="24"/>
          <w:highlight w:val="none"/>
          <w:lang w:val="en-US" w:eastAsia="zh-CN" w:bidi="ar-SA"/>
        </w:rPr>
        <w:t xml:space="preserve"> IgA </w:t>
      </w:r>
      <w:r>
        <w:rPr>
          <w:rFonts w:hint="eastAsia" w:ascii="宋体" w:hAnsi="宋体" w:eastAsia="宋体" w:cs="宋体"/>
          <w:sz w:val="21"/>
          <w:szCs w:val="21"/>
        </w:rPr>
        <w:t>血管炎》团标。随后起草小组根据专家意见，经过多次讨论及修改，对原有内容作了相应调整。</w:t>
      </w:r>
    </w:p>
    <w:p w14:paraId="3228BD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（三）研讨（</w:t>
      </w:r>
      <w:r>
        <w:rPr>
          <w:rFonts w:hint="eastAsia" w:ascii="Calibri" w:hAnsi="Calibri" w:eastAsia="宋体" w:cs="Times New Roman"/>
          <w:kern w:val="2"/>
          <w:szCs w:val="24"/>
          <w:highlight w:val="none"/>
          <w:lang w:val="en-US" w:eastAsia="zh-CN" w:bidi="ar-SA"/>
        </w:rPr>
        <w:t>2025</w:t>
      </w:r>
      <w:r>
        <w:rPr>
          <w:rFonts w:hint="eastAsia" w:ascii="宋体" w:hAnsi="宋体" w:eastAsia="宋体" w:cs="宋体"/>
          <w:sz w:val="21"/>
          <w:szCs w:val="21"/>
        </w:rPr>
        <w:t>年</w:t>
      </w:r>
      <w:r>
        <w:rPr>
          <w:rFonts w:hint="eastAsia" w:ascii="Calibri" w:hAnsi="Calibri" w:eastAsia="宋体" w:cs="Times New Roman"/>
          <w:kern w:val="2"/>
          <w:szCs w:val="24"/>
          <w:highlight w:val="none"/>
          <w:lang w:val="en-US" w:eastAsia="zh-CN" w:bidi="ar-SA"/>
        </w:rPr>
        <w:t>12</w:t>
      </w:r>
      <w:r>
        <w:rPr>
          <w:rFonts w:hint="eastAsia" w:ascii="宋体" w:hAnsi="宋体" w:eastAsia="宋体" w:cs="宋体"/>
          <w:sz w:val="21"/>
          <w:szCs w:val="21"/>
        </w:rPr>
        <w:t>月）</w:t>
      </w:r>
    </w:p>
    <w:p w14:paraId="5F3B9E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Calibri" w:hAnsi="Calibri" w:eastAsia="宋体" w:cs="Times New Roman"/>
          <w:kern w:val="2"/>
          <w:szCs w:val="24"/>
          <w:highlight w:val="none"/>
          <w:lang w:val="en-US" w:eastAsia="zh-CN" w:bidi="ar-SA"/>
        </w:rPr>
        <w:t>2025</w:t>
      </w:r>
      <w:r>
        <w:rPr>
          <w:rFonts w:hint="eastAsia" w:ascii="宋体" w:hAnsi="宋体" w:eastAsia="宋体" w:cs="宋体"/>
          <w:sz w:val="21"/>
          <w:szCs w:val="21"/>
        </w:rPr>
        <w:t>年</w:t>
      </w:r>
      <w:r>
        <w:rPr>
          <w:rFonts w:hint="eastAsia" w:ascii="Calibri" w:hAnsi="Calibri" w:eastAsia="宋体" w:cs="Times New Roman"/>
          <w:kern w:val="2"/>
          <w:szCs w:val="24"/>
          <w:highlight w:val="none"/>
          <w:lang w:val="en-US" w:eastAsia="zh-CN" w:bidi="ar-SA"/>
        </w:rPr>
        <w:t>12</w:t>
      </w:r>
      <w:r>
        <w:rPr>
          <w:rFonts w:hint="eastAsia" w:ascii="宋体" w:hAnsi="宋体" w:eastAsia="宋体" w:cs="宋体"/>
          <w:sz w:val="21"/>
          <w:szCs w:val="21"/>
        </w:rPr>
        <w:t>月初，起草小组在完成标准修订稿的基础上，开展了数次研讨，对照专家评审意见对草案进行逐条修改，形成送审稿。</w:t>
      </w:r>
    </w:p>
    <w:p w14:paraId="74D03A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p>
    <w:p w14:paraId="5C37B5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三、标准编制原则及主要技术内容确定</w:t>
      </w:r>
      <w:bookmarkEnd w:id="4"/>
    </w:p>
    <w:p w14:paraId="20A11E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5" w:name="heading_8"/>
      <w:r>
        <w:rPr>
          <w:rFonts w:hint="eastAsia" w:ascii="宋体" w:hAnsi="宋体" w:eastAsia="宋体" w:cs="宋体"/>
          <w:sz w:val="21"/>
          <w:szCs w:val="21"/>
        </w:rPr>
        <w:t>（一）编制原则</w:t>
      </w:r>
      <w:bookmarkEnd w:id="5"/>
    </w:p>
    <w:p w14:paraId="2A9C40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科学性原则：</w:t>
      </w:r>
      <w:r>
        <w:rPr>
          <w:rFonts w:hint="eastAsia" w:ascii="宋体" w:hAnsi="宋体" w:eastAsia="宋体" w:cs="宋体"/>
          <w:sz w:val="21"/>
          <w:szCs w:val="21"/>
          <w:lang w:val="en-US" w:eastAsia="zh-CN"/>
        </w:rPr>
        <w:t>本标准</w:t>
      </w:r>
      <w:r>
        <w:rPr>
          <w:rFonts w:hint="eastAsia" w:ascii="宋体" w:hAnsi="宋体" w:eastAsia="宋体" w:cs="宋体"/>
          <w:sz w:val="21"/>
          <w:szCs w:val="21"/>
        </w:rPr>
        <w:t>以循证医学证据为基础，</w:t>
      </w:r>
      <w:r>
        <w:rPr>
          <w:rFonts w:hint="eastAsia" w:ascii="宋体" w:hAnsi="宋体" w:eastAsia="宋体" w:cs="宋体"/>
          <w:sz w:val="21"/>
          <w:szCs w:val="21"/>
          <w:lang w:val="en-US" w:eastAsia="zh-CN"/>
        </w:rPr>
        <w:t>充分</w:t>
      </w:r>
      <w:r>
        <w:rPr>
          <w:rFonts w:hint="eastAsia" w:ascii="宋体" w:hAnsi="宋体" w:eastAsia="宋体" w:cs="宋体"/>
          <w:sz w:val="21"/>
          <w:szCs w:val="21"/>
        </w:rPr>
        <w:t>吸纳国内外</w:t>
      </w:r>
      <w:r>
        <w:rPr>
          <w:rFonts w:hint="eastAsia" w:ascii="Calibri" w:hAnsi="Calibri" w:eastAsia="宋体" w:cs="Times New Roman"/>
          <w:kern w:val="2"/>
          <w:szCs w:val="24"/>
          <w:highlight w:val="none"/>
          <w:lang w:val="en-US" w:eastAsia="zh-CN" w:bidi="ar-SA"/>
        </w:rPr>
        <w:t xml:space="preserve"> IgA </w:t>
      </w:r>
      <w:r>
        <w:rPr>
          <w:rFonts w:hint="eastAsia" w:ascii="宋体" w:hAnsi="宋体" w:eastAsia="宋体" w:cs="宋体"/>
          <w:sz w:val="21"/>
          <w:szCs w:val="21"/>
        </w:rPr>
        <w:t>血管炎最新</w:t>
      </w:r>
      <w:r>
        <w:rPr>
          <w:rFonts w:hint="eastAsia" w:ascii="宋体" w:hAnsi="宋体" w:eastAsia="宋体" w:cs="宋体"/>
          <w:sz w:val="21"/>
          <w:szCs w:val="21"/>
          <w:lang w:val="en-US" w:eastAsia="zh-CN"/>
        </w:rPr>
        <w:t>研究成果</w:t>
      </w:r>
      <w:r>
        <w:rPr>
          <w:rFonts w:hint="eastAsia" w:ascii="宋体" w:hAnsi="宋体" w:eastAsia="宋体" w:cs="宋体"/>
          <w:sz w:val="21"/>
          <w:szCs w:val="21"/>
        </w:rPr>
        <w:t>，结合中医药理论特色和临床实践经验，确保标准内容的科学性和先进性。西医诊疗纳入最新达标治疗策略、分层用药方案及疾病活动度评估标准；中医辨证论治结合行业共识与临床证据，体现中西医诊疗的前沿进展。</w:t>
      </w:r>
    </w:p>
    <w:p w14:paraId="7AD3A1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实用性原则：标准内容贴近临床实际，注重可操作性，针对不同疾病活动期、不同证型给出明确的诊疗方案，为不同层级医疗机构的中西医结合诊疗提供清晰指导，满足临床医师的实际需求。</w:t>
      </w:r>
    </w:p>
    <w:p w14:paraId="40E329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中西医结合原则：遵循“病证结合、分期分型、循证与经验互补、动态调方”的方针，将西医疾病诊断、病情活动度评估与中医辨证论治有机结合，体现中西医并重、优势互补。活动期以西医控制炎症为主、中医协同增效减毒；缓解期以中医扶正固本为主、西医维持治疗，构建全病程中西医协同诊疗模式。</w:t>
      </w:r>
    </w:p>
    <w:p w14:paraId="33402F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规范性原则：标准编写严格遵循</w:t>
      </w:r>
      <w:r>
        <w:rPr>
          <w:rFonts w:hint="eastAsia" w:ascii="Calibri" w:hAnsi="Calibri" w:eastAsia="宋体" w:cs="Times New Roman"/>
          <w:kern w:val="2"/>
          <w:szCs w:val="24"/>
          <w:highlight w:val="none"/>
          <w:lang w:val="en-US" w:eastAsia="zh-CN" w:bidi="ar-SA"/>
        </w:rPr>
        <w:t>GB/T1.1-2020</w:t>
      </w:r>
      <w:r>
        <w:rPr>
          <w:rFonts w:hint="eastAsia" w:ascii="宋体" w:hAnsi="宋体" w:eastAsia="宋体" w:cs="宋体"/>
          <w:sz w:val="21"/>
          <w:szCs w:val="21"/>
        </w:rPr>
        <w:t>《标准化工作导则 第</w:t>
      </w:r>
      <w:r>
        <w:rPr>
          <w:rFonts w:hint="eastAsia" w:ascii="Calibri" w:hAnsi="Calibri" w:eastAsia="宋体" w:cs="Times New Roman"/>
          <w:kern w:val="2"/>
          <w:szCs w:val="24"/>
          <w:highlight w:val="none"/>
          <w:lang w:val="en-US" w:eastAsia="zh-CN" w:bidi="ar-SA"/>
        </w:rPr>
        <w:t>1</w:t>
      </w:r>
      <w:r>
        <w:rPr>
          <w:rFonts w:hint="eastAsia" w:ascii="宋体" w:hAnsi="宋体" w:eastAsia="宋体" w:cs="宋体"/>
          <w:sz w:val="21"/>
          <w:szCs w:val="21"/>
        </w:rPr>
        <w:t>部分：标准化文件的结构和起草规则》的要求，格式规范、层次清晰、表述准确。</w:t>
      </w:r>
    </w:p>
    <w:p w14:paraId="0D60E9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6" w:name="heading_9"/>
      <w:r>
        <w:rPr>
          <w:rFonts w:hint="eastAsia" w:ascii="宋体" w:hAnsi="宋体" w:eastAsia="宋体" w:cs="宋体"/>
          <w:sz w:val="21"/>
          <w:szCs w:val="21"/>
        </w:rPr>
        <w:t>（二）团体标准主要技术内容</w:t>
      </w:r>
      <w:bookmarkEnd w:id="6"/>
    </w:p>
    <w:p w14:paraId="070259A0">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本</w:t>
      </w:r>
      <w:r>
        <w:rPr>
          <w:rFonts w:hint="eastAsia" w:ascii="宋体" w:hAnsi="宋体" w:eastAsia="宋体" w:cs="宋体"/>
          <w:sz w:val="21"/>
          <w:szCs w:val="21"/>
          <w:lang w:val="en-US" w:eastAsia="zh-CN"/>
        </w:rPr>
        <w:t>标准主要内容如下：</w:t>
      </w:r>
      <w:r>
        <w:rPr>
          <w:rFonts w:hint="eastAsia" w:ascii="宋体" w:hAnsi="宋体" w:eastAsia="宋体" w:cs="宋体"/>
          <w:sz w:val="21"/>
          <w:szCs w:val="21"/>
        </w:rPr>
        <w:br w:type="textWrapping"/>
      </w:r>
      <w:r>
        <w:rPr>
          <w:rFonts w:hint="eastAsia" w:ascii="宋体" w:hAnsi="宋体" w:eastAsia="宋体" w:cs="宋体"/>
          <w:sz w:val="21"/>
          <w:szCs w:val="21"/>
        </w:rPr>
        <w:t>1 范围</w:t>
      </w:r>
    </w:p>
    <w:p w14:paraId="24C14000">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 规范性引用文件</w:t>
      </w:r>
    </w:p>
    <w:p w14:paraId="379B03C7">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3 术语和定义</w:t>
      </w:r>
    </w:p>
    <w:p w14:paraId="09369732">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4 缩略语</w:t>
      </w:r>
    </w:p>
    <w:p w14:paraId="5E8006AB">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 总则</w:t>
      </w:r>
    </w:p>
    <w:p w14:paraId="4B10C45F">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 xml:space="preserve"> 诊断</w:t>
      </w:r>
    </w:p>
    <w:p w14:paraId="45CFEAB5">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 xml:space="preserve"> 治疗</w:t>
      </w:r>
    </w:p>
    <w:p w14:paraId="473F755E">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 xml:space="preserve"> 预防与调护</w:t>
      </w:r>
    </w:p>
    <w:p w14:paraId="075C96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7" w:name="heading_10"/>
      <w:r>
        <w:rPr>
          <w:rFonts w:hint="eastAsia" w:ascii="宋体" w:hAnsi="宋体" w:eastAsia="宋体" w:cs="宋体"/>
          <w:sz w:val="21"/>
          <w:szCs w:val="21"/>
        </w:rPr>
        <w:t>其中，诊断部分涵盖西医临床表现</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诊断和鉴别，以及</w:t>
      </w:r>
      <w:r>
        <w:rPr>
          <w:rFonts w:hint="eastAsia" w:ascii="宋体" w:hAnsi="宋体" w:eastAsia="宋体" w:cs="宋体"/>
          <w:sz w:val="21"/>
          <w:szCs w:val="21"/>
        </w:rPr>
        <w:t>中医辨证分型，实现辨病与辨证的统一；治疗部分构建西医分层药物治疗、中医辨证论治、外治疗法、营养管理、运动康复、心理调护相结合的综合诊疗体系，突出中西医结合的全病程管理理念。</w:t>
      </w:r>
    </w:p>
    <w:p w14:paraId="2A022A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p>
    <w:p w14:paraId="61C73C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四、采用国际、国内标准情况</w:t>
      </w:r>
      <w:bookmarkEnd w:id="7"/>
    </w:p>
    <w:p w14:paraId="283C5E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本标准在制定过程中参考了以下国际、国内标准及指南：</w:t>
      </w:r>
    </w:p>
    <w:p w14:paraId="5B0AD0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Calibri" w:hAnsi="Calibri" w:eastAsia="宋体" w:cs="Times New Roman"/>
          <w:kern w:val="2"/>
          <w:szCs w:val="24"/>
          <w:highlight w:val="none"/>
          <w:lang w:val="en-US" w:eastAsia="zh-CN" w:bidi="ar-SA"/>
        </w:rPr>
      </w:pPr>
      <w:r>
        <w:rPr>
          <w:rFonts w:hint="eastAsia" w:ascii="Calibri" w:hAnsi="Calibri" w:eastAsia="宋体" w:cs="Times New Roman"/>
          <w:kern w:val="2"/>
          <w:szCs w:val="24"/>
          <w:highlight w:val="none"/>
          <w:lang w:val="en-US" w:eastAsia="zh-CN" w:bidi="ar-SA"/>
        </w:rPr>
        <w:t xml:space="preserve"> 2022 年欧洲抗风湿病联盟/ 欧洲儿童风湿病学会/国际儿童风湿病试验组织（EULAR/PRINTO/PRES）IgA  血管炎分类标准</w:t>
      </w:r>
    </w:p>
    <w:p w14:paraId="76C843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Calibri" w:hAnsi="Calibri" w:eastAsia="宋体" w:cs="Times New Roman"/>
          <w:kern w:val="2"/>
          <w:szCs w:val="24"/>
          <w:highlight w:val="none"/>
          <w:lang w:val="en-US" w:eastAsia="zh-CN" w:bidi="ar-SA"/>
        </w:rPr>
      </w:pPr>
      <w:r>
        <w:rPr>
          <w:rFonts w:hint="eastAsia" w:ascii="Calibri" w:hAnsi="Calibri" w:eastAsia="宋体" w:cs="Times New Roman"/>
          <w:kern w:val="2"/>
          <w:szCs w:val="24"/>
          <w:highlight w:val="none"/>
          <w:lang w:val="en-US" w:eastAsia="zh-CN" w:bidi="ar-SA"/>
        </w:rPr>
        <w:t xml:space="preserve"> IgA 血管炎疾病活动度评分（IgAV-PRI）</w:t>
      </w:r>
    </w:p>
    <w:p w14:paraId="0C9CD8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Calibri" w:hAnsi="Calibri" w:eastAsia="宋体" w:cs="Times New Roman"/>
          <w:kern w:val="2"/>
          <w:szCs w:val="24"/>
          <w:highlight w:val="none"/>
          <w:lang w:val="en-US" w:eastAsia="zh-CN" w:bidi="ar-SA"/>
        </w:rPr>
      </w:pPr>
      <w:r>
        <w:rPr>
          <w:rFonts w:hint="eastAsia" w:ascii="Calibri" w:hAnsi="Calibri" w:eastAsia="宋体" w:cs="Times New Roman"/>
          <w:kern w:val="2"/>
          <w:szCs w:val="24"/>
          <w:highlight w:val="none"/>
          <w:lang w:val="en-US" w:eastAsia="zh-CN" w:bidi="ar-SA"/>
        </w:rPr>
        <w:t>《中国儿童 IgA 血管炎诊断与治疗指南（2023）》</w:t>
      </w:r>
    </w:p>
    <w:p w14:paraId="41E318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Calibri" w:hAnsi="Calibri" w:eastAsia="宋体" w:cs="Times New Roman"/>
          <w:kern w:val="2"/>
          <w:szCs w:val="24"/>
          <w:highlight w:val="none"/>
          <w:lang w:val="en-US" w:eastAsia="zh-CN" w:bidi="ar-SA"/>
        </w:rPr>
      </w:pPr>
      <w:r>
        <w:rPr>
          <w:rFonts w:hint="eastAsia" w:ascii="Calibri" w:hAnsi="Calibri" w:eastAsia="宋体" w:cs="Times New Roman"/>
          <w:kern w:val="2"/>
          <w:szCs w:val="24"/>
          <w:highlight w:val="none"/>
          <w:lang w:val="en-US" w:eastAsia="zh-CN" w:bidi="ar-SA"/>
        </w:rPr>
        <w:t>《成人过敏性紫癜临床诊疗专家共识（2022）》</w:t>
      </w:r>
    </w:p>
    <w:p w14:paraId="72C44D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Calibri" w:hAnsi="Calibri" w:eastAsia="宋体" w:cs="Times New Roman"/>
          <w:kern w:val="2"/>
          <w:szCs w:val="24"/>
          <w:highlight w:val="none"/>
          <w:lang w:val="en-US" w:eastAsia="zh-CN" w:bidi="ar-SA"/>
        </w:rPr>
      </w:pPr>
      <w:r>
        <w:rPr>
          <w:rFonts w:hint="eastAsia" w:ascii="Calibri" w:hAnsi="Calibri" w:eastAsia="宋体" w:cs="Times New Roman"/>
          <w:kern w:val="2"/>
          <w:szCs w:val="24"/>
          <w:highlight w:val="none"/>
          <w:lang w:val="en-US" w:eastAsia="zh-CN" w:bidi="ar-SA"/>
        </w:rPr>
        <w:t>KDIGO 2021 肾小球疾病临床实践指南</w:t>
      </w:r>
    </w:p>
    <w:p w14:paraId="6B067E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Calibri" w:hAnsi="Calibri" w:eastAsia="宋体" w:cs="Times New Roman"/>
          <w:kern w:val="2"/>
          <w:szCs w:val="24"/>
          <w:highlight w:val="none"/>
          <w:lang w:val="en-US" w:eastAsia="zh-CN" w:bidi="ar-SA"/>
        </w:rPr>
      </w:pPr>
      <w:r>
        <w:rPr>
          <w:rFonts w:hint="eastAsia" w:ascii="Calibri" w:hAnsi="Calibri" w:eastAsia="宋体" w:cs="Times New Roman"/>
          <w:kern w:val="2"/>
          <w:szCs w:val="24"/>
          <w:highlight w:val="none"/>
          <w:lang w:val="en-US" w:eastAsia="zh-CN" w:bidi="ar-SA"/>
        </w:rPr>
        <w:t>《过敏性紫癜中医诊疗指南》</w:t>
      </w:r>
    </w:p>
    <w:p w14:paraId="7895EF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Calibri" w:hAnsi="Calibri" w:eastAsia="宋体" w:cs="Times New Roman"/>
          <w:kern w:val="2"/>
          <w:szCs w:val="24"/>
          <w:highlight w:val="none"/>
          <w:lang w:val="en-US" w:eastAsia="zh-CN" w:bidi="ar-SA"/>
        </w:rPr>
      </w:pPr>
      <w:r>
        <w:rPr>
          <w:rFonts w:hint="eastAsia" w:ascii="Calibri" w:hAnsi="Calibri" w:eastAsia="宋体" w:cs="Times New Roman"/>
          <w:kern w:val="2"/>
          <w:szCs w:val="24"/>
          <w:highlight w:val="none"/>
          <w:lang w:val="en-US" w:eastAsia="zh-CN" w:bidi="ar-SA"/>
        </w:rPr>
        <w:t xml:space="preserve"> GB/T 16751.1—2021 中医临床诊疗术语 第 1 部分：疾病</w:t>
      </w:r>
    </w:p>
    <w:p w14:paraId="4CA0DD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Calibri" w:hAnsi="Calibri" w:eastAsia="宋体" w:cs="Times New Roman"/>
          <w:kern w:val="2"/>
          <w:szCs w:val="24"/>
          <w:highlight w:val="none"/>
          <w:lang w:val="en-US" w:eastAsia="zh-CN" w:bidi="ar-SA"/>
        </w:rPr>
      </w:pPr>
      <w:r>
        <w:rPr>
          <w:rFonts w:hint="eastAsia" w:ascii="Calibri" w:hAnsi="Calibri" w:eastAsia="宋体" w:cs="Times New Roman"/>
          <w:kern w:val="2"/>
          <w:szCs w:val="24"/>
          <w:highlight w:val="none"/>
          <w:lang w:val="en-US" w:eastAsia="zh-CN" w:bidi="ar-SA"/>
        </w:rPr>
        <w:t>GB/T 16751.2—2021 中医临床诊疗术语 第 2 部分：证候</w:t>
      </w:r>
    </w:p>
    <w:p w14:paraId="0AFCCA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Calibri" w:hAnsi="Calibri" w:eastAsia="宋体" w:cs="Times New Roman"/>
          <w:kern w:val="2"/>
          <w:szCs w:val="24"/>
          <w:highlight w:val="none"/>
          <w:lang w:val="en-US" w:eastAsia="zh-CN" w:bidi="ar-SA"/>
        </w:rPr>
      </w:pPr>
      <w:r>
        <w:rPr>
          <w:rFonts w:hint="eastAsia" w:ascii="Calibri" w:hAnsi="Calibri" w:eastAsia="宋体" w:cs="Times New Roman"/>
          <w:kern w:val="2"/>
          <w:szCs w:val="24"/>
          <w:highlight w:val="none"/>
          <w:lang w:val="en-US" w:eastAsia="zh-CN" w:bidi="ar-SA"/>
        </w:rPr>
        <w:t>GB/T 16751.3—2021 中医临床诊疗术语 第 3 部分：治法</w:t>
      </w:r>
    </w:p>
    <w:p w14:paraId="30DD0C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Calibri" w:hAnsi="Calibri" w:eastAsia="宋体" w:cs="Times New Roman"/>
          <w:kern w:val="2"/>
          <w:szCs w:val="24"/>
          <w:highlight w:val="none"/>
          <w:lang w:val="en-US" w:eastAsia="zh-CN" w:bidi="ar-SA"/>
        </w:rPr>
        <w:t>GB/T 15657—2021 中医病症分类与代码</w:t>
      </w:r>
    </w:p>
    <w:p w14:paraId="7449BC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8" w:name="heading_11"/>
      <w:r>
        <w:rPr>
          <w:rFonts w:hint="eastAsia" w:ascii="宋体" w:hAnsi="宋体" w:eastAsia="宋体" w:cs="宋体"/>
          <w:sz w:val="21"/>
          <w:szCs w:val="21"/>
        </w:rPr>
        <w:t>五、与现行法律法规和强制性标准的关系</w:t>
      </w:r>
      <w:bookmarkEnd w:id="8"/>
    </w:p>
    <w:p w14:paraId="0E5EB3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9" w:name="heading_12"/>
      <w:r>
        <w:rPr>
          <w:rFonts w:hint="eastAsia" w:ascii="宋体" w:hAnsi="宋体" w:eastAsia="宋体" w:cs="宋体"/>
          <w:sz w:val="21"/>
          <w:szCs w:val="21"/>
        </w:rPr>
        <w:t>本标准与现行有关法律法规和强制性标准协调一致。</w:t>
      </w:r>
    </w:p>
    <w:p w14:paraId="1DFCCD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规范的起草、编写格式符合</w:t>
      </w:r>
      <w:r>
        <w:rPr>
          <w:rFonts w:hint="eastAsia" w:ascii="Calibri" w:hAnsi="Calibri" w:eastAsia="宋体" w:cs="Times New Roman"/>
          <w:kern w:val="2"/>
          <w:szCs w:val="24"/>
          <w:highlight w:val="none"/>
          <w:lang w:val="en-US" w:eastAsia="zh-CN" w:bidi="ar-SA"/>
        </w:rPr>
        <w:t>GB/T1.1-2020</w:t>
      </w:r>
      <w:r>
        <w:rPr>
          <w:rFonts w:hint="eastAsia" w:ascii="宋体" w:hAnsi="宋体" w:eastAsia="宋体" w:cs="宋体"/>
          <w:sz w:val="21"/>
          <w:szCs w:val="21"/>
        </w:rPr>
        <w:t>《标准化工作导则 第</w:t>
      </w:r>
      <w:r>
        <w:rPr>
          <w:rFonts w:hint="eastAsia" w:ascii="Calibri" w:hAnsi="Calibri" w:eastAsia="宋体" w:cs="Times New Roman"/>
          <w:kern w:val="2"/>
          <w:szCs w:val="24"/>
          <w:highlight w:val="none"/>
          <w:lang w:val="en-US" w:eastAsia="zh-CN" w:bidi="ar-SA"/>
        </w:rPr>
        <w:t>1</w:t>
      </w:r>
      <w:r>
        <w:rPr>
          <w:rFonts w:hint="eastAsia" w:ascii="宋体" w:hAnsi="宋体" w:eastAsia="宋体" w:cs="宋体"/>
          <w:sz w:val="21"/>
          <w:szCs w:val="21"/>
        </w:rPr>
        <w:t>部分：标准化文件的结构和起草规则》、</w:t>
      </w:r>
      <w:r>
        <w:rPr>
          <w:rFonts w:hint="eastAsia" w:ascii="Calibri" w:hAnsi="Calibri" w:eastAsia="宋体" w:cs="Times New Roman"/>
          <w:kern w:val="2"/>
          <w:szCs w:val="24"/>
          <w:highlight w:val="none"/>
          <w:lang w:val="en-US" w:eastAsia="zh-CN" w:bidi="ar-SA"/>
        </w:rPr>
        <w:t>GB/T1.2-2002</w:t>
      </w:r>
      <w:r>
        <w:rPr>
          <w:rFonts w:hint="eastAsia" w:ascii="宋体" w:hAnsi="宋体" w:eastAsia="宋体" w:cs="宋体"/>
          <w:sz w:val="21"/>
          <w:szCs w:val="21"/>
        </w:rPr>
        <w:t>《标准化工作导则 第</w:t>
      </w:r>
      <w:r>
        <w:rPr>
          <w:rFonts w:hint="eastAsia" w:ascii="Calibri" w:hAnsi="Calibri" w:eastAsia="宋体" w:cs="Times New Roman"/>
          <w:kern w:val="2"/>
          <w:szCs w:val="24"/>
          <w:highlight w:val="none"/>
          <w:lang w:val="en-US" w:eastAsia="zh-CN" w:bidi="ar-SA"/>
        </w:rPr>
        <w:t>2</w:t>
      </w:r>
      <w:r>
        <w:rPr>
          <w:rFonts w:hint="eastAsia" w:ascii="宋体" w:hAnsi="宋体" w:eastAsia="宋体" w:cs="宋体"/>
          <w:sz w:val="21"/>
          <w:szCs w:val="21"/>
        </w:rPr>
        <w:t>部分：标准中规范性技术要素内容的确定方法》的规格。</w:t>
      </w:r>
    </w:p>
    <w:p w14:paraId="0F21E1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p>
    <w:p w14:paraId="18E216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六、重大分歧意见处理</w:t>
      </w:r>
      <w:bookmarkEnd w:id="9"/>
    </w:p>
    <w:p w14:paraId="3EE869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bookmarkStart w:id="10" w:name="heading_13"/>
      <w:r>
        <w:rPr>
          <w:rFonts w:hint="eastAsia" w:ascii="宋体" w:hAnsi="宋体" w:eastAsia="宋体" w:cs="宋体"/>
          <w:sz w:val="21"/>
          <w:szCs w:val="21"/>
          <w:lang w:val="en-US" w:eastAsia="zh-CN"/>
        </w:rPr>
        <w:t>无</w:t>
      </w:r>
    </w:p>
    <w:p w14:paraId="3A70DB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p>
    <w:p w14:paraId="47F51E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七、标准作为强制性或推荐性标准发布的意见</w:t>
      </w:r>
      <w:bookmarkEnd w:id="10"/>
    </w:p>
    <w:p w14:paraId="6CB006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bookmarkStart w:id="11" w:name="heading_14"/>
      <w:r>
        <w:rPr>
          <w:rFonts w:hint="eastAsia" w:ascii="宋体" w:hAnsi="宋体" w:eastAsia="宋体" w:cs="宋体"/>
          <w:sz w:val="21"/>
          <w:szCs w:val="21"/>
          <w:lang w:val="en-US" w:eastAsia="zh-CN"/>
        </w:rPr>
        <w:t>推荐性</w:t>
      </w:r>
    </w:p>
    <w:p w14:paraId="556EAD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p>
    <w:p w14:paraId="504029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八、贯彻标准的建议</w:t>
      </w:r>
      <w:bookmarkEnd w:id="11"/>
    </w:p>
    <w:p w14:paraId="1082AC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实施推广建议</w:t>
      </w:r>
    </w:p>
    <w:p w14:paraId="1DD187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为了保证此规范的实施推广，具体建议如下：</w:t>
      </w:r>
    </w:p>
    <w:p w14:paraId="2C2B56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加强标准宣贯培训：标准发布后，组织面向风湿免疫科、中医科、中西医结合科、骨科、康复科医师的专题培训，通过学术会议、继续教育项目、网络课程等形式，提高标准知晓度和应用率；</w:t>
      </w:r>
    </w:p>
    <w:p w14:paraId="6EA925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建立评价反馈机制：定期收集标准实施过程中的意见和建议，评估标准应用效果，为标准的修订完善提供依据；</w:t>
      </w:r>
    </w:p>
    <w:p w14:paraId="521006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利用专业期刊、学术网站、微信公众号等媒体平台，对标准进行宣传推广，扩大标准影响力；</w:t>
      </w:r>
    </w:p>
    <w:p w14:paraId="72A5BF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在实践中不断检验、总结经验和完善。</w:t>
      </w:r>
    </w:p>
    <w:p w14:paraId="0D3C4A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p>
    <w:p w14:paraId="6ECCD8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12" w:name="heading_15"/>
      <w:r>
        <w:rPr>
          <w:rFonts w:hint="eastAsia" w:ascii="宋体" w:hAnsi="宋体" w:eastAsia="宋体" w:cs="宋体"/>
          <w:sz w:val="21"/>
          <w:szCs w:val="21"/>
        </w:rPr>
        <w:t>九、经费使用情况</w:t>
      </w:r>
      <w:bookmarkEnd w:id="12"/>
    </w:p>
    <w:p w14:paraId="7C3FAA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13" w:name="heading_16"/>
      <w:r>
        <w:rPr>
          <w:rFonts w:hint="eastAsia" w:ascii="宋体" w:hAnsi="宋体" w:eastAsia="宋体" w:cs="宋体"/>
          <w:sz w:val="21"/>
          <w:szCs w:val="21"/>
        </w:rPr>
        <w:t>主要用于：书籍与资料购置、出差调研、材料打印、研讨交流以及项目评审等。</w:t>
      </w:r>
    </w:p>
    <w:p w14:paraId="63BFFC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p>
    <w:p w14:paraId="78AACE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十、其他应予说明的事项</w:t>
      </w:r>
      <w:bookmarkEnd w:id="13"/>
    </w:p>
    <w:p w14:paraId="75A288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bookmarkStart w:id="14" w:name="heading_17"/>
      <w:r>
        <w:rPr>
          <w:rFonts w:hint="eastAsia" w:ascii="宋体" w:hAnsi="宋体" w:eastAsia="宋体" w:cs="宋体"/>
          <w:sz w:val="21"/>
          <w:szCs w:val="21"/>
        </w:rPr>
        <w:t>附起草人员组成的基本情况</w:t>
      </w:r>
      <w:bookmarkEnd w:id="14"/>
    </w:p>
    <w:p w14:paraId="0D0D8E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665"/>
        <w:gridCol w:w="2055"/>
        <w:gridCol w:w="825"/>
        <w:gridCol w:w="4735"/>
      </w:tblGrid>
      <w:tr w14:paraId="2A7AAB2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65" w:type="dxa"/>
            <w:tcMar>
              <w:top w:w="60" w:type="dxa"/>
              <w:left w:w="120" w:type="dxa"/>
              <w:bottom w:w="30" w:type="dxa"/>
              <w:right w:w="120" w:type="dxa"/>
            </w:tcMar>
          </w:tcPr>
          <w:p w14:paraId="41DC6C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18"/>
                <w:szCs w:val="18"/>
              </w:rPr>
            </w:pPr>
            <w:r>
              <w:rPr>
                <w:rFonts w:hint="eastAsia" w:ascii="宋体" w:hAnsi="宋体" w:eastAsia="宋体" w:cs="宋体"/>
                <w:b/>
                <w:bCs/>
                <w:sz w:val="18"/>
                <w:szCs w:val="18"/>
              </w:rPr>
              <w:t>序号</w:t>
            </w:r>
          </w:p>
        </w:tc>
        <w:tc>
          <w:tcPr>
            <w:tcW w:w="2055" w:type="dxa"/>
            <w:tcMar>
              <w:top w:w="60" w:type="dxa"/>
              <w:left w:w="120" w:type="dxa"/>
              <w:bottom w:w="30" w:type="dxa"/>
              <w:right w:w="120" w:type="dxa"/>
            </w:tcMar>
          </w:tcPr>
          <w:p w14:paraId="18DE76D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18"/>
                <w:szCs w:val="18"/>
              </w:rPr>
            </w:pPr>
            <w:r>
              <w:rPr>
                <w:rFonts w:hint="eastAsia" w:ascii="宋体" w:hAnsi="宋体" w:eastAsia="宋体" w:cs="宋体"/>
                <w:b/>
                <w:bCs/>
                <w:sz w:val="18"/>
                <w:szCs w:val="18"/>
              </w:rPr>
              <w:t>类别</w:t>
            </w:r>
          </w:p>
        </w:tc>
        <w:tc>
          <w:tcPr>
            <w:tcW w:w="825" w:type="dxa"/>
            <w:tcMar>
              <w:top w:w="60" w:type="dxa"/>
              <w:left w:w="120" w:type="dxa"/>
              <w:bottom w:w="30" w:type="dxa"/>
              <w:right w:w="120" w:type="dxa"/>
            </w:tcMar>
          </w:tcPr>
          <w:p w14:paraId="7D6579F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18"/>
                <w:szCs w:val="18"/>
              </w:rPr>
            </w:pPr>
            <w:r>
              <w:rPr>
                <w:rFonts w:hint="eastAsia" w:ascii="宋体" w:hAnsi="宋体" w:eastAsia="宋体" w:cs="宋体"/>
                <w:b/>
                <w:bCs/>
                <w:sz w:val="18"/>
                <w:szCs w:val="18"/>
              </w:rPr>
              <w:t>数量</w:t>
            </w:r>
          </w:p>
        </w:tc>
        <w:tc>
          <w:tcPr>
            <w:tcW w:w="4735" w:type="dxa"/>
            <w:tcMar>
              <w:top w:w="60" w:type="dxa"/>
              <w:left w:w="120" w:type="dxa"/>
              <w:bottom w:w="30" w:type="dxa"/>
              <w:right w:w="120" w:type="dxa"/>
            </w:tcMar>
          </w:tcPr>
          <w:p w14:paraId="0733394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18"/>
                <w:szCs w:val="18"/>
              </w:rPr>
            </w:pPr>
            <w:r>
              <w:rPr>
                <w:rFonts w:hint="eastAsia" w:ascii="宋体" w:hAnsi="宋体" w:eastAsia="宋体" w:cs="宋体"/>
                <w:b/>
                <w:bCs/>
                <w:sz w:val="18"/>
                <w:szCs w:val="18"/>
              </w:rPr>
              <w:t>具体情况</w:t>
            </w:r>
          </w:p>
        </w:tc>
      </w:tr>
      <w:tr w14:paraId="439A2A9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65" w:type="dxa"/>
            <w:tcMar>
              <w:top w:w="60" w:type="dxa"/>
              <w:left w:w="120" w:type="dxa"/>
              <w:bottom w:w="30" w:type="dxa"/>
              <w:right w:w="120" w:type="dxa"/>
            </w:tcMar>
            <w:vAlign w:val="center"/>
          </w:tcPr>
          <w:p w14:paraId="68D65A2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2055" w:type="dxa"/>
            <w:tcMar>
              <w:top w:w="60" w:type="dxa"/>
              <w:left w:w="120" w:type="dxa"/>
              <w:bottom w:w="30" w:type="dxa"/>
              <w:right w:w="120" w:type="dxa"/>
            </w:tcMar>
            <w:vAlign w:val="center"/>
          </w:tcPr>
          <w:p w14:paraId="66A5075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行业协会</w:t>
            </w:r>
            <w:r>
              <w:rPr>
                <w:rFonts w:hint="eastAsia" w:ascii="宋体" w:hAnsi="宋体" w:eastAsia="宋体" w:cs="宋体"/>
                <w:sz w:val="18"/>
                <w:szCs w:val="18"/>
                <w:lang w:val="en-US" w:eastAsia="zh-CN"/>
              </w:rPr>
              <w:t>/</w:t>
            </w:r>
            <w:r>
              <w:rPr>
                <w:rFonts w:hint="eastAsia" w:ascii="宋体" w:hAnsi="宋体" w:eastAsia="宋体" w:cs="宋体"/>
                <w:sz w:val="18"/>
                <w:szCs w:val="18"/>
              </w:rPr>
              <w:t>专业委员会</w:t>
            </w:r>
          </w:p>
        </w:tc>
        <w:tc>
          <w:tcPr>
            <w:tcW w:w="825" w:type="dxa"/>
            <w:tcMar>
              <w:top w:w="60" w:type="dxa"/>
              <w:left w:w="120" w:type="dxa"/>
              <w:bottom w:w="30" w:type="dxa"/>
              <w:right w:w="120" w:type="dxa"/>
            </w:tcMar>
            <w:vAlign w:val="center"/>
          </w:tcPr>
          <w:p w14:paraId="165E021F">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4735" w:type="dxa"/>
            <w:tcMar>
              <w:top w:w="60" w:type="dxa"/>
              <w:left w:w="120" w:type="dxa"/>
              <w:bottom w:w="30" w:type="dxa"/>
              <w:right w:w="120" w:type="dxa"/>
            </w:tcMar>
            <w:vAlign w:val="center"/>
          </w:tcPr>
          <w:p w14:paraId="050993F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中国民族卫生协会风湿疑难病专业委员会</w:t>
            </w:r>
          </w:p>
        </w:tc>
      </w:tr>
      <w:tr w14:paraId="707915A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65" w:type="dxa"/>
            <w:tcMar>
              <w:top w:w="60" w:type="dxa"/>
              <w:left w:w="120" w:type="dxa"/>
              <w:bottom w:w="30" w:type="dxa"/>
              <w:right w:w="120" w:type="dxa"/>
            </w:tcMar>
            <w:vAlign w:val="center"/>
          </w:tcPr>
          <w:p w14:paraId="44D945C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2055" w:type="dxa"/>
            <w:tcMar>
              <w:top w:w="60" w:type="dxa"/>
              <w:left w:w="120" w:type="dxa"/>
              <w:bottom w:w="30" w:type="dxa"/>
              <w:right w:w="120" w:type="dxa"/>
            </w:tcMar>
            <w:vAlign w:val="center"/>
          </w:tcPr>
          <w:p w14:paraId="242ACBF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高校</w:t>
            </w:r>
          </w:p>
        </w:tc>
        <w:tc>
          <w:tcPr>
            <w:tcW w:w="825" w:type="dxa"/>
            <w:tcMar>
              <w:top w:w="60" w:type="dxa"/>
              <w:left w:w="120" w:type="dxa"/>
              <w:bottom w:w="30" w:type="dxa"/>
              <w:right w:w="120" w:type="dxa"/>
            </w:tcMar>
            <w:vAlign w:val="center"/>
          </w:tcPr>
          <w:p w14:paraId="7ED3A9B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4735" w:type="dxa"/>
            <w:tcMar>
              <w:top w:w="60" w:type="dxa"/>
              <w:left w:w="120" w:type="dxa"/>
              <w:bottom w:w="30" w:type="dxa"/>
              <w:right w:w="120" w:type="dxa"/>
            </w:tcMar>
            <w:vAlign w:val="center"/>
          </w:tcPr>
          <w:p w14:paraId="2C7DFF1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长春中医药大学</w:t>
            </w:r>
          </w:p>
        </w:tc>
      </w:tr>
      <w:tr w14:paraId="10EC72E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65" w:type="dxa"/>
            <w:tcMar>
              <w:top w:w="60" w:type="dxa"/>
              <w:left w:w="120" w:type="dxa"/>
              <w:bottom w:w="30" w:type="dxa"/>
              <w:right w:w="120" w:type="dxa"/>
            </w:tcMar>
            <w:vAlign w:val="center"/>
          </w:tcPr>
          <w:p w14:paraId="0838C8A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3</w:t>
            </w:r>
          </w:p>
        </w:tc>
        <w:tc>
          <w:tcPr>
            <w:tcW w:w="2055" w:type="dxa"/>
            <w:tcMar>
              <w:top w:w="60" w:type="dxa"/>
              <w:left w:w="120" w:type="dxa"/>
              <w:bottom w:w="30" w:type="dxa"/>
              <w:right w:w="120" w:type="dxa"/>
            </w:tcMar>
            <w:vAlign w:val="center"/>
          </w:tcPr>
          <w:p w14:paraId="64225E9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医疗机构</w:t>
            </w:r>
          </w:p>
        </w:tc>
        <w:tc>
          <w:tcPr>
            <w:tcW w:w="825" w:type="dxa"/>
            <w:tcMar>
              <w:top w:w="60" w:type="dxa"/>
              <w:left w:w="120" w:type="dxa"/>
              <w:bottom w:w="30" w:type="dxa"/>
              <w:right w:w="120" w:type="dxa"/>
            </w:tcMar>
            <w:vAlign w:val="center"/>
          </w:tcPr>
          <w:p w14:paraId="54D638B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lang w:eastAsia="zh-CN"/>
              </w:rPr>
            </w:pPr>
            <w:r>
              <w:rPr>
                <w:rFonts w:hint="eastAsia" w:ascii="宋体" w:hAnsi="宋体" w:eastAsia="宋体" w:cs="宋体"/>
                <w:sz w:val="18"/>
                <w:szCs w:val="18"/>
                <w:lang w:val="en-US" w:eastAsia="zh-CN"/>
              </w:rPr>
              <w:t>3</w:t>
            </w:r>
            <w:bookmarkStart w:id="15" w:name="_GoBack"/>
            <w:bookmarkEnd w:id="15"/>
          </w:p>
        </w:tc>
        <w:tc>
          <w:tcPr>
            <w:tcW w:w="4735" w:type="dxa"/>
            <w:tcMar>
              <w:top w:w="60" w:type="dxa"/>
              <w:left w:w="120" w:type="dxa"/>
              <w:bottom w:w="30" w:type="dxa"/>
              <w:right w:w="120" w:type="dxa"/>
            </w:tcMar>
            <w:vAlign w:val="center"/>
          </w:tcPr>
          <w:p w14:paraId="497D340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kern w:val="0"/>
                <w:sz w:val="18"/>
                <w:szCs w:val="18"/>
                <w:highlight w:val="none"/>
                <w:lang w:val="en-US" w:eastAsia="zh-CN" w:bidi="ar"/>
              </w:rPr>
              <w:t>长春中医药大学附属第一医院、英平风湿医院、</w:t>
            </w:r>
            <w:r>
              <w:rPr>
                <w:rFonts w:hint="eastAsia" w:ascii="宋体" w:hAnsi="宋体" w:cs="宋体"/>
                <w:kern w:val="0"/>
                <w:sz w:val="18"/>
                <w:szCs w:val="18"/>
                <w:lang w:bidi="ar"/>
              </w:rPr>
              <w:t>长春吉润净月医院</w:t>
            </w:r>
          </w:p>
        </w:tc>
      </w:tr>
      <w:tr w14:paraId="75D3D0F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65" w:type="dxa"/>
            <w:tcMar>
              <w:top w:w="60" w:type="dxa"/>
              <w:left w:w="120" w:type="dxa"/>
              <w:bottom w:w="30" w:type="dxa"/>
              <w:right w:w="120" w:type="dxa"/>
            </w:tcMar>
            <w:vAlign w:val="center"/>
          </w:tcPr>
          <w:p w14:paraId="0765198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4</w:t>
            </w:r>
          </w:p>
        </w:tc>
        <w:tc>
          <w:tcPr>
            <w:tcW w:w="2055" w:type="dxa"/>
            <w:tcMar>
              <w:top w:w="60" w:type="dxa"/>
              <w:left w:w="120" w:type="dxa"/>
              <w:bottom w:w="30" w:type="dxa"/>
              <w:right w:w="120" w:type="dxa"/>
            </w:tcMar>
            <w:vAlign w:val="center"/>
          </w:tcPr>
          <w:p w14:paraId="5C95394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科研院所</w:t>
            </w:r>
          </w:p>
        </w:tc>
        <w:tc>
          <w:tcPr>
            <w:tcW w:w="825" w:type="dxa"/>
            <w:tcMar>
              <w:top w:w="60" w:type="dxa"/>
              <w:left w:w="120" w:type="dxa"/>
              <w:bottom w:w="30" w:type="dxa"/>
              <w:right w:w="120" w:type="dxa"/>
            </w:tcMar>
            <w:vAlign w:val="center"/>
          </w:tcPr>
          <w:p w14:paraId="179357C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4735" w:type="dxa"/>
            <w:tcMar>
              <w:top w:w="60" w:type="dxa"/>
              <w:left w:w="120" w:type="dxa"/>
              <w:bottom w:w="30" w:type="dxa"/>
              <w:right w:w="120" w:type="dxa"/>
            </w:tcMar>
            <w:vAlign w:val="center"/>
          </w:tcPr>
          <w:p w14:paraId="3D477AF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北京英平医疗技术研究所</w:t>
            </w:r>
          </w:p>
        </w:tc>
      </w:tr>
      <w:tr w14:paraId="113B410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65" w:type="dxa"/>
            <w:tcMar>
              <w:top w:w="60" w:type="dxa"/>
              <w:left w:w="120" w:type="dxa"/>
              <w:bottom w:w="30" w:type="dxa"/>
              <w:right w:w="120" w:type="dxa"/>
            </w:tcMar>
            <w:vAlign w:val="center"/>
          </w:tcPr>
          <w:p w14:paraId="4AB6EFF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5</w:t>
            </w:r>
          </w:p>
        </w:tc>
        <w:tc>
          <w:tcPr>
            <w:tcW w:w="2055" w:type="dxa"/>
            <w:tcMar>
              <w:top w:w="60" w:type="dxa"/>
              <w:left w:w="120" w:type="dxa"/>
              <w:bottom w:w="30" w:type="dxa"/>
              <w:right w:w="120" w:type="dxa"/>
            </w:tcMar>
            <w:vAlign w:val="center"/>
          </w:tcPr>
          <w:p w14:paraId="0F0E4F8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医药及相关企业</w:t>
            </w:r>
          </w:p>
        </w:tc>
        <w:tc>
          <w:tcPr>
            <w:tcW w:w="825" w:type="dxa"/>
            <w:tcMar>
              <w:top w:w="60" w:type="dxa"/>
              <w:left w:w="120" w:type="dxa"/>
              <w:bottom w:w="30" w:type="dxa"/>
              <w:right w:w="120" w:type="dxa"/>
            </w:tcMar>
            <w:vAlign w:val="center"/>
          </w:tcPr>
          <w:p w14:paraId="729C0E0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4735" w:type="dxa"/>
            <w:tcMar>
              <w:top w:w="60" w:type="dxa"/>
              <w:left w:w="120" w:type="dxa"/>
              <w:bottom w:w="30" w:type="dxa"/>
              <w:right w:w="120" w:type="dxa"/>
            </w:tcMar>
            <w:vAlign w:val="center"/>
          </w:tcPr>
          <w:p w14:paraId="4D87366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英平集团、星烁科技有限公司</w:t>
            </w:r>
          </w:p>
        </w:tc>
      </w:tr>
    </w:tbl>
    <w:p w14:paraId="1C89975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14:paraId="4615FC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14:paraId="6C6A1174">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1"/>
          <w:szCs w:val="21"/>
        </w:rPr>
      </w:pPr>
      <w:r>
        <w:rPr>
          <w:rFonts w:hint="eastAsia" w:ascii="宋体" w:hAnsi="宋体" w:eastAsia="宋体" w:cs="宋体"/>
          <w:sz w:val="21"/>
          <w:szCs w:val="21"/>
        </w:rPr>
        <w:t>《常见风湿免疫疾病中西医结合临床诊疗指南</w:t>
      </w:r>
      <w:r>
        <w:rPr>
          <w:rFonts w:hint="eastAsia" w:ascii="Calibri" w:hAnsi="Calibri" w:eastAsia="宋体" w:cs="Times New Roman"/>
          <w:kern w:val="2"/>
          <w:szCs w:val="24"/>
          <w:highlight w:val="none"/>
          <w:lang w:val="en-US" w:eastAsia="zh-CN" w:bidi="ar-SA"/>
        </w:rPr>
        <w:t xml:space="preserve"> IgA </w:t>
      </w:r>
      <w:r>
        <w:rPr>
          <w:rFonts w:hint="eastAsia" w:ascii="宋体" w:hAnsi="宋体" w:eastAsia="宋体" w:cs="宋体"/>
          <w:sz w:val="21"/>
          <w:szCs w:val="21"/>
        </w:rPr>
        <w:t>血管炎》起草组</w:t>
      </w:r>
    </w:p>
    <w:p w14:paraId="7C1E81D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Calibri" w:hAnsi="Calibri" w:eastAsia="宋体" w:cs="Times New Roman"/>
          <w:kern w:val="2"/>
          <w:szCs w:val="24"/>
          <w:highlight w:val="none"/>
          <w:lang w:val="en-US" w:eastAsia="zh-CN" w:bidi="ar-SA"/>
        </w:rPr>
        <w:t xml:space="preserve"> 2026</w:t>
      </w:r>
      <w:r>
        <w:rPr>
          <w:rFonts w:hint="eastAsia" w:ascii="宋体" w:hAnsi="宋体" w:eastAsia="宋体" w:cs="宋体"/>
          <w:sz w:val="21"/>
          <w:szCs w:val="21"/>
        </w:rPr>
        <w:t>年</w:t>
      </w:r>
      <w:r>
        <w:rPr>
          <w:rFonts w:hint="eastAsia" w:ascii="Calibri" w:hAnsi="Calibri" w:eastAsia="宋体" w:cs="Times New Roman"/>
          <w:kern w:val="2"/>
          <w:szCs w:val="24"/>
          <w:highlight w:val="none"/>
          <w:lang w:val="en-US" w:eastAsia="zh-CN" w:bidi="ar-SA"/>
        </w:rPr>
        <w:t>9</w:t>
      </w:r>
      <w:r>
        <w:rPr>
          <w:rFonts w:hint="eastAsia" w:ascii="宋体" w:hAnsi="宋体" w:eastAsia="宋体" w:cs="宋体"/>
          <w:sz w:val="21"/>
          <w:szCs w:val="21"/>
        </w:rPr>
        <w:t>月</w:t>
      </w:r>
      <w:r>
        <w:rPr>
          <w:rFonts w:hint="eastAsia" w:ascii="Calibri" w:hAnsi="Calibri" w:eastAsia="宋体" w:cs="Times New Roman"/>
          <w:kern w:val="2"/>
          <w:szCs w:val="24"/>
          <w:highlight w:val="none"/>
          <w:lang w:val="en-US" w:eastAsia="zh-CN" w:bidi="ar-SA"/>
        </w:rPr>
        <w:t>2</w:t>
      </w:r>
      <w:r>
        <w:rPr>
          <w:rFonts w:hint="eastAsia" w:ascii="宋体" w:hAnsi="宋体" w:eastAsia="宋体" w:cs="宋体"/>
          <w:sz w:val="21"/>
          <w:szCs w:val="21"/>
        </w:rPr>
        <w:t>日</w:t>
      </w:r>
    </w:p>
    <w:p w14:paraId="55FFC6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C954D"/>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68FA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F42FB2"/>
    <w:rsid w:val="31FB38AB"/>
    <w:rsid w:val="38571288"/>
    <w:rsid w:val="396F3620"/>
    <w:rsid w:val="3C75173D"/>
    <w:rsid w:val="4B341D42"/>
    <w:rsid w:val="4DE438B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1249</Words>
  <Characters>1324</Characters>
  <TotalTime>0</TotalTime>
  <ScaleCrop>false</ScaleCrop>
  <LinksUpToDate>false</LinksUpToDate>
  <CharactersWithSpaces>1354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2026-09-04T05:49:00Z</dcterms:created>
  <dc:creator>Apache POI</dc:creator>
  <cp:lastModifiedBy>小螃蟹</cp:lastModifiedBy>
  <dcterms:modified xsi:type="dcterms:W3CDTF">2026-09-11T00:30:10Z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{"Label":"1","ContentProducer":"001191110102MACQD9K64010000","ProduceID":"7681553096485686231","ReservedCode1":"","ContentPropagator":"","PropagateID":"","ReservedCode2":""}</vt:lpwstr>
  </property>
  <property fmtid="{D5CDD505-2E9C-101B-9397-08002B2CF9AE}" pid="3" name="KSOTemplateDocerSaveRecord">
    <vt:lpwstr>eyJoZGlkIjoiNTBjZWIzZjliZTBlZmRkYzRiNTY0MmFlYWYzZTc5MGUiLCJ1c2VySWQiOiI1MDY0NTY2MjEifQ==</vt:lpwstr>
  </property>
  <property fmtid="{D5CDD505-2E9C-101B-9397-08002B2CF9AE}" pid="4" name="KSOProductBuildVer">
    <vt:lpwstr>2052-12.1.0.28505</vt:lpwstr>
  </property>
  <property fmtid="{D5CDD505-2E9C-101B-9397-08002B2CF9AE}" pid="5" name="ICV">
    <vt:lpwstr>2BB5B7501CE2443DA5CA761DDD70AD11_13</vt:lpwstr>
  </property>
</Properties>
</file>