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C11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62" w:right="0" w:hanging="240" w:hangingChars="10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</w:rPr>
        <w:t>《常见风湿免疫疾病中西医结合临床诊疗指南</w:t>
      </w: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</w:rPr>
        <w:t>痛风及高尿酸血症》</w:t>
      </w:r>
      <w:r>
        <w:rPr>
          <w:rFonts w:hint="eastAsia" w:ascii="宋体" w:hAnsi="宋体" w:eastAsia="宋体" w:cs="宋体"/>
          <w:b w:val="0"/>
          <w:bCs w:val="0"/>
          <w:spacing w:val="10"/>
          <w:sz w:val="21"/>
          <w:szCs w:val="21"/>
        </w:rPr>
        <w:t>团体标准编制说明</w:t>
      </w:r>
    </w:p>
    <w:p w14:paraId="24367F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一、标准编制背景及任务来源</w:t>
      </w:r>
    </w:p>
    <w:p w14:paraId="6B36EE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094A8A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5"/>
          <w:sz w:val="21"/>
          <w:szCs w:val="21"/>
        </w:rPr>
        <w:t>（一）标准编制背景</w:t>
      </w:r>
    </w:p>
    <w:p w14:paraId="6792136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110" w:firstLine="452" w:firstLineChars="200"/>
        <w:jc w:val="both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随着我国居民生活方式快速转变、饮食结构日趋西化，高嘌呤、高果糖、高脂饮食摄入增加，久坐少动、饮酒、熬夜等不良生活习惯普遍存在，我国高尿酸血症与痛风患病率呈持续攀升态势，且发病年龄显著年轻化。高尿酸血症不仅是痛风的直接病因，还与高血压、糖尿病、血脂异常、冠心病、脑卒中、慢性肾脏病等多种疾病密切相关，已成为严重威胁居民健康的重要公共卫生问题。痛风反复发作可导致关节畸形、功能丧失，痛风性肾病可进展为肾功能衰竭，显著降低患者生活质量，增加致残率与病死率，给患者家庭及社会带来沉重医疗负担。</w:t>
      </w:r>
    </w:p>
    <w:p w14:paraId="79137C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110" w:firstLine="452" w:firstLineChars="200"/>
        <w:jc w:val="both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当前临床诊疗中仍存在诸多问题：部分基层医师对痛风分期诊疗、血尿酸达标治疗、并发症管理认识不足；治疗方案同质化明显，个体化诊疗水平不高；单纯西医治疗存在不良反应明显、复发率较高等局限；中西医结合诊疗缺乏统一、规范、可落地的执行标准；患者疾病认知不足、自我管理能力薄弱，治疗依从性较差。为贯彻落实“健康中国”战略要求，推进慢性代谢性疾病规范化防治，提升痛风及高尿酸血症中西医结合诊疗水平，保障医疗质量与安全，制定一部科学、实用、可推广的中西医结合诊疗指南具有重要现实意义与临床价值。</w:t>
      </w:r>
    </w:p>
    <w:p w14:paraId="2D8F52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6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4"/>
          <w:sz w:val="21"/>
          <w:szCs w:val="21"/>
        </w:rPr>
        <w:t>（二）任务来源</w:t>
      </w:r>
    </w:p>
    <w:p w14:paraId="156486F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0" w:firstLineChars="200"/>
        <w:jc w:val="both"/>
        <w:textAlignment w:val="baseline"/>
        <w:rPr>
          <w:rFonts w:hint="eastAsia" w:ascii="宋体" w:hAnsi="宋体" w:eastAsia="宋体" w:cs="宋体"/>
          <w:spacing w:val="5"/>
          <w:sz w:val="21"/>
          <w:szCs w:val="21"/>
        </w:rPr>
      </w:pPr>
      <w:r>
        <w:rPr>
          <w:rFonts w:hint="eastAsia" w:ascii="宋体" w:hAnsi="宋体" w:eastAsia="宋体" w:cs="宋体"/>
          <w:spacing w:val="5"/>
          <w:sz w:val="21"/>
          <w:szCs w:val="21"/>
        </w:rPr>
        <w:t>中国民族卫生协会为国家一级非营利性行业社会团体，业务主管单位为国家卫生健康委，长期致力于推动民族卫生事业发展、规范临床诊疗行为、推广中西医结合诊疗技术。根据《中国民族卫生协会团体标准管理办法（试行）》相关规定，为规范痛风及高尿酸血症诊疗流程，提升中西医结合防治水平，保障患者诊疗效果与医疗安全，202</w:t>
      </w:r>
      <w:r>
        <w:rPr>
          <w:rFonts w:hint="eastAsia" w:ascii="宋体" w:hAnsi="宋体" w:eastAsia="宋体" w:cs="宋体"/>
          <w:spacing w:val="5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5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5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pacing w:val="5"/>
          <w:sz w:val="21"/>
          <w:szCs w:val="21"/>
        </w:rPr>
        <w:t>月经中国民族卫生协会标准化工作委员会研究批准，正式立项制定《痛风及高尿酸血症中西医结合诊疗指南》团体标准</w:t>
      </w:r>
      <w:r>
        <w:rPr>
          <w:rFonts w:hint="eastAsia" w:ascii="宋体" w:hAnsi="宋体" w:eastAsia="宋体" w:cs="宋体"/>
          <w:spacing w:val="5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5"/>
          <w:sz w:val="21"/>
          <w:szCs w:val="21"/>
          <w:lang w:val="en-US" w:eastAsia="zh-CN"/>
        </w:rPr>
        <w:t>项目编号：</w:t>
      </w:r>
      <w:r>
        <w:rPr>
          <w:rFonts w:hint="eastAsia" w:ascii="宋体" w:hAnsi="宋体" w:eastAsia="宋体" w:cs="宋体"/>
          <w:spacing w:val="5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5"/>
          <w:sz w:val="21"/>
          <w:szCs w:val="21"/>
        </w:rPr>
        <w:t>。</w:t>
      </w:r>
    </w:p>
    <w:p w14:paraId="7C1389D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0" w:firstLineChars="200"/>
        <w:jc w:val="both"/>
        <w:textAlignment w:val="baseline"/>
        <w:rPr>
          <w:rFonts w:hint="eastAsia" w:ascii="宋体" w:hAnsi="宋体" w:eastAsia="宋体" w:cs="宋体"/>
          <w:spacing w:val="5"/>
          <w:sz w:val="21"/>
          <w:szCs w:val="21"/>
        </w:rPr>
      </w:pPr>
      <w:r>
        <w:rPr>
          <w:rFonts w:hint="eastAsia" w:ascii="宋体" w:hAnsi="宋体" w:eastAsia="宋体" w:cs="宋体"/>
          <w:spacing w:val="5"/>
          <w:sz w:val="21"/>
          <w:szCs w:val="21"/>
        </w:rPr>
        <w:t>本标准由中国民族卫生协会风湿疑难病专业委员会提出并归口，由国内多家三级甲等医院风湿免疫科、内分泌科、肾病科、中医科、中西医结合科及科研机构共同组成起草小组，联合完成标准调研、起草、论证与修订工作。</w:t>
      </w:r>
    </w:p>
    <w:p w14:paraId="5D1BD6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8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二、主要工作过程</w:t>
      </w:r>
    </w:p>
    <w:p w14:paraId="43828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459B0B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4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"/>
          <w:sz w:val="21"/>
          <w:szCs w:val="21"/>
        </w:rPr>
        <w:t>（一）预研阶段（202</w:t>
      </w:r>
      <w:r>
        <w:rPr>
          <w:rFonts w:hint="eastAsia" w:ascii="宋体" w:hAnsi="宋体" w:eastAsia="宋体" w:cs="宋体"/>
          <w:spacing w:val="1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1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1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pacing w:val="1"/>
          <w:sz w:val="21"/>
          <w:szCs w:val="21"/>
        </w:rPr>
        <w:t>月—202</w:t>
      </w:r>
      <w:r>
        <w:rPr>
          <w:rFonts w:hint="eastAsia" w:ascii="宋体" w:hAnsi="宋体" w:eastAsia="宋体" w:cs="宋体"/>
          <w:spacing w:val="1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1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1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1"/>
          <w:sz w:val="21"/>
          <w:szCs w:val="21"/>
        </w:rPr>
        <w:t>月）</w:t>
      </w:r>
    </w:p>
    <w:p w14:paraId="2770CA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jc w:val="both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接到标准制定任务后，牵头单位迅速联合全国多学科医疗机构及专家成立标准起草工作组，明确工作分工、进度安排与质量要求。工作组成员系统梳理2019年以来国内外高尿酸血症与痛风相关诊疗指南、专家共识、临床研究、系统评价及Meta分析，重点参考中华医学会内分泌学分会、肾脏病学分会、中国中西医结合学会、美国风湿病学会（ACR）、欧洲抗风湿病联盟（EULAR）发布的权威文件，全面掌握疾病流行病学、病理机制、诊断标准、治疗方案、预防调护等研究进展。</w:t>
      </w:r>
    </w:p>
    <w:p w14:paraId="1B933E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jc w:val="both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工作组深入临床一线开展调研，收集各级医疗机构诊疗现状、临床痛点、实施难点，广泛征求风湿、内分泌、肾病、中医、药学等领域专家意见，结合我国人群发病特点、医疗资源分布及临床实际需求，初步确定指南框架、核心内容与编制思路，形成标准草案框架。</w:t>
      </w:r>
    </w:p>
    <w:p w14:paraId="19F6FD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6EBAC7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（二）编制阶段（202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月—202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年11月）</w:t>
      </w:r>
    </w:p>
    <w:p w14:paraId="55311E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103" w:firstLine="428" w:firstLineChars="200"/>
        <w:jc w:val="both"/>
        <w:textAlignment w:val="baseline"/>
        <w:rPr>
          <w:rFonts w:hint="eastAsia" w:ascii="宋体" w:hAnsi="宋体" w:eastAsia="宋体" w:cs="宋体"/>
          <w:spacing w:val="2"/>
          <w:sz w:val="21"/>
          <w:szCs w:val="21"/>
        </w:rPr>
      </w:pPr>
      <w:r>
        <w:rPr>
          <w:rFonts w:hint="eastAsia" w:ascii="宋体" w:hAnsi="宋体" w:eastAsia="宋体" w:cs="宋体"/>
          <w:spacing w:val="2"/>
          <w:sz w:val="21"/>
          <w:szCs w:val="21"/>
        </w:rPr>
        <w:t>202</w:t>
      </w:r>
      <w:r>
        <w:rPr>
          <w:rFonts w:hint="eastAsia" w:ascii="宋体" w:hAnsi="宋体" w:eastAsia="宋体" w:cs="宋体"/>
          <w:spacing w:val="2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2"/>
          <w:sz w:val="21"/>
          <w:szCs w:val="21"/>
        </w:rPr>
        <w:t>年9月起，起草工作组依据预研成果，严格按照GB/T1.1—2020《标准化工作导则第1部分：标准化文件的结构和起草规则》要求，开展标准正文撰写工作。编写过程坚持“科学性、规范性、实用性、中西医协同”原则，重点明确疾病诊断、分期分型、西医规范治疗、中医辨证论治、中西医结合要点、预防调护、随访监测等核心内容，突出分期论治、病证结合、个体化干预特色。</w:t>
      </w:r>
    </w:p>
    <w:p w14:paraId="3F71A4F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103" w:firstLine="428" w:firstLineChars="200"/>
        <w:jc w:val="both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"/>
          <w:sz w:val="21"/>
          <w:szCs w:val="21"/>
        </w:rPr>
        <w:t>初稿完成后，工作组先后组织3次内部专家论证会，针对诊断标准、药物剂量、中医方药、靶目标值、流程图等内容逐条审议，修改完善表述模糊、证据不足、操作性不强的条款，补充最新循证医学证据，优化结构体例与文字表达，形成标准征求意见稿初稿。</w:t>
      </w:r>
    </w:p>
    <w:p w14:paraId="1BB7B4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16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（三）研讨与征求意见阶段（202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年12月）</w:t>
      </w:r>
    </w:p>
    <w:p w14:paraId="78F36544">
      <w:pPr>
        <w:ind w:firstLine="42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2025年12月初，起草小组在完成标准修订稿的基础上，开展了数次研讨，对照专家评审意见对草案进行逐条修改，形成送审稿。</w:t>
      </w:r>
    </w:p>
    <w:p w14:paraId="0763C7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三、标准编制原则及主要技术内容确定</w:t>
      </w:r>
    </w:p>
    <w:p w14:paraId="7204EA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0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5"/>
          <w:sz w:val="21"/>
          <w:szCs w:val="21"/>
        </w:rPr>
        <w:t>（一）标准编制原则</w:t>
      </w:r>
    </w:p>
    <w:p w14:paraId="150DFD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78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1.科学性原则：以国内外最新循证医学证据、权威指南及专家共识为依据，确保诊断标准、治疗方案、目标值设定科学准确，符合疾病发病规律与临床研究结论。</w:t>
      </w:r>
    </w:p>
    <w:p w14:paraId="14E3A4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78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2.规范性原则：本标准编写严格遵循GB/T1.1-2009《标准化工作导则 第一部分：标准的结构和编写》要求</w:t>
      </w:r>
      <w:r>
        <w:rPr>
          <w:rFonts w:hint="eastAsia" w:ascii="宋体" w:hAnsi="宋体" w:eastAsia="宋体" w:cs="宋体"/>
          <w:spacing w:val="7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pacing w:val="7"/>
          <w:sz w:val="21"/>
          <w:szCs w:val="21"/>
        </w:rPr>
        <w:t>结构完整、体例统一、术语准确、逻辑清晰，符合团体标准编制规范。</w:t>
      </w:r>
    </w:p>
    <w:p w14:paraId="0AB18A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78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3.实用性原则：立足我国临床实际，兼顾基层医疗机构与三级医院诊疗能力，内容简明、流程清晰、操作简便，便于临床直接应用与推广。</w:t>
      </w:r>
    </w:p>
    <w:p w14:paraId="77FA04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78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4.中西医协同原则：突出西医辨病与中医辨证相结合、分期治疗与分型治疗相结合、快速治标与长期治本相结合，发挥中西医协同增效优势。</w:t>
      </w:r>
    </w:p>
    <w:p w14:paraId="1F314F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78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5.安全性原则：明确药物使用禁忌、剂量调整、不良反应监测及特殊人群用药要求，强化医疗安全与风险防控。</w:t>
      </w:r>
    </w:p>
    <w:p w14:paraId="45B230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（二）团体标准主要内容确定</w:t>
      </w:r>
    </w:p>
    <w:p w14:paraId="4CE8C2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本标准共设8章正文及3个资料性附录，核心内容如下：</w:t>
      </w:r>
    </w:p>
    <w:p w14:paraId="141270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1.范围：明确标准适用于痛风及高尿酸血症中西医结合诊断、治疗、预防、康复与全程管理，覆盖各级各类医疗机构。</w:t>
      </w:r>
    </w:p>
    <w:p w14:paraId="7906C5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2.规范性引用文件：引用国家标准及中医诊疗术语相关文件，保证术语与格式规范统一。</w:t>
      </w:r>
    </w:p>
    <w:p w14:paraId="61418A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3.术语和定义：明确高尿酸血症、痛风、痛风石、痛风性肾病、难治性痛风等核心术语，统一临床表述。</w:t>
      </w:r>
    </w:p>
    <w:p w14:paraId="68E5809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4.缩略语：规范常用英文缩写，便于阅读与使用。</w:t>
      </w:r>
    </w:p>
    <w:p w14:paraId="68E584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5.总则：确立诊疗基本原则、短期与长期治疗目标、分期论治策略、个体化治疗及多学科协作要求。</w:t>
      </w:r>
    </w:p>
    <w:p w14:paraId="3D1AD5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6.诊断：规范临床表现、西医诊断（实验室检查、影像学、鉴别诊断）、中医辨证分型与分期，统一诊断路径。</w:t>
      </w:r>
    </w:p>
    <w:p w14:paraId="36B9D6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7.治疗：明确治疗原则，分别阐述无症状期、急性期、间歇期、慢性期、痛风性肾病期西医治疗方案与中医辨证论治方药，补充中医外治、饮食疗法及中西医结合要点。</w:t>
      </w:r>
    </w:p>
    <w:p w14:paraId="2749F4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8.预防与调护：制定饮食干预、生活方式管理、诱因规避、日常护理、心理调护及随访监测方案。</w:t>
      </w:r>
    </w:p>
    <w:p w14:paraId="12E1B84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附录包括痛风症状评分表、高嘌呤食物表及中西医结合诊疗流程图，增强指南实用性。</w:t>
      </w:r>
    </w:p>
    <w:p w14:paraId="3EDEFA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215B19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448" w:firstLineChars="200"/>
        <w:textAlignment w:val="baseline"/>
        <w:rPr>
          <w:rFonts w:hint="eastAsia" w:ascii="宋体" w:hAnsi="宋体" w:eastAsia="宋体" w:cs="宋体"/>
          <w:spacing w:val="5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四、采用国际、国内标准情况</w:t>
      </w:r>
      <w:r>
        <w:rPr>
          <w:rFonts w:hint="eastAsia" w:ascii="宋体" w:hAnsi="宋体" w:eastAsia="宋体" w:cs="宋体"/>
          <w:spacing w:val="5"/>
          <w:sz w:val="21"/>
          <w:szCs w:val="21"/>
        </w:rPr>
        <w:t xml:space="preserve"> </w:t>
      </w:r>
    </w:p>
    <w:p w14:paraId="2A4193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44" w:firstLineChars="200"/>
        <w:textAlignment w:val="baseline"/>
        <w:outlineLvl w:val="0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本标准在编制过程中，充分参考、吸纳中华医学会内分泌学分会《中国高尿酸血症与痛风诊疗指南（2019）》、中国中西医结合学会《痛风及高尿酸血症中西医结合诊疗指南（2023）》、中华医学会肾脏病学分会《中国肾脏疾病高尿酸血症诊治实践指南（2021）》及2020年ACR、EULAR痛风管理指南核心内容，结合国内临床实践优化完善，未直接采用国际标准文本，关键指标与国际主流指南保持一致，同时符合国内诊疗习惯与医保政策。</w:t>
      </w:r>
    </w:p>
    <w:p w14:paraId="093417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3866E8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五、与现行法律法规和强制性标准的关系</w:t>
      </w:r>
    </w:p>
    <w:p w14:paraId="21D0C9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本标准严格遵守《中华人民共和国基本医疗卫生与健康促进法》《中华人民共和国中医药法》《医疗机构管理条例》等法律法规，符合国家药品管理、临床诊疗技术规范、中医药应用等强制性要求，与现行国家标准、行业标准协调一致，不冲突、不重复，可作为现有指南的补充与落地性操作规范。</w:t>
      </w:r>
    </w:p>
    <w:p w14:paraId="20A18D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标准编写格式严格执行GB/T1.1—2020《标准化工作导则第1部分：标准化文件的结构和起草规则》，内容合规、表述严谨。</w:t>
      </w:r>
    </w:p>
    <w:p w14:paraId="5E38AB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63740C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5232" w:firstLine="448" w:firstLineChars="200"/>
        <w:textAlignment w:val="baseline"/>
        <w:rPr>
          <w:rFonts w:hint="eastAsia" w:ascii="宋体" w:hAnsi="宋体" w:eastAsia="宋体" w:cs="宋体"/>
          <w:spacing w:val="7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六、重大分歧意见处理</w:t>
      </w:r>
    </w:p>
    <w:p w14:paraId="02614C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523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无</w:t>
      </w:r>
    </w:p>
    <w:p w14:paraId="58D869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523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15C0B6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2030" w:firstLine="45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9"/>
          <w:sz w:val="21"/>
          <w:szCs w:val="21"/>
        </w:rPr>
        <w:t>七、标准作为强制性或推荐性标准发布的意见</w:t>
      </w:r>
      <w:r>
        <w:rPr>
          <w:rFonts w:hint="eastAsia" w:ascii="宋体" w:hAnsi="宋体" w:eastAsia="宋体" w:cs="宋体"/>
          <w:spacing w:val="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推荐性</w:t>
      </w:r>
    </w:p>
    <w:p w14:paraId="4C2725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66C176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八、贯彻标准的建议</w:t>
      </w:r>
    </w:p>
    <w:p w14:paraId="31BD3B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</w:p>
    <w:p w14:paraId="0ECD39C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1.加强宣贯培训：通过学术会议、线上课程、基层培训等形式，面向临床医师解读标准内容，推广规范化诊疗流程，提升标准知晓率与执行率。</w:t>
      </w:r>
    </w:p>
    <w:p w14:paraId="1DEEDC1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2.制作配套材料：编制简易手册、诊疗流程图、用药速查表等实用工具，方便医师快速查阅使用。</w:t>
      </w:r>
    </w:p>
    <w:p w14:paraId="5AB41B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3.开展试点应用：选取不同级别医疗机构开展试点应用，收集反馈意见，持续优化标准内容。</w:t>
      </w:r>
    </w:p>
    <w:p w14:paraId="6BB743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4.强化患者教育：依托标准内容开展患者健康教育，普及饮食、运动、用药、监测知识，提升自我管理能力。</w:t>
      </w:r>
    </w:p>
    <w:p w14:paraId="3058C2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52" w:firstLineChars="200"/>
        <w:textAlignment w:val="baseline"/>
        <w:rPr>
          <w:rFonts w:hint="eastAsia" w:ascii="宋体" w:hAnsi="宋体" w:eastAsia="宋体" w:cs="宋体"/>
          <w:spacing w:val="8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5.动态更新完善：建立标准跟踪评价机制，根据新研究、新药物、新指南及时修订更新，保持标准时效性与科学性。</w:t>
      </w:r>
    </w:p>
    <w:p w14:paraId="26BEF2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4"/>
          <w:sz w:val="21"/>
          <w:szCs w:val="21"/>
        </w:rPr>
        <w:t>九、经费使用情况</w:t>
      </w:r>
    </w:p>
    <w:p w14:paraId="656C89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主要用于：书籍与资料购置、出差调研、材料打印</w:t>
      </w:r>
      <w:r>
        <w:rPr>
          <w:rFonts w:hint="eastAsia" w:ascii="宋体" w:hAnsi="宋体" w:eastAsia="宋体" w:cs="宋体"/>
          <w:spacing w:val="2"/>
          <w:sz w:val="21"/>
          <w:szCs w:val="21"/>
        </w:rPr>
        <w:t>、研讨交流以及项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>目评审等。</w:t>
      </w:r>
    </w:p>
    <w:p w14:paraId="7E26DD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6" w:firstLineChars="200"/>
        <w:textAlignment w:val="baseline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4"/>
          <w:sz w:val="21"/>
          <w:szCs w:val="21"/>
        </w:rPr>
        <w:t xml:space="preserve">十、其他应予以说明的事项 </w:t>
      </w:r>
    </w:p>
    <w:p w14:paraId="3C1813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2" w:firstLineChars="200"/>
        <w:textAlignment w:val="baseline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本标准为中西医结合临床诊疗技术规范，不涉及专利、知识产权争议；起草单位与专家均签署无利益冲突声明，保证标准编制独立、客观、公正。</w:t>
      </w:r>
    </w:p>
    <w:p w14:paraId="18945F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2" w:firstLineChars="200"/>
        <w:textAlignment w:val="baseline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本标准起草组依托多学科临床专家团队，兼顾科学性与实用性，适合在全国各级医疗机构推广使用，对提升痛风及高尿酸血症规范化诊疗水平、降低疾病负担、改善患者预后具有积极作用。</w:t>
      </w:r>
    </w:p>
    <w:p w14:paraId="6F86EBA1">
      <w:pPr>
        <w:ind w:firstLine="420" w:firstLineChars="200"/>
        <w:rPr>
          <w:rFonts w:hint="eastAsia"/>
          <w:highlight w:val="none"/>
        </w:rPr>
      </w:pPr>
      <w:r>
        <w:rPr>
          <w:rFonts w:hint="eastAsia"/>
          <w:highlight w:val="none"/>
        </w:rPr>
        <w:t>附起草人员组成的基本情况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6"/>
        <w:gridCol w:w="2092"/>
        <w:gridCol w:w="646"/>
        <w:gridCol w:w="5858"/>
      </w:tblGrid>
      <w:tr w14:paraId="1AF3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9C79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52DC2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A3A2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6B61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val="en-US" w:eastAsia="zh-CN" w:bidi="ar"/>
              </w:rPr>
              <w:t>具体情况</w:t>
            </w:r>
          </w:p>
        </w:tc>
      </w:tr>
      <w:tr w14:paraId="08395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3697DF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E3C1AA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行业协会/专业委员会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9CBEF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4904EC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中国民族卫生协会风湿疑难病专业委员会</w:t>
            </w:r>
          </w:p>
        </w:tc>
      </w:tr>
      <w:tr w14:paraId="5086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63897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BA9C9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高校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9A952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D09F5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长春中医药大学</w:t>
            </w:r>
          </w:p>
        </w:tc>
      </w:tr>
      <w:tr w14:paraId="35F23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0538F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BBEA9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医疗机构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401FC6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3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242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长春中医药大学附属第一医院、英平风湿医院、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长春吉润净月医院</w:t>
            </w:r>
          </w:p>
        </w:tc>
      </w:tr>
      <w:tr w14:paraId="6CC7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DE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FABF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科研院所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BE2C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232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北京英平医疗技术研究所</w:t>
            </w:r>
          </w:p>
        </w:tc>
      </w:tr>
      <w:tr w14:paraId="1CF03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E765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063C6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医药及相关企业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6BC9F3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F94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英平集团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星烁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科技有限公司</w:t>
            </w:r>
          </w:p>
        </w:tc>
      </w:tr>
    </w:tbl>
    <w:p w14:paraId="442020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宋体" w:hAnsi="宋体" w:eastAsia="宋体" w:cs="宋体"/>
          <w:spacing w:val="3"/>
          <w:sz w:val="21"/>
          <w:szCs w:val="21"/>
        </w:rPr>
      </w:pPr>
    </w:p>
    <w:p w14:paraId="74B5BFF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432" w:firstLineChars="200"/>
        <w:textAlignment w:val="baseline"/>
        <w:rPr>
          <w:rFonts w:hint="eastAsia" w:ascii="宋体" w:hAnsi="宋体" w:eastAsia="宋体" w:cs="宋体"/>
          <w:spacing w:val="3"/>
          <w:sz w:val="21"/>
          <w:szCs w:val="21"/>
        </w:rPr>
      </w:pPr>
    </w:p>
    <w:p w14:paraId="10D088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right"/>
        <w:textAlignment w:val="baseline"/>
        <w:rPr>
          <w:rFonts w:hint="eastAsia" w:ascii="宋体" w:hAnsi="宋体" w:eastAsia="宋体" w:cs="宋体"/>
          <w:spacing w:val="11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</w:rPr>
        <w:t>《</w:t>
      </w: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</w:rPr>
        <w:t>常见风湿免疫疾病中西医结合临床诊疗指南</w:t>
      </w: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15"/>
          <w:sz w:val="21"/>
          <w:szCs w:val="21"/>
        </w:rPr>
        <w:t>痛风及高尿酸血症</w:t>
      </w:r>
      <w:r>
        <w:rPr>
          <w:rFonts w:hint="eastAsia" w:ascii="宋体" w:hAnsi="宋体" w:eastAsia="宋体" w:cs="宋体"/>
          <w:spacing w:val="8"/>
          <w:sz w:val="21"/>
          <w:szCs w:val="21"/>
        </w:rPr>
        <w:t>》起草组</w:t>
      </w:r>
      <w:r>
        <w:rPr>
          <w:rFonts w:hint="eastAsia" w:ascii="宋体" w:hAnsi="宋体" w:eastAsia="宋体" w:cs="宋体"/>
          <w:spacing w:val="11"/>
          <w:sz w:val="21"/>
          <w:szCs w:val="21"/>
        </w:rPr>
        <w:t xml:space="preserve"> </w:t>
      </w:r>
    </w:p>
    <w:p w14:paraId="1A480A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321"/>
        <w:jc w:val="right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202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日</w:t>
      </w:r>
    </w:p>
    <w:sectPr>
      <w:footerReference r:id="rId5" w:type="default"/>
      <w:pgSz w:w="11906" w:h="16839"/>
      <w:pgMar w:top="1431" w:right="1418" w:bottom="1156" w:left="1486" w:header="0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1599E">
    <w:pPr>
      <w:spacing w:line="176" w:lineRule="auto"/>
      <w:ind w:left="439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9D1879"/>
    <w:rsid w:val="39212911"/>
    <w:rsid w:val="3C2105FF"/>
    <w:rsid w:val="411F78B8"/>
    <w:rsid w:val="4AC47C50"/>
    <w:rsid w:val="55986DE4"/>
    <w:rsid w:val="57884901"/>
    <w:rsid w:val="5879483A"/>
    <w:rsid w:val="5B3752F1"/>
    <w:rsid w:val="5F8605F5"/>
    <w:rsid w:val="62113437"/>
    <w:rsid w:val="6C1D026B"/>
    <w:rsid w:val="6D8404AD"/>
    <w:rsid w:val="75FE45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1591</Words>
  <Characters>1639</Characters>
  <TotalTime>0</TotalTime>
  <ScaleCrop>false</ScaleCrop>
  <LinksUpToDate>false</LinksUpToDate>
  <CharactersWithSpaces>1640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2024-12-20T10:55:00Z</dcterms:created>
  <dc:creator>微软用户</dc:creator>
  <cp:lastModifiedBy>小螃蟹</cp:lastModifiedBy>
  <dcterms:modified xsi:type="dcterms:W3CDTF">2026-09-11T00:27:28Z</dcterms:modified>
  <dc:title>标准编制说明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2024-12-24T11:02:52Z</vt:filetime>
  </property>
  <property fmtid="{D5CDD505-2E9C-101B-9397-08002B2CF9AE}" pid="4" name="KSOProductBuildVer">
    <vt:lpwstr>2052-12.1.0.28505</vt:lpwstr>
  </property>
  <property fmtid="{D5CDD505-2E9C-101B-9397-08002B2CF9AE}" pid="5" name="ICV">
    <vt:lpwstr>11D70082952F4CFD91D5E20049E89B71_13</vt:lpwstr>
  </property>
  <property fmtid="{D5CDD505-2E9C-101B-9397-08002B2CF9AE}" pid="6" name="KSOTemplateDocerSaveRecord">
    <vt:lpwstr>eyJoZGlkIjoiNTBjZWIzZjliZTBlZmRkYzRiNTY0MmFlYWYzZTc5MGUiLCJ1c2VySWQiOiI1MDY0NTY2MjEifQ==</vt:lpwstr>
  </property>
</Properties>
</file>