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1C57F3">
      <w:pPr>
        <w:jc w:val="center"/>
        <w:rPr>
          <w:rFonts w:ascii="方正小标宋简体" w:hAnsi="方正小标宋简体" w:eastAsia="方正小标宋简体" w:cs="方正小标宋简体"/>
          <w:sz w:val="36"/>
          <w:szCs w:val="44"/>
        </w:rPr>
      </w:pPr>
    </w:p>
    <w:p w14:paraId="4018D462">
      <w:pPr>
        <w:jc w:val="center"/>
        <w:rPr>
          <w:rFonts w:ascii="方正小标宋简体" w:hAnsi="方正小标宋简体" w:eastAsia="方正小标宋简体" w:cs="方正小标宋简体"/>
          <w:sz w:val="36"/>
          <w:szCs w:val="44"/>
        </w:rPr>
      </w:pPr>
    </w:p>
    <w:p w14:paraId="55CB3065">
      <w:pPr>
        <w:jc w:val="center"/>
        <w:rPr>
          <w:rFonts w:ascii="方正小标宋简体" w:hAnsi="方正小标宋简体" w:eastAsia="方正小标宋简体" w:cs="方正小标宋简体"/>
          <w:sz w:val="36"/>
          <w:szCs w:val="44"/>
        </w:rPr>
      </w:pPr>
    </w:p>
    <w:p w14:paraId="483349CB">
      <w:pPr>
        <w:jc w:val="center"/>
        <w:rPr>
          <w:rFonts w:ascii="方正小标宋简体" w:hAnsi="方正小标宋简体" w:eastAsia="方正小标宋简体" w:cs="方正小标宋简体"/>
          <w:sz w:val="36"/>
          <w:szCs w:val="44"/>
        </w:rPr>
      </w:pPr>
    </w:p>
    <w:p w14:paraId="72389746">
      <w:pPr>
        <w:jc w:val="center"/>
        <w:rPr>
          <w:rFonts w:ascii="方正小标宋简体" w:hAnsi="方正小标宋简体" w:eastAsia="方正小标宋简体" w:cs="方正小标宋简体"/>
          <w:sz w:val="36"/>
          <w:szCs w:val="44"/>
        </w:rPr>
      </w:pPr>
    </w:p>
    <w:p w14:paraId="3E0CD52F">
      <w:pPr>
        <w:jc w:val="center"/>
        <w:rPr>
          <w:rFonts w:ascii="方正小标宋简体" w:hAnsi="方正小标宋简体" w:eastAsia="方正小标宋简体" w:cs="方正小标宋简体"/>
          <w:sz w:val="36"/>
          <w:szCs w:val="44"/>
        </w:rPr>
      </w:pPr>
    </w:p>
    <w:p w14:paraId="34CABE0A">
      <w:pPr>
        <w:jc w:val="center"/>
        <w:rPr>
          <w:rFonts w:hint="eastAsia" w:ascii="方正小标宋简体" w:hAnsi="方正小标宋简体" w:eastAsia="方正小标宋简体" w:cs="方正小标宋简体"/>
          <w:sz w:val="36"/>
          <w:szCs w:val="44"/>
        </w:rPr>
      </w:pPr>
      <w:r>
        <w:rPr>
          <w:rFonts w:ascii="方正小标宋简体" w:hAnsi="方正小标宋简体" w:eastAsia="方正小标宋简体" w:cs="方正小标宋简体"/>
          <w:sz w:val="36"/>
          <w:szCs w:val="44"/>
        </w:rPr>
        <w:t>常见风湿免疫疾病中西医结合临床诊疗指南</w:t>
      </w:r>
    </w:p>
    <w:p w14:paraId="677F5FFA">
      <w:pPr>
        <w:jc w:val="center"/>
        <w:rPr>
          <w:rFonts w:ascii="方正小标宋简体" w:hAnsi="方正小标宋简体" w:eastAsia="方正小标宋简体" w:cs="方正小标宋简体"/>
          <w:sz w:val="36"/>
          <w:szCs w:val="44"/>
        </w:rPr>
      </w:pPr>
      <w:r>
        <w:rPr>
          <w:rFonts w:ascii="方正小标宋简体" w:hAnsi="方正小标宋简体" w:eastAsia="方正小标宋简体" w:cs="方正小标宋简体"/>
          <w:sz w:val="36"/>
          <w:szCs w:val="44"/>
        </w:rPr>
        <w:t>类风湿关节炎</w:t>
      </w:r>
    </w:p>
    <w:p w14:paraId="72C0E747">
      <w:pPr>
        <w:jc w:val="center"/>
        <w:rPr>
          <w:rFonts w:ascii="方正小标宋简体" w:hAnsi="方正小标宋简体" w:eastAsia="方正小标宋简体" w:cs="方正小标宋简体"/>
        </w:rPr>
      </w:pPr>
      <w:r>
        <w:rPr>
          <w:rFonts w:ascii="方正小标宋简体" w:hAnsi="方正小标宋简体" w:eastAsia="方正小标宋简体" w:cs="方正小标宋简体"/>
        </w:rPr>
        <w:t>Clinical Diagnosis and Treatment Guidelines for Integrated Traditional Chinese and Western Medicine in Common Rheumatic and Immunological Diseases—</w:t>
      </w:r>
    </w:p>
    <w:p w14:paraId="3F1BCB71">
      <w:pPr>
        <w:jc w:val="center"/>
        <w:rPr>
          <w:rFonts w:ascii="方正小标宋简体" w:hAnsi="方正小标宋简体" w:eastAsia="方正小标宋简体" w:cs="方正小标宋简体"/>
        </w:rPr>
      </w:pPr>
      <w:r>
        <w:rPr>
          <w:rFonts w:ascii="方正小标宋简体" w:hAnsi="方正小标宋简体" w:eastAsia="方正小标宋简体" w:cs="方正小标宋简体"/>
        </w:rPr>
        <w:t>Rheumatoid Arthritis</w:t>
      </w:r>
    </w:p>
    <w:p w14:paraId="4D34D71A">
      <w:pPr>
        <w:jc w:val="center"/>
        <w:rPr>
          <w:rFonts w:hint="eastAsia" w:ascii="黑体" w:hAnsi="黑体" w:eastAsia="黑体"/>
          <w:sz w:val="28"/>
          <w:szCs w:val="28"/>
        </w:rPr>
      </w:pPr>
    </w:p>
    <w:p w14:paraId="18443773">
      <w:pPr>
        <w:jc w:val="center"/>
        <w:rPr>
          <w:rFonts w:hint="eastAsia" w:ascii="黑体" w:hAnsi="黑体" w:eastAsia="黑体"/>
          <w:sz w:val="28"/>
          <w:szCs w:val="28"/>
        </w:rPr>
      </w:pPr>
    </w:p>
    <w:p w14:paraId="68DD580B">
      <w:pPr>
        <w:jc w:val="center"/>
        <w:rPr>
          <w:rFonts w:hint="eastAsia" w:ascii="黑体" w:hAnsi="黑体" w:eastAsia="黑体"/>
          <w:sz w:val="28"/>
          <w:szCs w:val="28"/>
        </w:rPr>
      </w:pPr>
    </w:p>
    <w:p w14:paraId="1D2AAF59">
      <w:pPr>
        <w:jc w:val="center"/>
        <w:rPr>
          <w:rFonts w:hint="eastAsia" w:ascii="黑体" w:hAnsi="黑体" w:eastAsia="黑体"/>
          <w:sz w:val="28"/>
          <w:szCs w:val="28"/>
        </w:rPr>
      </w:pPr>
    </w:p>
    <w:p w14:paraId="48E5B661">
      <w:pPr>
        <w:jc w:val="center"/>
        <w:rPr>
          <w:rFonts w:hint="eastAsia" w:ascii="黑体" w:hAnsi="黑体" w:eastAsia="黑体"/>
          <w:sz w:val="28"/>
          <w:szCs w:val="28"/>
        </w:rPr>
      </w:pPr>
    </w:p>
    <w:p w14:paraId="5ACD4265">
      <w:pPr>
        <w:jc w:val="center"/>
        <w:rPr>
          <w:rFonts w:hint="eastAsia" w:ascii="黑体" w:hAnsi="黑体" w:eastAsia="黑体"/>
          <w:sz w:val="28"/>
          <w:szCs w:val="28"/>
        </w:rPr>
      </w:pPr>
    </w:p>
    <w:p w14:paraId="055A9BD7">
      <w:pPr>
        <w:jc w:val="center"/>
        <w:rPr>
          <w:rFonts w:hint="eastAsia" w:ascii="黑体" w:hAnsi="黑体" w:eastAsia="黑体"/>
          <w:sz w:val="28"/>
          <w:szCs w:val="28"/>
        </w:rPr>
      </w:pPr>
    </w:p>
    <w:p w14:paraId="532D599B">
      <w:pPr>
        <w:jc w:val="center"/>
        <w:rPr>
          <w:rFonts w:hint="eastAsia" w:ascii="黑体" w:hAnsi="黑体" w:eastAsia="黑体"/>
          <w:sz w:val="28"/>
          <w:szCs w:val="28"/>
        </w:rPr>
      </w:pPr>
    </w:p>
    <w:p w14:paraId="33D09283">
      <w:pPr>
        <w:jc w:val="center"/>
        <w:rPr>
          <w:rFonts w:hint="eastAsia" w:ascii="黑体" w:hAnsi="黑体" w:eastAsia="黑体"/>
          <w:sz w:val="28"/>
          <w:szCs w:val="28"/>
        </w:rPr>
      </w:pPr>
    </w:p>
    <w:p w14:paraId="2DA58318">
      <w:pPr>
        <w:jc w:val="center"/>
        <w:rPr>
          <w:rFonts w:hint="eastAsia" w:ascii="黑体" w:hAnsi="黑体" w:eastAsia="黑体"/>
          <w:sz w:val="28"/>
          <w:szCs w:val="28"/>
        </w:rPr>
      </w:pPr>
    </w:p>
    <w:p w14:paraId="4242118C">
      <w:pPr>
        <w:jc w:val="center"/>
        <w:rPr>
          <w:rFonts w:hint="eastAsia" w:ascii="黑体" w:hAnsi="黑体" w:eastAsia="黑体"/>
          <w:sz w:val="28"/>
          <w:szCs w:val="28"/>
        </w:rPr>
      </w:pPr>
    </w:p>
    <w:p w14:paraId="0CDE3BF5">
      <w:pPr>
        <w:jc w:val="center"/>
        <w:rPr>
          <w:rFonts w:hint="eastAsia" w:ascii="黑体" w:hAnsi="黑体" w:eastAsia="黑体"/>
          <w:sz w:val="28"/>
          <w:szCs w:val="28"/>
        </w:rPr>
      </w:pPr>
    </w:p>
    <w:p w14:paraId="623CAA30">
      <w:pPr>
        <w:spacing w:line="360" w:lineRule="auto"/>
        <w:jc w:val="center"/>
        <w:rPr>
          <w:rFonts w:hint="eastAsia" w:ascii="黑体" w:hAnsi="黑体" w:eastAsia="黑体" w:cs="黑体"/>
          <w:sz w:val="24"/>
        </w:rPr>
      </w:pPr>
      <w:r>
        <w:rPr>
          <w:rFonts w:hint="eastAsia" w:ascii="黑体" w:hAnsi="黑体" w:eastAsia="黑体" w:cs="黑体"/>
          <w:sz w:val="24"/>
        </w:rPr>
        <w:t>目   次</w:t>
      </w:r>
    </w:p>
    <w:p w14:paraId="7054C1E3">
      <w:pPr>
        <w:pStyle w:val="7"/>
        <w:tabs>
          <w:tab w:val="right" w:leader="dot" w:pos="8788"/>
        </w:tabs>
        <w:spacing w:line="360" w:lineRule="auto"/>
      </w:pPr>
      <w:r>
        <w:t>前 言</w:t>
      </w:r>
      <w:r>
        <w:tab/>
      </w:r>
      <w:r>
        <w:t>1</w:t>
      </w:r>
    </w:p>
    <w:p w14:paraId="0039BDA5">
      <w:pPr>
        <w:pStyle w:val="7"/>
        <w:tabs>
          <w:tab w:val="right" w:leader="dot" w:pos="8788"/>
        </w:tabs>
        <w:spacing w:line="360" w:lineRule="auto"/>
      </w:pPr>
      <w:r>
        <w:t>引 言</w:t>
      </w:r>
      <w:r>
        <w:tab/>
      </w:r>
      <w:r>
        <w:t>2</w:t>
      </w:r>
    </w:p>
    <w:p w14:paraId="5DE5F88E">
      <w:pPr>
        <w:pStyle w:val="7"/>
        <w:tabs>
          <w:tab w:val="right" w:leader="dot" w:pos="8788"/>
        </w:tabs>
        <w:spacing w:line="360" w:lineRule="auto"/>
        <w:rPr>
          <w:rFonts w:hint="eastAsia"/>
          <w:lang w:eastAsia="zh-CN"/>
        </w:rPr>
      </w:pPr>
      <w:r>
        <w:t>1 范围</w:t>
      </w:r>
      <w:r>
        <w:tab/>
      </w:r>
      <w:r>
        <w:rPr>
          <w:rFonts w:hint="eastAsia"/>
          <w:lang w:val="en-US" w:eastAsia="zh-CN"/>
        </w:rPr>
        <w:t>3</w:t>
      </w:r>
    </w:p>
    <w:p w14:paraId="5C3F421C">
      <w:pPr>
        <w:pStyle w:val="7"/>
        <w:tabs>
          <w:tab w:val="right" w:leader="dot" w:pos="8788"/>
        </w:tabs>
        <w:spacing w:line="360" w:lineRule="auto"/>
        <w:rPr>
          <w:rFonts w:hint="eastAsia"/>
          <w:lang w:eastAsia="zh-CN"/>
        </w:rPr>
      </w:pPr>
      <w:r>
        <w:t>2 规范性引用文件</w:t>
      </w:r>
      <w:r>
        <w:tab/>
      </w:r>
      <w:r>
        <w:rPr>
          <w:rFonts w:hint="eastAsia"/>
          <w:lang w:val="en-US" w:eastAsia="zh-CN"/>
        </w:rPr>
        <w:t>3</w:t>
      </w:r>
    </w:p>
    <w:p w14:paraId="3C4574DF">
      <w:pPr>
        <w:pStyle w:val="7"/>
        <w:tabs>
          <w:tab w:val="right" w:leader="dot" w:pos="8788"/>
        </w:tabs>
        <w:spacing w:line="360" w:lineRule="auto"/>
        <w:rPr>
          <w:rFonts w:hint="eastAsia"/>
          <w:lang w:eastAsia="zh-CN"/>
        </w:rPr>
      </w:pPr>
      <w:r>
        <w:t>3 术语和定义</w:t>
      </w:r>
      <w:r>
        <w:tab/>
      </w:r>
      <w:r>
        <w:rPr>
          <w:rFonts w:hint="eastAsia"/>
          <w:lang w:val="en-US" w:eastAsia="zh-CN"/>
        </w:rPr>
        <w:t>4</w:t>
      </w:r>
    </w:p>
    <w:p w14:paraId="2F76595E">
      <w:pPr>
        <w:pStyle w:val="7"/>
        <w:tabs>
          <w:tab w:val="right" w:leader="dot" w:pos="8788"/>
        </w:tabs>
        <w:spacing w:line="360" w:lineRule="auto"/>
        <w:rPr>
          <w:rFonts w:hint="eastAsia"/>
          <w:lang w:eastAsia="zh-CN"/>
        </w:rPr>
      </w:pPr>
      <w:r>
        <w:t>4 缩略语</w:t>
      </w:r>
      <w:r>
        <w:tab/>
      </w:r>
      <w:r>
        <w:rPr>
          <w:rFonts w:hint="eastAsia"/>
          <w:lang w:val="en-US" w:eastAsia="zh-CN"/>
        </w:rPr>
        <w:t>5</w:t>
      </w:r>
    </w:p>
    <w:p w14:paraId="25EE3D3C">
      <w:pPr>
        <w:pStyle w:val="7"/>
        <w:tabs>
          <w:tab w:val="right" w:leader="dot" w:pos="8788"/>
        </w:tabs>
        <w:spacing w:line="360" w:lineRule="auto"/>
        <w:rPr>
          <w:rFonts w:hint="eastAsia"/>
          <w:lang w:eastAsia="zh-CN"/>
        </w:rPr>
      </w:pPr>
      <w:r>
        <w:t>5 总则</w:t>
      </w:r>
      <w:r>
        <w:tab/>
      </w:r>
      <w:r>
        <w:rPr>
          <w:rFonts w:hint="eastAsia"/>
          <w:lang w:val="en-US" w:eastAsia="zh-CN"/>
        </w:rPr>
        <w:t>7</w:t>
      </w:r>
    </w:p>
    <w:p w14:paraId="16708490">
      <w:pPr>
        <w:pStyle w:val="7"/>
        <w:tabs>
          <w:tab w:val="right" w:leader="dot" w:pos="8788"/>
        </w:tabs>
        <w:spacing w:line="360" w:lineRule="auto"/>
        <w:rPr>
          <w:rFonts w:hint="eastAsia"/>
          <w:lang w:eastAsia="zh-CN"/>
        </w:rPr>
      </w:pPr>
      <w:r>
        <w:t>6 临床症状</w:t>
      </w:r>
      <w:r>
        <w:tab/>
      </w:r>
      <w:r>
        <w:rPr>
          <w:rFonts w:hint="eastAsia"/>
          <w:lang w:val="en-US" w:eastAsia="zh-CN"/>
        </w:rPr>
        <w:t>7</w:t>
      </w:r>
    </w:p>
    <w:p w14:paraId="258312FE">
      <w:pPr>
        <w:pStyle w:val="7"/>
        <w:tabs>
          <w:tab w:val="right" w:leader="dot" w:pos="8788"/>
        </w:tabs>
        <w:spacing w:line="360" w:lineRule="auto"/>
        <w:rPr>
          <w:rFonts w:hint="eastAsia"/>
          <w:lang w:eastAsia="zh-CN"/>
        </w:rPr>
      </w:pPr>
      <w:r>
        <w:t>7 诊断</w:t>
      </w:r>
      <w:r>
        <w:tab/>
      </w:r>
      <w:r>
        <w:rPr>
          <w:rFonts w:hint="eastAsia"/>
          <w:lang w:val="en-US" w:eastAsia="zh-CN"/>
        </w:rPr>
        <w:t>9</w:t>
      </w:r>
    </w:p>
    <w:p w14:paraId="414440F0">
      <w:pPr>
        <w:pStyle w:val="7"/>
        <w:tabs>
          <w:tab w:val="right" w:leader="dot" w:pos="8788"/>
        </w:tabs>
        <w:spacing w:line="360" w:lineRule="auto"/>
      </w:pPr>
      <w:r>
        <w:t>8 治疗</w:t>
      </w:r>
      <w:r>
        <w:tab/>
      </w:r>
      <w:r>
        <w:rPr>
          <w:rFonts w:hint="eastAsia"/>
          <w:lang w:val="en-US" w:eastAsia="zh-CN"/>
        </w:rPr>
        <w:t>1</w:t>
      </w:r>
      <w:r>
        <w:t>3</w:t>
      </w:r>
    </w:p>
    <w:p w14:paraId="715F5838">
      <w:pPr>
        <w:pStyle w:val="7"/>
        <w:tabs>
          <w:tab w:val="right" w:leader="dot" w:pos="8788"/>
        </w:tabs>
        <w:spacing w:line="360" w:lineRule="auto"/>
        <w:rPr>
          <w:rFonts w:hint="default" w:eastAsia="宋体"/>
          <w:lang w:val="en-US" w:eastAsia="zh-CN"/>
        </w:rPr>
      </w:pPr>
      <w:r>
        <w:t>9 预防与调护</w:t>
      </w:r>
      <w:r>
        <w:tab/>
      </w:r>
      <w:r>
        <w:rPr>
          <w:rFonts w:hint="eastAsia"/>
          <w:lang w:val="en-US" w:eastAsia="zh-CN"/>
        </w:rPr>
        <w:t>22</w:t>
      </w:r>
    </w:p>
    <w:p w14:paraId="19335FB8">
      <w:pPr>
        <w:pStyle w:val="7"/>
        <w:tabs>
          <w:tab w:val="right" w:leader="dot" w:pos="8788"/>
        </w:tabs>
        <w:spacing w:line="360" w:lineRule="auto"/>
        <w:rPr>
          <w:rFonts w:hint="default" w:eastAsia="宋体"/>
          <w:lang w:val="en-US" w:eastAsia="zh-CN"/>
        </w:rPr>
      </w:pPr>
      <w:r>
        <w:t>附录</w:t>
      </w:r>
      <w:r>
        <w:tab/>
      </w:r>
      <w:r>
        <w:rPr>
          <w:rFonts w:hint="eastAsia"/>
          <w:lang w:val="en-US" w:eastAsia="zh-CN"/>
        </w:rPr>
        <w:t>23</w:t>
      </w:r>
    </w:p>
    <w:p w14:paraId="05351683">
      <w:pPr>
        <w:pStyle w:val="7"/>
        <w:tabs>
          <w:tab w:val="right" w:leader="dot" w:pos="8788"/>
        </w:tabs>
        <w:spacing w:line="360" w:lineRule="auto"/>
      </w:pPr>
      <w:r>
        <w:t>参考文献</w:t>
      </w:r>
      <w:r>
        <w:tab/>
      </w:r>
      <w:r>
        <w:rPr>
          <w:rFonts w:hint="eastAsia"/>
          <w:lang w:val="en-US" w:eastAsia="zh-CN"/>
        </w:rPr>
        <w:t>3</w:t>
      </w:r>
      <w:r>
        <w:t>1</w:t>
      </w:r>
    </w:p>
    <w:p w14:paraId="526F2C22">
      <w:pPr>
        <w:pStyle w:val="3"/>
        <w:widowControl/>
        <w:shd w:val="clear" w:color="auto" w:fill="FFFFFF"/>
        <w:spacing w:before="240" w:beforeAutospacing="0" w:after="120" w:afterAutospacing="0" w:line="240" w:lineRule="atLeast"/>
        <w:rPr>
          <w:rStyle w:val="12"/>
          <w:rFonts w:hint="default" w:ascii="Segoe UI" w:hAnsi="Segoe UI" w:eastAsia="Segoe UI" w:cs="Segoe UI"/>
          <w:b w:val="0"/>
          <w:color w:val="0F1115"/>
          <w:sz w:val="16"/>
          <w:szCs w:val="16"/>
          <w:shd w:val="clear" w:color="auto" w:fill="FFFFFF"/>
        </w:rPr>
      </w:pPr>
    </w:p>
    <w:p w14:paraId="79558CE6">
      <w:pPr>
        <w:pStyle w:val="3"/>
        <w:widowControl/>
        <w:shd w:val="clear" w:color="auto" w:fill="FFFFFF"/>
        <w:spacing w:before="240" w:beforeAutospacing="0" w:after="120" w:afterAutospacing="0" w:line="240" w:lineRule="atLeast"/>
        <w:rPr>
          <w:rStyle w:val="12"/>
          <w:rFonts w:hint="default" w:ascii="Segoe UI" w:hAnsi="Segoe UI" w:eastAsia="Segoe UI" w:cs="Segoe UI"/>
          <w:b w:val="0"/>
          <w:color w:val="0F1115"/>
          <w:sz w:val="16"/>
          <w:szCs w:val="16"/>
          <w:shd w:val="clear" w:color="auto" w:fill="FFFFFF"/>
        </w:rPr>
        <w:sectPr>
          <w:footerReference r:id="rId3" w:type="default"/>
          <w:pgSz w:w="11906" w:h="16838"/>
          <w:pgMar w:top="1440" w:right="1800" w:bottom="1440" w:left="1800" w:header="851" w:footer="992" w:gutter="0"/>
          <w:pgNumType w:start="1"/>
          <w:cols w:space="720" w:num="1"/>
          <w:docGrid w:type="lines" w:linePitch="312" w:charSpace="0"/>
        </w:sectPr>
      </w:pPr>
    </w:p>
    <w:p w14:paraId="7E6E39D7">
      <w:pPr>
        <w:rPr>
          <w:rFonts w:hint="default"/>
        </w:rPr>
      </w:pPr>
    </w:p>
    <w:p w14:paraId="5A33462E">
      <w:pPr>
        <w:pStyle w:val="2"/>
        <w:keepNext/>
        <w:keepLines/>
        <w:spacing w:before="156" w:beforeLines="50" w:beforeAutospacing="0" w:after="10" w:afterAutospacing="0" w:line="360" w:lineRule="auto"/>
        <w:jc w:val="center"/>
        <w:rPr>
          <w:rFonts w:ascii="黑体" w:hAnsi="黑体" w:eastAsia="黑体" w:cs="黑体"/>
          <w:bCs w:val="0"/>
          <w:sz w:val="30"/>
          <w:szCs w:val="30"/>
        </w:rPr>
      </w:pPr>
      <w:r>
        <w:rPr>
          <w:rFonts w:ascii="黑体" w:hAnsi="黑体" w:eastAsia="黑体" w:cs="黑体"/>
          <w:bCs w:val="0"/>
          <w:sz w:val="30"/>
          <w:szCs w:val="30"/>
        </w:rPr>
        <w:t>前　言</w:t>
      </w:r>
    </w:p>
    <w:p w14:paraId="3FA49CDD">
      <w:pPr>
        <w:pStyle w:val="9"/>
        <w:widowControl/>
        <w:shd w:val="clear" w:color="auto" w:fill="FFFFFF"/>
        <w:spacing w:before="120" w:beforeAutospacing="0" w:after="120" w:afterAutospacing="0" w:line="360" w:lineRule="auto"/>
        <w:ind w:firstLine="480" w:firstLineChars="200"/>
        <w:rPr>
          <w:rFonts w:hint="eastAsia" w:ascii="宋体" w:hAnsi="宋体" w:cs="宋体"/>
          <w:color w:val="0F1115"/>
        </w:rPr>
      </w:pPr>
      <w:r>
        <w:rPr>
          <w:rFonts w:hint="eastAsia" w:ascii="宋体" w:hAnsi="宋体" w:cs="宋体"/>
          <w:color w:val="0F1115"/>
          <w:shd w:val="clear" w:color="auto" w:fill="FFFFFF"/>
        </w:rPr>
        <w:t>本文件按照GB/T 1.1—2020《标准化工作导则 第1部分：标准化文件的结构和起草规则》的规定起草。</w:t>
      </w:r>
    </w:p>
    <w:p w14:paraId="6FB96132">
      <w:pPr>
        <w:pStyle w:val="9"/>
        <w:widowControl/>
        <w:shd w:val="clear" w:color="auto" w:fill="FFFFFF"/>
        <w:spacing w:before="120" w:beforeAutospacing="0" w:after="120" w:afterAutospacing="0" w:line="360" w:lineRule="auto"/>
        <w:ind w:firstLine="480" w:firstLineChars="200"/>
        <w:rPr>
          <w:rFonts w:hint="eastAsia" w:ascii="宋体" w:hAnsi="宋体" w:cs="宋体"/>
          <w:color w:val="0F1115"/>
          <w:shd w:val="clear" w:color="auto" w:fill="FFFFFF"/>
        </w:rPr>
      </w:pPr>
      <w:r>
        <w:rPr>
          <w:rFonts w:hint="eastAsia" w:ascii="宋体" w:hAnsi="宋体" w:cs="宋体"/>
          <w:color w:val="0F1115"/>
          <w:shd w:val="clear" w:color="auto" w:fill="FFFFFF"/>
        </w:rPr>
        <w:t>请注意本文件的某些内容可能涉及专利。本文件的发布机构不承担识别专利的责任。</w:t>
      </w:r>
    </w:p>
    <w:p w14:paraId="3FE65DD9">
      <w:pPr>
        <w:pStyle w:val="9"/>
        <w:widowControl/>
        <w:shd w:val="clear" w:color="auto" w:fill="FFFFFF"/>
        <w:spacing w:before="120" w:beforeAutospacing="0" w:after="120" w:afterAutospacing="0" w:line="360" w:lineRule="auto"/>
        <w:ind w:firstLine="480" w:firstLineChars="200"/>
        <w:rPr>
          <w:rFonts w:hint="eastAsia" w:ascii="宋体" w:hAnsi="宋体" w:cs="宋体"/>
          <w:color w:val="0F1115"/>
          <w:shd w:val="clear" w:color="auto" w:fill="FFFFFF"/>
        </w:rPr>
      </w:pPr>
      <w:r>
        <w:rPr>
          <w:rFonts w:hint="eastAsia" w:ascii="宋体" w:hAnsi="宋体" w:cs="宋体"/>
          <w:color w:val="0F1115"/>
          <w:shd w:val="clear" w:color="auto" w:fill="FFFFFF"/>
        </w:rPr>
        <w:t>本文件由中国民族卫生协会风湿疑难病专业委员会提出。</w:t>
      </w:r>
    </w:p>
    <w:p w14:paraId="3461F2AF">
      <w:pPr>
        <w:pStyle w:val="9"/>
        <w:widowControl/>
        <w:shd w:val="clear" w:color="auto" w:fill="FFFFFF"/>
        <w:spacing w:before="120" w:beforeAutospacing="0" w:after="120" w:afterAutospacing="0" w:line="360" w:lineRule="auto"/>
        <w:ind w:firstLine="480" w:firstLineChars="200"/>
        <w:rPr>
          <w:rFonts w:hint="eastAsia" w:ascii="宋体" w:hAnsi="宋体" w:cs="宋体"/>
          <w:color w:val="0F1115"/>
          <w:shd w:val="clear" w:color="auto" w:fill="FFFFFF"/>
        </w:rPr>
      </w:pPr>
      <w:r>
        <w:rPr>
          <w:rFonts w:hint="eastAsia" w:ascii="宋体" w:hAnsi="宋体" w:cs="宋体"/>
          <w:color w:val="0F1115"/>
          <w:shd w:val="clear" w:color="auto" w:fill="FFFFFF"/>
        </w:rPr>
        <w:t>本文件由中国民族卫生协会归口</w:t>
      </w:r>
    </w:p>
    <w:p w14:paraId="5D30E31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shd w:val="clear" w:color="auto" w:fill="FFFFFF"/>
          <w:lang w:eastAsia="zh-CN"/>
        </w:rPr>
      </w:pPr>
      <w:r>
        <w:rPr>
          <w:rFonts w:hint="eastAsia" w:ascii="宋体" w:hAnsi="宋体" w:eastAsia="宋体" w:cs="宋体"/>
          <w:kern w:val="2"/>
          <w:sz w:val="24"/>
          <w:szCs w:val="24"/>
          <w:shd w:val="clear" w:color="auto" w:fill="FFFFFF"/>
          <w:lang w:val="en-US" w:eastAsia="zh-CN" w:bidi="ar-SA"/>
        </w:rPr>
        <w:t>本文件起草</w:t>
      </w:r>
      <w:r>
        <w:rPr>
          <w:rFonts w:hint="eastAsia" w:ascii="宋体" w:hAnsi="宋体" w:cs="宋体"/>
          <w:kern w:val="2"/>
          <w:sz w:val="24"/>
          <w:szCs w:val="24"/>
          <w:shd w:val="clear" w:color="auto" w:fill="FFFFFF"/>
          <w:lang w:val="en-US" w:eastAsia="zh-CN" w:bidi="ar-SA"/>
        </w:rPr>
        <w:t>单位：中国民族卫生协会风湿疑难病专业委员会、长春中医药大学、长春中医药大学附属第一医院、英平风湿医院、长春吉润净月医院、北京英平医疗技术研究所、英平集团、星烁科技有限公司。</w:t>
      </w:r>
    </w:p>
    <w:p w14:paraId="0323196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kern w:val="2"/>
          <w:sz w:val="24"/>
          <w:szCs w:val="24"/>
          <w:shd w:val="clear" w:color="auto" w:fill="FFFFFF"/>
          <w:lang w:val="en-US" w:eastAsia="zh-CN" w:bidi="ar-SA"/>
        </w:rPr>
      </w:pPr>
      <w:r>
        <w:rPr>
          <w:rFonts w:hint="eastAsia" w:ascii="宋体" w:hAnsi="宋体" w:eastAsia="宋体" w:cs="宋体"/>
          <w:kern w:val="2"/>
          <w:sz w:val="24"/>
          <w:szCs w:val="24"/>
          <w:shd w:val="clear" w:color="auto" w:fill="FFFFFF"/>
          <w:lang w:val="en-US" w:eastAsia="zh-CN" w:bidi="ar-SA"/>
        </w:rPr>
        <w:t>本文件主要起草人：吴英萍、吴九如、冷威、唐易辰、习慧泽、</w:t>
      </w:r>
      <w:r>
        <w:rPr>
          <w:rFonts w:hint="eastAsia" w:ascii="宋体" w:hAnsi="宋体" w:cs="宋体"/>
          <w:kern w:val="2"/>
          <w:sz w:val="24"/>
          <w:szCs w:val="24"/>
          <w:shd w:val="clear" w:color="auto" w:fill="FFFFFF"/>
          <w:lang w:val="en-US" w:eastAsia="zh-CN" w:bidi="ar-SA"/>
        </w:rPr>
        <w:t>王泰然、</w:t>
      </w:r>
      <w:bookmarkStart w:id="0" w:name="_GoBack"/>
      <w:bookmarkEnd w:id="0"/>
      <w:r>
        <w:rPr>
          <w:rFonts w:hint="eastAsia" w:ascii="宋体" w:hAnsi="宋体" w:eastAsia="宋体" w:cs="宋体"/>
          <w:kern w:val="2"/>
          <w:sz w:val="24"/>
          <w:szCs w:val="24"/>
          <w:shd w:val="clear" w:color="auto" w:fill="FFFFFF"/>
          <w:lang w:val="en-US" w:eastAsia="zh-CN" w:bidi="ar-SA"/>
        </w:rPr>
        <w:t>张昕烨、佟昕桐、崔妍、张丽莉、孙立、王若男、徐忠良。</w:t>
      </w:r>
    </w:p>
    <w:p w14:paraId="36FD727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kern w:val="2"/>
          <w:sz w:val="24"/>
          <w:szCs w:val="24"/>
          <w:shd w:val="clear" w:color="auto" w:fill="FFFFFF"/>
          <w:lang w:val="en-US" w:eastAsia="zh-CN" w:bidi="ar-SA"/>
        </w:rPr>
      </w:pPr>
    </w:p>
    <w:p w14:paraId="7EA05AF2">
      <w:pPr>
        <w:pStyle w:val="3"/>
        <w:widowControl/>
        <w:shd w:val="clear" w:color="auto" w:fill="FFFFFF"/>
        <w:spacing w:before="240" w:beforeAutospacing="0" w:after="120" w:afterAutospacing="0" w:line="360" w:lineRule="auto"/>
        <w:ind w:firstLine="480" w:firstLineChars="200"/>
        <w:rPr>
          <w:rStyle w:val="12"/>
          <w:rFonts w:cs="宋体"/>
          <w:b w:val="0"/>
          <w:color w:val="0F1115"/>
          <w:sz w:val="24"/>
          <w:szCs w:val="24"/>
          <w:shd w:val="clear" w:color="auto" w:fill="FFFFFF"/>
        </w:rPr>
      </w:pPr>
    </w:p>
    <w:p w14:paraId="390949A2">
      <w:pPr>
        <w:pStyle w:val="3"/>
        <w:widowControl/>
        <w:shd w:val="clear" w:color="auto" w:fill="FFFFFF"/>
        <w:spacing w:before="240" w:beforeAutospacing="0" w:after="120" w:afterAutospacing="0" w:line="360" w:lineRule="auto"/>
        <w:ind w:firstLine="480" w:firstLineChars="200"/>
        <w:rPr>
          <w:rStyle w:val="12"/>
          <w:rFonts w:cs="宋体"/>
          <w:b w:val="0"/>
          <w:color w:val="0F1115"/>
          <w:sz w:val="24"/>
          <w:szCs w:val="24"/>
          <w:shd w:val="clear" w:color="auto" w:fill="FFFFFF"/>
        </w:rPr>
      </w:pPr>
    </w:p>
    <w:p w14:paraId="01AD5D9B">
      <w:pPr>
        <w:pStyle w:val="3"/>
        <w:widowControl/>
        <w:shd w:val="clear" w:color="auto" w:fill="FFFFFF"/>
        <w:spacing w:before="240" w:beforeAutospacing="0" w:after="120" w:afterAutospacing="0" w:line="360" w:lineRule="auto"/>
        <w:ind w:firstLine="480" w:firstLineChars="200"/>
        <w:rPr>
          <w:rStyle w:val="12"/>
          <w:rFonts w:cs="宋体"/>
          <w:b w:val="0"/>
          <w:color w:val="0F1115"/>
          <w:sz w:val="24"/>
          <w:szCs w:val="24"/>
          <w:shd w:val="clear" w:color="auto" w:fill="FFFFFF"/>
        </w:rPr>
      </w:pPr>
    </w:p>
    <w:p w14:paraId="429CBF04">
      <w:pPr>
        <w:pStyle w:val="3"/>
        <w:widowControl/>
        <w:shd w:val="clear" w:color="auto" w:fill="FFFFFF"/>
        <w:spacing w:before="240" w:beforeAutospacing="0" w:after="120" w:afterAutospacing="0" w:line="360" w:lineRule="auto"/>
        <w:ind w:firstLine="480" w:firstLineChars="200"/>
        <w:rPr>
          <w:rStyle w:val="12"/>
          <w:rFonts w:cs="宋体"/>
          <w:b w:val="0"/>
          <w:color w:val="0F1115"/>
          <w:sz w:val="24"/>
          <w:szCs w:val="24"/>
          <w:shd w:val="clear" w:color="auto" w:fill="FFFFFF"/>
        </w:rPr>
      </w:pPr>
    </w:p>
    <w:p w14:paraId="1BB703D4">
      <w:pPr>
        <w:pStyle w:val="3"/>
        <w:widowControl/>
        <w:shd w:val="clear" w:color="auto" w:fill="FFFFFF"/>
        <w:spacing w:before="240" w:beforeAutospacing="0" w:after="120" w:afterAutospacing="0" w:line="360" w:lineRule="auto"/>
        <w:ind w:firstLine="480" w:firstLineChars="200"/>
        <w:rPr>
          <w:rStyle w:val="12"/>
          <w:rFonts w:cs="宋体"/>
          <w:b w:val="0"/>
          <w:color w:val="0F1115"/>
          <w:sz w:val="24"/>
          <w:szCs w:val="24"/>
          <w:shd w:val="clear" w:color="auto" w:fill="FFFFFF"/>
        </w:rPr>
      </w:pPr>
    </w:p>
    <w:p w14:paraId="3830FE81">
      <w:pPr>
        <w:pStyle w:val="3"/>
        <w:widowControl/>
        <w:shd w:val="clear" w:color="auto" w:fill="FFFFFF"/>
        <w:spacing w:before="240" w:beforeAutospacing="0" w:after="120" w:afterAutospacing="0" w:line="360" w:lineRule="auto"/>
        <w:ind w:firstLine="480" w:firstLineChars="200"/>
        <w:rPr>
          <w:rStyle w:val="12"/>
          <w:rFonts w:cs="宋体"/>
          <w:b w:val="0"/>
          <w:color w:val="0F1115"/>
          <w:sz w:val="24"/>
          <w:szCs w:val="24"/>
          <w:shd w:val="clear" w:color="auto" w:fill="FFFFFF"/>
        </w:rPr>
      </w:pPr>
    </w:p>
    <w:p w14:paraId="247DD3AC">
      <w:pPr>
        <w:pStyle w:val="3"/>
        <w:widowControl/>
        <w:shd w:val="clear" w:color="auto" w:fill="FFFFFF"/>
        <w:spacing w:before="240" w:beforeAutospacing="0" w:after="120" w:afterAutospacing="0" w:line="360" w:lineRule="auto"/>
        <w:ind w:firstLine="480" w:firstLineChars="200"/>
        <w:rPr>
          <w:rStyle w:val="12"/>
          <w:rFonts w:cs="宋体"/>
          <w:b w:val="0"/>
          <w:color w:val="0F1115"/>
          <w:sz w:val="24"/>
          <w:szCs w:val="24"/>
          <w:shd w:val="clear" w:color="auto" w:fill="FFFFFF"/>
        </w:rPr>
      </w:pPr>
    </w:p>
    <w:p w14:paraId="319DC20F">
      <w:pPr>
        <w:pStyle w:val="3"/>
        <w:widowControl/>
        <w:shd w:val="clear" w:color="auto" w:fill="FFFFFF"/>
        <w:spacing w:before="240" w:beforeAutospacing="0" w:after="120" w:afterAutospacing="0" w:line="360" w:lineRule="auto"/>
        <w:ind w:firstLine="480" w:firstLineChars="200"/>
        <w:rPr>
          <w:rStyle w:val="12"/>
          <w:rFonts w:cs="宋体"/>
          <w:b w:val="0"/>
          <w:color w:val="0F1115"/>
          <w:sz w:val="24"/>
          <w:szCs w:val="24"/>
          <w:shd w:val="clear" w:color="auto" w:fill="FFFFFF"/>
        </w:rPr>
      </w:pPr>
    </w:p>
    <w:p w14:paraId="64B2FEDE">
      <w:pPr>
        <w:pStyle w:val="3"/>
        <w:widowControl/>
        <w:shd w:val="clear" w:color="auto" w:fill="FFFFFF"/>
        <w:spacing w:before="240" w:beforeAutospacing="0" w:after="120" w:afterAutospacing="0" w:line="360" w:lineRule="auto"/>
        <w:ind w:firstLine="480" w:firstLineChars="200"/>
        <w:rPr>
          <w:rStyle w:val="12"/>
          <w:rFonts w:cs="宋体"/>
          <w:b w:val="0"/>
          <w:color w:val="0F1115"/>
          <w:sz w:val="24"/>
          <w:szCs w:val="24"/>
          <w:shd w:val="clear" w:color="auto" w:fill="FFFFFF"/>
        </w:rPr>
      </w:pPr>
    </w:p>
    <w:p w14:paraId="6FCFC580">
      <w:pPr>
        <w:pStyle w:val="3"/>
        <w:widowControl/>
        <w:shd w:val="clear" w:color="auto" w:fill="FFFFFF"/>
        <w:spacing w:before="240" w:beforeAutospacing="0" w:after="120" w:afterAutospacing="0" w:line="360" w:lineRule="auto"/>
        <w:ind w:firstLine="480" w:firstLineChars="200"/>
        <w:rPr>
          <w:rStyle w:val="12"/>
          <w:rFonts w:cs="宋体"/>
          <w:b w:val="0"/>
          <w:color w:val="0F1115"/>
          <w:sz w:val="24"/>
          <w:szCs w:val="24"/>
          <w:shd w:val="clear" w:color="auto" w:fill="FFFFFF"/>
        </w:rPr>
      </w:pPr>
    </w:p>
    <w:p w14:paraId="4FE666AA">
      <w:pPr>
        <w:pStyle w:val="2"/>
        <w:keepNext/>
        <w:keepLines/>
        <w:spacing w:before="156" w:beforeLines="50" w:beforeAutospacing="0" w:after="10" w:afterAutospacing="0" w:line="360" w:lineRule="auto"/>
        <w:jc w:val="center"/>
        <w:rPr>
          <w:rFonts w:ascii="黑体" w:hAnsi="黑体" w:eastAsia="黑体" w:cs="黑体"/>
          <w:bCs w:val="0"/>
          <w:sz w:val="30"/>
          <w:szCs w:val="30"/>
        </w:rPr>
      </w:pPr>
      <w:r>
        <w:rPr>
          <w:rFonts w:ascii="黑体" w:hAnsi="黑体" w:eastAsia="黑体" w:cs="黑体"/>
          <w:bCs w:val="0"/>
          <w:sz w:val="30"/>
          <w:szCs w:val="30"/>
        </w:rPr>
        <w:t>引　言</w:t>
      </w:r>
    </w:p>
    <w:p w14:paraId="36276DF3">
      <w:pPr>
        <w:pStyle w:val="3"/>
        <w:widowControl/>
        <w:shd w:val="clear" w:color="auto" w:fill="FFFFFF"/>
        <w:spacing w:before="240" w:beforeAutospacing="0" w:after="120" w:afterAutospacing="0" w:line="360" w:lineRule="auto"/>
        <w:ind w:firstLine="480" w:firstLineChars="200"/>
        <w:rPr>
          <w:rStyle w:val="12"/>
          <w:rFonts w:cs="宋体"/>
          <w:b w:val="0"/>
          <w:color w:val="0F1115"/>
          <w:sz w:val="24"/>
          <w:szCs w:val="24"/>
          <w:shd w:val="clear" w:color="auto" w:fill="FFFFFF"/>
        </w:rPr>
      </w:pPr>
      <w:r>
        <w:rPr>
          <w:rStyle w:val="12"/>
          <w:rFonts w:cs="宋体"/>
          <w:b w:val="0"/>
          <w:color w:val="0F1115"/>
          <w:sz w:val="24"/>
          <w:szCs w:val="24"/>
          <w:shd w:val="clear" w:color="auto" w:fill="FFFFFF"/>
        </w:rPr>
        <w:t>类风湿关节炎（RA）是一种以慢性侵蚀性关节炎为主要表现的全身性自身免疫病，我国患病率约0.28%～0.41%，可发生于任何年龄，以中年女性多见。本病病因未明，致残率高，严重影响患者生活质量。</w:t>
      </w:r>
    </w:p>
    <w:p w14:paraId="287BC00E">
      <w:pPr>
        <w:pStyle w:val="3"/>
        <w:widowControl/>
        <w:shd w:val="clear" w:color="auto" w:fill="FFFFFF"/>
        <w:spacing w:before="240" w:beforeAutospacing="0" w:after="120" w:afterAutospacing="0" w:line="360" w:lineRule="auto"/>
        <w:ind w:firstLine="480" w:firstLineChars="200"/>
        <w:rPr>
          <w:rStyle w:val="12"/>
          <w:rFonts w:cs="宋体"/>
          <w:b w:val="0"/>
          <w:color w:val="0F1115"/>
          <w:sz w:val="24"/>
          <w:szCs w:val="24"/>
          <w:shd w:val="clear" w:color="auto" w:fill="FFFFFF"/>
        </w:rPr>
      </w:pPr>
      <w:r>
        <w:rPr>
          <w:rStyle w:val="12"/>
          <w:rFonts w:cs="宋体"/>
          <w:b w:val="0"/>
          <w:color w:val="0F1115"/>
          <w:sz w:val="24"/>
          <w:szCs w:val="24"/>
          <w:shd w:val="clear" w:color="auto" w:fill="FFFFFF"/>
        </w:rPr>
        <w:t>为规范RA的中西医结合诊疗，提高临床疗效，减少致残，特制定本文件。本文件系统总结了RA的中西医诊断标准、治疗方法和管理策略，为临床医师提供规范化的诊疗指导。</w:t>
      </w:r>
    </w:p>
    <w:p w14:paraId="15965EA2">
      <w:pPr>
        <w:pStyle w:val="3"/>
        <w:widowControl/>
        <w:shd w:val="clear" w:color="auto" w:fill="FFFFFF"/>
        <w:spacing w:before="240" w:beforeAutospacing="0" w:after="120" w:afterAutospacing="0" w:line="360" w:lineRule="auto"/>
        <w:ind w:firstLine="480" w:firstLineChars="200"/>
        <w:rPr>
          <w:rStyle w:val="12"/>
          <w:rFonts w:cs="宋体"/>
          <w:b w:val="0"/>
          <w:color w:val="0F1115"/>
          <w:sz w:val="24"/>
          <w:szCs w:val="24"/>
          <w:shd w:val="clear" w:color="auto" w:fill="FFFFFF"/>
        </w:rPr>
      </w:pPr>
      <w:r>
        <w:rPr>
          <w:rStyle w:val="12"/>
          <w:rFonts w:cs="宋体"/>
          <w:b w:val="0"/>
          <w:color w:val="0F1115"/>
          <w:sz w:val="24"/>
          <w:szCs w:val="24"/>
          <w:shd w:val="clear" w:color="auto" w:fill="FFFFFF"/>
        </w:rPr>
        <w:t>本文件适用于各级医疗机构的风湿免疫科、中医科、骨科等相关科室医师，用于RA的诊断、治疗和长期管理。</w:t>
      </w:r>
    </w:p>
    <w:p w14:paraId="2BA59CBC">
      <w:pPr>
        <w:pStyle w:val="3"/>
        <w:widowControl/>
        <w:shd w:val="clear" w:color="auto" w:fill="FFFFFF"/>
        <w:spacing w:before="240" w:beforeAutospacing="0" w:after="120" w:afterAutospacing="0" w:line="360" w:lineRule="auto"/>
        <w:ind w:firstLine="480" w:firstLineChars="200"/>
        <w:rPr>
          <w:rStyle w:val="12"/>
          <w:rFonts w:cs="宋体"/>
          <w:b w:val="0"/>
          <w:color w:val="0F1115"/>
          <w:sz w:val="24"/>
          <w:szCs w:val="24"/>
          <w:shd w:val="clear" w:color="auto" w:fill="FFFFFF"/>
        </w:rPr>
      </w:pPr>
    </w:p>
    <w:p w14:paraId="792A3CC7">
      <w:pPr>
        <w:pStyle w:val="3"/>
        <w:widowControl/>
        <w:shd w:val="clear" w:color="auto" w:fill="FFFFFF"/>
        <w:spacing w:before="240" w:beforeAutospacing="0" w:after="120" w:afterAutospacing="0" w:line="360" w:lineRule="auto"/>
        <w:ind w:firstLine="480" w:firstLineChars="200"/>
        <w:rPr>
          <w:rStyle w:val="12"/>
          <w:rFonts w:cs="宋体"/>
          <w:b w:val="0"/>
          <w:color w:val="0F1115"/>
          <w:sz w:val="24"/>
          <w:szCs w:val="24"/>
          <w:shd w:val="clear" w:color="auto" w:fill="FFFFFF"/>
        </w:rPr>
      </w:pPr>
    </w:p>
    <w:p w14:paraId="76F15DEF">
      <w:pPr>
        <w:pStyle w:val="3"/>
        <w:widowControl/>
        <w:shd w:val="clear" w:color="auto" w:fill="FFFFFF"/>
        <w:spacing w:before="240" w:beforeAutospacing="0" w:after="120" w:afterAutospacing="0" w:line="360" w:lineRule="auto"/>
        <w:ind w:firstLine="480" w:firstLineChars="200"/>
        <w:rPr>
          <w:rStyle w:val="12"/>
          <w:rFonts w:cs="宋体"/>
          <w:b w:val="0"/>
          <w:color w:val="0F1115"/>
          <w:sz w:val="24"/>
          <w:szCs w:val="24"/>
          <w:shd w:val="clear" w:color="auto" w:fill="FFFFFF"/>
        </w:rPr>
      </w:pPr>
    </w:p>
    <w:p w14:paraId="53D6DA67">
      <w:pPr>
        <w:pStyle w:val="3"/>
        <w:widowControl/>
        <w:shd w:val="clear" w:color="auto" w:fill="FFFFFF"/>
        <w:spacing w:before="240" w:beforeAutospacing="0" w:after="120" w:afterAutospacing="0" w:line="360" w:lineRule="auto"/>
        <w:ind w:firstLine="480" w:firstLineChars="200"/>
        <w:rPr>
          <w:rStyle w:val="12"/>
          <w:rFonts w:cs="宋体"/>
          <w:b w:val="0"/>
          <w:color w:val="0F1115"/>
          <w:sz w:val="24"/>
          <w:szCs w:val="24"/>
          <w:shd w:val="clear" w:color="auto" w:fill="FFFFFF"/>
        </w:rPr>
      </w:pPr>
    </w:p>
    <w:p w14:paraId="0CFD023C">
      <w:pPr>
        <w:pStyle w:val="3"/>
        <w:widowControl/>
        <w:shd w:val="clear" w:color="auto" w:fill="FFFFFF"/>
        <w:spacing w:before="240" w:beforeAutospacing="0" w:after="120" w:afterAutospacing="0" w:line="360" w:lineRule="auto"/>
        <w:ind w:firstLine="480" w:firstLineChars="200"/>
        <w:rPr>
          <w:rStyle w:val="12"/>
          <w:rFonts w:cs="宋体"/>
          <w:b w:val="0"/>
          <w:color w:val="0F1115"/>
          <w:sz w:val="24"/>
          <w:szCs w:val="24"/>
          <w:shd w:val="clear" w:color="auto" w:fill="FFFFFF"/>
        </w:rPr>
      </w:pPr>
    </w:p>
    <w:p w14:paraId="6E19816D">
      <w:pPr>
        <w:pStyle w:val="3"/>
        <w:widowControl/>
        <w:shd w:val="clear" w:color="auto" w:fill="FFFFFF"/>
        <w:spacing w:before="240" w:beforeAutospacing="0" w:after="120" w:afterAutospacing="0" w:line="360" w:lineRule="auto"/>
        <w:ind w:firstLine="480" w:firstLineChars="200"/>
        <w:rPr>
          <w:rStyle w:val="12"/>
          <w:rFonts w:cs="宋体"/>
          <w:b w:val="0"/>
          <w:color w:val="0F1115"/>
          <w:sz w:val="24"/>
          <w:szCs w:val="24"/>
          <w:shd w:val="clear" w:color="auto" w:fill="FFFFFF"/>
        </w:rPr>
      </w:pPr>
    </w:p>
    <w:p w14:paraId="1EDE258A">
      <w:pPr>
        <w:pStyle w:val="3"/>
        <w:widowControl/>
        <w:shd w:val="clear" w:color="auto" w:fill="FFFFFF"/>
        <w:spacing w:before="240" w:beforeAutospacing="0" w:after="120" w:afterAutospacing="0" w:line="360" w:lineRule="auto"/>
        <w:ind w:firstLine="480" w:firstLineChars="200"/>
        <w:rPr>
          <w:rStyle w:val="12"/>
          <w:rFonts w:cs="宋体"/>
          <w:b w:val="0"/>
          <w:color w:val="0F1115"/>
          <w:sz w:val="24"/>
          <w:szCs w:val="24"/>
          <w:shd w:val="clear" w:color="auto" w:fill="FFFFFF"/>
        </w:rPr>
      </w:pPr>
    </w:p>
    <w:p w14:paraId="09FF9D62">
      <w:pPr>
        <w:pStyle w:val="3"/>
        <w:widowControl/>
        <w:shd w:val="clear" w:color="auto" w:fill="FFFFFF"/>
        <w:spacing w:before="240" w:beforeAutospacing="0" w:after="120" w:afterAutospacing="0" w:line="360" w:lineRule="auto"/>
        <w:ind w:firstLine="480" w:firstLineChars="200"/>
        <w:rPr>
          <w:rStyle w:val="12"/>
          <w:rFonts w:cs="宋体"/>
          <w:b w:val="0"/>
          <w:color w:val="0F1115"/>
          <w:sz w:val="24"/>
          <w:szCs w:val="24"/>
          <w:shd w:val="clear" w:color="auto" w:fill="FFFFFF"/>
        </w:rPr>
      </w:pPr>
    </w:p>
    <w:p w14:paraId="025A3398">
      <w:pPr>
        <w:pStyle w:val="3"/>
        <w:widowControl/>
        <w:shd w:val="clear" w:color="auto" w:fill="FFFFFF"/>
        <w:spacing w:before="240" w:beforeAutospacing="0" w:after="120" w:afterAutospacing="0" w:line="360" w:lineRule="auto"/>
        <w:ind w:firstLine="480" w:firstLineChars="200"/>
        <w:rPr>
          <w:rStyle w:val="12"/>
          <w:rFonts w:cs="宋体"/>
          <w:b w:val="0"/>
          <w:color w:val="0F1115"/>
          <w:sz w:val="24"/>
          <w:szCs w:val="24"/>
          <w:shd w:val="clear" w:color="auto" w:fill="FFFFFF"/>
        </w:rPr>
      </w:pPr>
    </w:p>
    <w:p w14:paraId="64C21E3F">
      <w:pPr>
        <w:pStyle w:val="3"/>
        <w:widowControl/>
        <w:shd w:val="clear" w:color="auto" w:fill="FFFFFF"/>
        <w:spacing w:before="240" w:beforeAutospacing="0" w:after="120" w:afterAutospacing="0" w:line="360" w:lineRule="auto"/>
        <w:ind w:firstLine="480" w:firstLineChars="200"/>
        <w:rPr>
          <w:rStyle w:val="12"/>
          <w:rFonts w:cs="宋体"/>
          <w:b w:val="0"/>
          <w:color w:val="0F1115"/>
          <w:sz w:val="24"/>
          <w:szCs w:val="24"/>
          <w:shd w:val="clear" w:color="auto" w:fill="FFFFFF"/>
        </w:rPr>
      </w:pPr>
    </w:p>
    <w:p w14:paraId="31C9A26D">
      <w:pPr>
        <w:pStyle w:val="3"/>
        <w:widowControl/>
        <w:shd w:val="clear" w:color="auto" w:fill="FFFFFF"/>
        <w:spacing w:before="240" w:beforeAutospacing="0" w:after="120" w:afterAutospacing="0" w:line="360" w:lineRule="auto"/>
        <w:ind w:firstLine="480" w:firstLineChars="200"/>
        <w:rPr>
          <w:rStyle w:val="12"/>
          <w:rFonts w:cs="宋体"/>
          <w:b w:val="0"/>
          <w:color w:val="0F1115"/>
          <w:sz w:val="24"/>
          <w:szCs w:val="24"/>
          <w:shd w:val="clear" w:color="auto" w:fill="FFFFFF"/>
        </w:rPr>
      </w:pPr>
    </w:p>
    <w:p w14:paraId="12F7BD52">
      <w:pPr>
        <w:pStyle w:val="3"/>
        <w:widowControl/>
        <w:shd w:val="clear" w:color="auto" w:fill="FFFFFF"/>
        <w:spacing w:before="240" w:beforeAutospacing="0" w:after="120" w:afterAutospacing="0" w:line="360" w:lineRule="auto"/>
        <w:ind w:firstLine="480" w:firstLineChars="200"/>
        <w:rPr>
          <w:rStyle w:val="12"/>
          <w:rFonts w:cs="宋体"/>
          <w:b w:val="0"/>
          <w:color w:val="0F1115"/>
          <w:sz w:val="24"/>
          <w:szCs w:val="24"/>
          <w:shd w:val="clear" w:color="auto" w:fill="FFFFFF"/>
        </w:rPr>
      </w:pPr>
    </w:p>
    <w:p w14:paraId="488F23F3">
      <w:pPr>
        <w:pStyle w:val="2"/>
        <w:keepNext/>
        <w:keepLines/>
        <w:spacing w:before="10" w:beforeAutospacing="0" w:after="10" w:afterAutospacing="0" w:line="360" w:lineRule="auto"/>
        <w:rPr>
          <w:rFonts w:ascii="黑体" w:hAnsi="黑体" w:eastAsia="黑体" w:cs="黑体"/>
          <w:bCs w:val="0"/>
          <w:sz w:val="30"/>
          <w:szCs w:val="30"/>
        </w:rPr>
      </w:pPr>
      <w:r>
        <w:rPr>
          <w:rFonts w:ascii="黑体" w:hAnsi="黑体" w:eastAsia="黑体" w:cs="黑体"/>
          <w:bCs w:val="0"/>
          <w:sz w:val="30"/>
          <w:szCs w:val="30"/>
        </w:rPr>
        <w:t>1 范围</w:t>
      </w:r>
    </w:p>
    <w:p w14:paraId="070495F7">
      <w:pPr>
        <w:pStyle w:val="9"/>
        <w:widowControl/>
        <w:shd w:val="clear" w:color="auto" w:fill="FFFFFF"/>
        <w:spacing w:before="120" w:beforeAutospacing="0" w:after="120" w:afterAutospacing="0" w:line="360" w:lineRule="auto"/>
        <w:ind w:firstLine="480" w:firstLineChars="200"/>
        <w:rPr>
          <w:rFonts w:hint="eastAsia" w:ascii="宋体" w:hAnsi="宋体" w:cs="宋体"/>
          <w:color w:val="0F1115"/>
        </w:rPr>
      </w:pPr>
      <w:r>
        <w:rPr>
          <w:rFonts w:hint="eastAsia" w:ascii="宋体" w:hAnsi="宋体" w:cs="宋体"/>
          <w:color w:val="0F1115"/>
          <w:shd w:val="clear" w:color="auto" w:fill="FFFFFF"/>
        </w:rPr>
        <w:t>本文件提出了类风湿关节炎（rheumatoid arthritis，RA）的临床表现、西医诊断（含分类标准与疾病活动度评估）、中医辨证分型与分期、中西医治疗（包括西医药物分层治疗、中医辨证论治以及针灸、推拿、药浴、功法锻炼等外治疗法）以及预防与调护的指导意见。</w:t>
      </w:r>
    </w:p>
    <w:p w14:paraId="48C05FFA">
      <w:pPr>
        <w:pStyle w:val="9"/>
        <w:widowControl/>
        <w:shd w:val="clear" w:color="auto" w:fill="FFFFFF"/>
        <w:spacing w:before="120" w:beforeAutospacing="0" w:after="120" w:afterAutospacing="0" w:line="360" w:lineRule="auto"/>
        <w:ind w:firstLine="480" w:firstLineChars="200"/>
        <w:rPr>
          <w:rFonts w:hint="eastAsia" w:ascii="宋体" w:hAnsi="宋体" w:cs="宋体"/>
          <w:color w:val="0F1115"/>
          <w:shd w:val="clear" w:color="auto" w:fill="FFFFFF"/>
        </w:rPr>
      </w:pPr>
      <w:r>
        <w:rPr>
          <w:rFonts w:hint="eastAsia" w:ascii="宋体" w:hAnsi="宋体" w:cs="宋体"/>
          <w:color w:val="0F1115"/>
          <w:shd w:val="clear" w:color="auto" w:fill="FFFFFF"/>
        </w:rPr>
        <w:t>本文件适用于类风湿关节炎疾病的中西医结合诊断、治疗、康复及慢病管理。</w:t>
      </w:r>
    </w:p>
    <w:p w14:paraId="16B16E0B">
      <w:pPr>
        <w:pStyle w:val="9"/>
        <w:widowControl/>
        <w:shd w:val="clear" w:color="auto" w:fill="FFFFFF"/>
        <w:spacing w:before="120" w:beforeAutospacing="0" w:after="120" w:afterAutospacing="0" w:line="360" w:lineRule="auto"/>
        <w:ind w:firstLine="480" w:firstLineChars="200"/>
        <w:rPr>
          <w:rFonts w:hint="eastAsia" w:ascii="宋体" w:hAnsi="宋体" w:cs="宋体"/>
          <w:color w:val="0F1115"/>
        </w:rPr>
      </w:pPr>
      <w:r>
        <w:rPr>
          <w:rFonts w:hint="eastAsia" w:ascii="宋体" w:hAnsi="宋体" w:cs="宋体"/>
          <w:color w:val="0F1115"/>
          <w:shd w:val="clear" w:color="auto" w:fill="FFFFFF"/>
        </w:rPr>
        <w:t>本文件主要供各级各类医疗卫生机构（含综合医院、中医医院、中西医结合医院、专科医院以及基层医疗卫生机构等）的风湿免疫科、中医科、中西医结合科、骨科、康复医学科的临床医师使用，也可供全科医师、护理人员、临床药师以及从事相关医学教育与科研的工作人员参考。</w:t>
      </w:r>
    </w:p>
    <w:p w14:paraId="423CC57D">
      <w:pPr>
        <w:pStyle w:val="2"/>
        <w:keepNext/>
        <w:keepLines/>
        <w:spacing w:before="10" w:beforeAutospacing="0" w:after="10" w:afterAutospacing="0" w:line="360" w:lineRule="auto"/>
        <w:rPr>
          <w:rFonts w:ascii="黑体" w:hAnsi="黑体" w:eastAsia="黑体" w:cs="黑体"/>
          <w:bCs w:val="0"/>
          <w:sz w:val="30"/>
          <w:szCs w:val="30"/>
        </w:rPr>
      </w:pPr>
      <w:r>
        <w:rPr>
          <w:rFonts w:ascii="黑体" w:hAnsi="黑体" w:eastAsia="黑体" w:cs="黑体"/>
          <w:bCs w:val="0"/>
          <w:sz w:val="30"/>
          <w:szCs w:val="30"/>
        </w:rPr>
        <w:t>2 规范性引用文件</w:t>
      </w:r>
    </w:p>
    <w:p w14:paraId="5D49E334">
      <w:pPr>
        <w:pStyle w:val="9"/>
        <w:widowControl/>
        <w:shd w:val="clear" w:color="auto" w:fill="FFFFFF"/>
        <w:spacing w:before="120" w:beforeAutospacing="0" w:after="120" w:afterAutospacing="0" w:line="360" w:lineRule="auto"/>
        <w:ind w:firstLine="480" w:firstLineChars="200"/>
        <w:rPr>
          <w:rFonts w:hint="eastAsia" w:ascii="宋体" w:hAnsi="宋体" w:cs="宋体"/>
          <w:color w:val="0F1115"/>
          <w:shd w:val="clear" w:color="auto" w:fill="FFFFFF"/>
        </w:rPr>
      </w:pPr>
      <w:r>
        <w:rPr>
          <w:rFonts w:hint="eastAsia" w:ascii="宋体" w:hAnsi="宋体" w:cs="宋体"/>
          <w:color w:val="0F1115"/>
          <w:shd w:val="clear" w:color="auto" w:fill="FFFFFF"/>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0B4CF5F2">
      <w:pPr>
        <w:pStyle w:val="9"/>
        <w:widowControl/>
        <w:shd w:val="clear" w:color="auto" w:fill="FFFFFF"/>
        <w:spacing w:before="120" w:beforeAutospacing="0" w:after="120" w:afterAutospacing="0" w:line="360" w:lineRule="auto"/>
        <w:ind w:firstLine="480" w:firstLineChars="200"/>
        <w:rPr>
          <w:rFonts w:hint="eastAsia" w:ascii="宋体" w:hAnsi="宋体" w:cs="宋体"/>
          <w:color w:val="0F1115"/>
          <w:shd w:val="clear" w:color="auto" w:fill="FFFFFF"/>
        </w:rPr>
      </w:pPr>
      <w:r>
        <w:rPr>
          <w:rFonts w:hint="eastAsia" w:ascii="宋体" w:hAnsi="宋体" w:cs="宋体"/>
          <w:color w:val="0F1115"/>
          <w:shd w:val="clear" w:color="auto" w:fill="FFFFFF"/>
        </w:rPr>
        <w:t>GB/T 12346—2021  经穴名称与定位</w:t>
      </w:r>
    </w:p>
    <w:p w14:paraId="0326B94A">
      <w:pPr>
        <w:pStyle w:val="9"/>
        <w:widowControl/>
        <w:shd w:val="clear" w:color="auto" w:fill="FFFFFF"/>
        <w:spacing w:before="120" w:beforeAutospacing="0" w:after="120" w:afterAutospacing="0" w:line="360" w:lineRule="auto"/>
        <w:ind w:firstLine="480" w:firstLineChars="200"/>
        <w:rPr>
          <w:rFonts w:hint="eastAsia" w:ascii="宋体" w:hAnsi="宋体" w:cs="宋体"/>
          <w:color w:val="0F1115"/>
          <w:shd w:val="clear" w:color="auto" w:fill="FFFFFF"/>
        </w:rPr>
      </w:pPr>
      <w:r>
        <w:rPr>
          <w:rFonts w:hint="eastAsia" w:ascii="宋体" w:hAnsi="宋体" w:cs="宋体"/>
          <w:color w:val="0F1115"/>
          <w:shd w:val="clear" w:color="auto" w:fill="FFFFFF"/>
        </w:rPr>
        <w:t>GB/T 15657—2021  中医病证分类与代码</w:t>
      </w:r>
    </w:p>
    <w:p w14:paraId="70B45EDC">
      <w:pPr>
        <w:pStyle w:val="9"/>
        <w:widowControl/>
        <w:shd w:val="clear" w:color="auto" w:fill="FFFFFF"/>
        <w:spacing w:before="120" w:beforeAutospacing="0" w:after="120" w:afterAutospacing="0" w:line="360" w:lineRule="auto"/>
        <w:ind w:firstLine="480" w:firstLineChars="200"/>
        <w:rPr>
          <w:rFonts w:hint="eastAsia" w:ascii="宋体" w:hAnsi="宋体" w:cs="宋体"/>
          <w:color w:val="0F1115"/>
          <w:shd w:val="clear" w:color="auto" w:fill="FFFFFF"/>
        </w:rPr>
      </w:pPr>
      <w:r>
        <w:rPr>
          <w:rFonts w:hint="eastAsia" w:ascii="宋体" w:hAnsi="宋体" w:cs="宋体"/>
          <w:color w:val="0F1115"/>
          <w:shd w:val="clear" w:color="auto" w:fill="FFFFFF"/>
        </w:rPr>
        <w:t>GB/T 16751.1—2023  中医临床诊疗术语 第1部分：疾病</w:t>
      </w:r>
    </w:p>
    <w:p w14:paraId="202AC46B">
      <w:pPr>
        <w:pStyle w:val="9"/>
        <w:widowControl/>
        <w:shd w:val="clear" w:color="auto" w:fill="FFFFFF"/>
        <w:spacing w:before="120" w:beforeAutospacing="0" w:after="120" w:afterAutospacing="0" w:line="360" w:lineRule="auto"/>
        <w:ind w:firstLine="480" w:firstLineChars="200"/>
        <w:rPr>
          <w:rFonts w:hint="eastAsia" w:ascii="宋体" w:hAnsi="宋体" w:cs="宋体"/>
          <w:color w:val="0F1115"/>
          <w:shd w:val="clear" w:color="auto" w:fill="FFFFFF"/>
        </w:rPr>
      </w:pPr>
      <w:r>
        <w:rPr>
          <w:rFonts w:hint="eastAsia" w:ascii="宋体" w:hAnsi="宋体" w:cs="宋体"/>
          <w:color w:val="0F1115"/>
          <w:shd w:val="clear" w:color="auto" w:fill="FFFFFF"/>
        </w:rPr>
        <w:t>GB/T 16751.2—2021  中医临床诊疗术语 第2部分：证候</w:t>
      </w:r>
    </w:p>
    <w:p w14:paraId="5643FB7F">
      <w:pPr>
        <w:pStyle w:val="9"/>
        <w:widowControl/>
        <w:shd w:val="clear" w:color="auto" w:fill="FFFFFF"/>
        <w:spacing w:before="120" w:beforeAutospacing="0" w:after="120" w:afterAutospacing="0" w:line="360" w:lineRule="auto"/>
        <w:ind w:firstLine="480" w:firstLineChars="200"/>
        <w:rPr>
          <w:rFonts w:hint="eastAsia" w:ascii="宋体" w:hAnsi="宋体" w:cs="宋体"/>
          <w:color w:val="0F1115"/>
          <w:shd w:val="clear" w:color="auto" w:fill="FFFFFF"/>
        </w:rPr>
      </w:pPr>
      <w:r>
        <w:rPr>
          <w:rFonts w:hint="eastAsia" w:ascii="宋体" w:hAnsi="宋体" w:cs="宋体"/>
          <w:color w:val="0F1115"/>
          <w:shd w:val="clear" w:color="auto" w:fill="FFFFFF"/>
        </w:rPr>
        <w:t>GB/T 16751.3—2023  中医临床诊疗术语 第3部分：治法</w:t>
      </w:r>
    </w:p>
    <w:p w14:paraId="2E8FF768">
      <w:pPr>
        <w:pStyle w:val="9"/>
        <w:widowControl/>
        <w:shd w:val="clear" w:color="auto" w:fill="FFFFFF"/>
        <w:spacing w:before="120" w:beforeAutospacing="0" w:after="120" w:afterAutospacing="0" w:line="360" w:lineRule="auto"/>
        <w:ind w:firstLine="480" w:firstLineChars="200"/>
        <w:rPr>
          <w:rFonts w:hint="eastAsia" w:ascii="宋体" w:hAnsi="宋体" w:cs="宋体"/>
          <w:color w:val="0F1115"/>
          <w:shd w:val="clear" w:color="auto" w:fill="FFFFFF"/>
        </w:rPr>
      </w:pPr>
      <w:r>
        <w:rPr>
          <w:rFonts w:hint="eastAsia" w:ascii="宋体" w:hAnsi="宋体" w:cs="宋体"/>
          <w:color w:val="0F1115"/>
          <w:shd w:val="clear" w:color="auto" w:fill="FFFFFF"/>
        </w:rPr>
        <w:t>GB/T 21709.20—2009  针灸技术操作规范 第20部分：毫针基本刺法</w:t>
      </w:r>
    </w:p>
    <w:p w14:paraId="386E9C30">
      <w:pPr>
        <w:pStyle w:val="9"/>
        <w:widowControl/>
        <w:shd w:val="clear" w:color="auto" w:fill="FFFFFF"/>
        <w:spacing w:before="120" w:beforeAutospacing="0" w:after="120" w:afterAutospacing="0" w:line="360" w:lineRule="auto"/>
        <w:ind w:firstLine="480" w:firstLineChars="200"/>
        <w:rPr>
          <w:rFonts w:hint="eastAsia" w:ascii="宋体" w:hAnsi="宋体" w:cs="宋体"/>
          <w:color w:val="0F1115"/>
          <w:shd w:val="clear" w:color="auto" w:fill="FFFFFF"/>
        </w:rPr>
      </w:pPr>
      <w:r>
        <w:rPr>
          <w:rFonts w:hint="eastAsia" w:ascii="宋体" w:hAnsi="宋体" w:cs="宋体"/>
          <w:color w:val="0F1115"/>
          <w:shd w:val="clear" w:color="auto" w:fill="FFFFFF"/>
        </w:rPr>
        <w:t>GB/T 21709.21—2013  针灸技术操作规范 第21部分：毫针基本手法</w:t>
      </w:r>
    </w:p>
    <w:p w14:paraId="3FC292E6">
      <w:pPr>
        <w:pStyle w:val="9"/>
        <w:widowControl/>
        <w:shd w:val="clear" w:color="auto" w:fill="FFFFFF"/>
        <w:spacing w:before="120" w:beforeAutospacing="0" w:after="120" w:afterAutospacing="0" w:line="360" w:lineRule="auto"/>
        <w:ind w:firstLine="480" w:firstLineChars="200"/>
        <w:rPr>
          <w:rFonts w:hint="eastAsia" w:ascii="宋体" w:hAnsi="宋体" w:cs="宋体"/>
          <w:color w:val="0F1115"/>
          <w:shd w:val="clear" w:color="auto" w:fill="FFFFFF"/>
        </w:rPr>
      </w:pPr>
      <w:r>
        <w:rPr>
          <w:rFonts w:hint="eastAsia" w:ascii="宋体" w:hAnsi="宋体" w:cs="宋体"/>
          <w:color w:val="0F1115"/>
          <w:shd w:val="clear" w:color="auto" w:fill="FFFFFF"/>
        </w:rPr>
        <w:t>GB/T 42467.1—2023  中医临床名词术语 第1部分：内科学</w:t>
      </w:r>
    </w:p>
    <w:p w14:paraId="700AA8DA">
      <w:pPr>
        <w:pStyle w:val="9"/>
        <w:widowControl/>
        <w:shd w:val="clear" w:color="auto" w:fill="FFFFFF"/>
        <w:spacing w:before="120" w:beforeAutospacing="0" w:after="120" w:afterAutospacing="0" w:line="360" w:lineRule="auto"/>
        <w:ind w:firstLine="480" w:firstLineChars="200"/>
        <w:rPr>
          <w:rFonts w:hint="eastAsia" w:ascii="宋体" w:hAnsi="宋体" w:cs="宋体"/>
          <w:color w:val="0F1115"/>
          <w:shd w:val="clear" w:color="auto" w:fill="FFFFFF"/>
        </w:rPr>
      </w:pPr>
      <w:r>
        <w:rPr>
          <w:rFonts w:hint="eastAsia" w:ascii="宋体" w:hAnsi="宋体" w:cs="宋体"/>
          <w:color w:val="0F1115"/>
          <w:shd w:val="clear" w:color="auto" w:fill="FFFFFF"/>
        </w:rPr>
        <w:t>GB/T 46940—2025  中医药 中医临床术语系统分类框架</w:t>
      </w:r>
    </w:p>
    <w:p w14:paraId="7C96BA97">
      <w:pPr>
        <w:pStyle w:val="9"/>
        <w:widowControl/>
        <w:shd w:val="clear" w:color="auto" w:fill="FFFFFF"/>
        <w:spacing w:before="120" w:beforeAutospacing="0" w:after="120" w:afterAutospacing="0" w:line="360" w:lineRule="auto"/>
        <w:ind w:firstLine="480" w:firstLineChars="200"/>
        <w:rPr>
          <w:rFonts w:hint="eastAsia" w:ascii="宋体" w:hAnsi="宋体" w:cs="宋体"/>
          <w:color w:val="0F1115"/>
          <w:shd w:val="clear" w:color="auto" w:fill="FFFFFF"/>
        </w:rPr>
      </w:pPr>
      <w:r>
        <w:rPr>
          <w:rFonts w:hint="eastAsia" w:ascii="宋体" w:hAnsi="宋体" w:cs="宋体"/>
          <w:color w:val="0F1115"/>
          <w:shd w:val="clear" w:color="auto" w:fill="FFFFFF"/>
        </w:rPr>
        <w:t>GB/Z 112—2026  中医药 中西医结合临床术语系统分类框架</w:t>
      </w:r>
    </w:p>
    <w:p w14:paraId="664717F2">
      <w:pPr>
        <w:pStyle w:val="9"/>
        <w:widowControl/>
        <w:shd w:val="clear" w:color="auto" w:fill="FFFFFF"/>
        <w:spacing w:before="120" w:beforeAutospacing="0" w:after="120" w:afterAutospacing="0" w:line="360" w:lineRule="auto"/>
        <w:ind w:firstLine="480" w:firstLineChars="200"/>
        <w:rPr>
          <w:rFonts w:hint="eastAsia" w:ascii="宋体" w:hAnsi="宋体" w:cs="宋体"/>
          <w:color w:val="0F1115"/>
          <w:shd w:val="clear" w:color="auto" w:fill="FFFFFF"/>
        </w:rPr>
      </w:pPr>
      <w:r>
        <w:rPr>
          <w:rFonts w:hint="eastAsia" w:ascii="宋体" w:hAnsi="宋体" w:cs="宋体"/>
          <w:color w:val="0F1115"/>
          <w:shd w:val="clear" w:color="auto" w:fill="FFFFFF"/>
        </w:rPr>
        <w:t>ZY/T 001.1—1994  中医内科病证诊断疗效标准</w:t>
      </w:r>
    </w:p>
    <w:p w14:paraId="57DEC0A2">
      <w:pPr>
        <w:pStyle w:val="9"/>
        <w:widowControl/>
        <w:shd w:val="clear" w:color="auto" w:fill="FFFFFF"/>
        <w:spacing w:before="120" w:beforeAutospacing="0" w:after="120" w:afterAutospacing="0" w:line="360" w:lineRule="auto"/>
        <w:ind w:firstLine="480" w:firstLineChars="200"/>
        <w:rPr>
          <w:rFonts w:hint="eastAsia" w:ascii="宋体" w:hAnsi="宋体" w:cs="宋体"/>
          <w:color w:val="0F1115"/>
          <w:shd w:val="clear" w:color="auto" w:fill="FFFFFF"/>
        </w:rPr>
      </w:pPr>
      <w:r>
        <w:rPr>
          <w:rFonts w:hint="eastAsia" w:ascii="宋体" w:hAnsi="宋体" w:cs="宋体"/>
          <w:color w:val="0F1115"/>
          <w:shd w:val="clear" w:color="auto" w:fill="FFFFFF"/>
        </w:rPr>
        <w:t>ZY/T 10—2024  中医病证诊断与疗效评价规范制修订通则</w:t>
      </w:r>
    </w:p>
    <w:p w14:paraId="3BDBDCB4">
      <w:pPr>
        <w:pStyle w:val="2"/>
        <w:keepNext/>
        <w:keepLines/>
        <w:spacing w:before="10" w:beforeAutospacing="0" w:after="10" w:afterAutospacing="0" w:line="360" w:lineRule="auto"/>
        <w:rPr>
          <w:rFonts w:ascii="黑体" w:hAnsi="黑体" w:eastAsia="黑体" w:cs="黑体"/>
          <w:bCs w:val="0"/>
          <w:sz w:val="30"/>
          <w:szCs w:val="30"/>
        </w:rPr>
      </w:pPr>
      <w:r>
        <w:rPr>
          <w:rFonts w:ascii="黑体" w:hAnsi="黑体" w:eastAsia="黑体" w:cs="黑体"/>
          <w:bCs w:val="0"/>
          <w:sz w:val="30"/>
          <w:szCs w:val="30"/>
        </w:rPr>
        <w:t>3 术语和定义</w:t>
      </w:r>
    </w:p>
    <w:p w14:paraId="7E470819">
      <w:pPr>
        <w:pStyle w:val="9"/>
        <w:widowControl/>
        <w:shd w:val="clear" w:color="auto" w:fill="FFFFFF"/>
        <w:spacing w:before="120" w:beforeAutospacing="0" w:after="120" w:afterAutospacing="0" w:line="360" w:lineRule="auto"/>
        <w:ind w:firstLine="480" w:firstLineChars="200"/>
        <w:rPr>
          <w:rFonts w:hint="eastAsia" w:ascii="宋体" w:hAnsi="宋体" w:cs="宋体"/>
          <w:color w:val="0F1115"/>
        </w:rPr>
      </w:pPr>
      <w:r>
        <w:rPr>
          <w:rFonts w:hint="eastAsia" w:ascii="宋体" w:hAnsi="宋体" w:cs="宋体"/>
          <w:color w:val="0F1115"/>
          <w:shd w:val="clear" w:color="auto" w:fill="FFFFFF"/>
        </w:rPr>
        <w:t>下列术语和定义适用于本文件。</w:t>
      </w:r>
    </w:p>
    <w:p w14:paraId="37606FBD">
      <w:pPr>
        <w:pStyle w:val="9"/>
        <w:widowControl/>
        <w:shd w:val="clear" w:color="auto" w:fill="FFFFFF"/>
        <w:spacing w:before="120" w:beforeAutospacing="0" w:after="120" w:afterAutospacing="0" w:line="360" w:lineRule="auto"/>
        <w:ind w:firstLine="482" w:firstLineChars="200"/>
        <w:rPr>
          <w:rFonts w:hint="eastAsia" w:ascii="宋体" w:hAnsi="宋体" w:cs="宋体"/>
          <w:color w:val="0F1115"/>
        </w:rPr>
      </w:pPr>
      <w:r>
        <w:rPr>
          <w:rStyle w:val="12"/>
          <w:rFonts w:hint="eastAsia" w:ascii="宋体" w:hAnsi="宋体" w:cs="宋体"/>
          <w:bCs/>
          <w:color w:val="0F1115"/>
          <w:shd w:val="clear" w:color="auto" w:fill="FFFFFF"/>
        </w:rPr>
        <w:t>3.1类风湿关节炎 rheumatoid arthritis；RA</w:t>
      </w:r>
    </w:p>
    <w:p w14:paraId="274D6F8F">
      <w:pPr>
        <w:pStyle w:val="9"/>
        <w:widowControl/>
        <w:shd w:val="clear" w:color="auto" w:fill="FFFFFF"/>
        <w:spacing w:before="120" w:beforeAutospacing="0" w:after="120" w:afterAutospacing="0" w:line="360" w:lineRule="auto"/>
        <w:ind w:firstLine="480" w:firstLineChars="200"/>
        <w:rPr>
          <w:rFonts w:hint="eastAsia" w:ascii="宋体" w:hAnsi="宋体" w:cs="宋体"/>
          <w:color w:val="0F1115"/>
          <w:shd w:val="clear" w:color="auto" w:fill="FFFFFF"/>
        </w:rPr>
      </w:pPr>
      <w:r>
        <w:rPr>
          <w:rFonts w:hint="eastAsia" w:ascii="宋体" w:hAnsi="宋体" w:cs="宋体"/>
          <w:color w:val="0F1115"/>
          <w:shd w:val="clear" w:color="auto" w:fill="FFFFFF"/>
        </w:rPr>
        <w:t>一种以慢性侵蚀性关节炎为主要特征的全身性自身免疫病，基本病理改变为滑膜炎，可导致关节畸形和功能障碍。</w:t>
      </w:r>
    </w:p>
    <w:p w14:paraId="60CE9CBA">
      <w:pPr>
        <w:pStyle w:val="9"/>
        <w:widowControl/>
        <w:shd w:val="clear" w:color="auto" w:fill="FFFFFF"/>
        <w:spacing w:before="120" w:beforeAutospacing="0" w:after="120" w:afterAutospacing="0" w:line="360" w:lineRule="auto"/>
        <w:ind w:firstLine="480" w:firstLineChars="200"/>
        <w:rPr>
          <w:rFonts w:hint="eastAsia" w:ascii="宋体" w:hAnsi="宋体" w:cs="宋体"/>
          <w:color w:val="0F1115"/>
        </w:rPr>
      </w:pPr>
      <w:r>
        <w:rPr>
          <w:rFonts w:hint="eastAsia" w:ascii="宋体" w:hAnsi="宋体" w:cs="宋体"/>
          <w:color w:val="0F1115"/>
          <w:shd w:val="clear" w:color="auto" w:fill="FFFFFF"/>
        </w:rPr>
        <w:t>注：中医古籍中称为痹证、历节病、白虎历节、痛风、顽痹、尪痹、鹤膝风等。</w:t>
      </w:r>
    </w:p>
    <w:p w14:paraId="3CFF14EE">
      <w:pPr>
        <w:pStyle w:val="9"/>
        <w:widowControl/>
        <w:shd w:val="clear" w:color="auto" w:fill="FFFFFF"/>
        <w:spacing w:before="120" w:beforeAutospacing="0" w:after="120" w:afterAutospacing="0" w:line="360" w:lineRule="auto"/>
        <w:ind w:firstLine="482" w:firstLineChars="200"/>
        <w:rPr>
          <w:rFonts w:hint="eastAsia" w:ascii="宋体" w:hAnsi="宋体" w:cs="宋体"/>
          <w:color w:val="0F1115"/>
        </w:rPr>
      </w:pPr>
      <w:r>
        <w:rPr>
          <w:rStyle w:val="12"/>
          <w:rFonts w:hint="eastAsia" w:ascii="宋体" w:hAnsi="宋体" w:cs="宋体"/>
          <w:bCs/>
          <w:color w:val="0F1115"/>
          <w:shd w:val="clear" w:color="auto" w:fill="FFFFFF"/>
        </w:rPr>
        <w:t>3.2类风湿因子 rheumatoid factor；RF</w:t>
      </w:r>
    </w:p>
    <w:p w14:paraId="6CF18B6E">
      <w:pPr>
        <w:pStyle w:val="9"/>
        <w:widowControl/>
        <w:shd w:val="clear" w:color="auto" w:fill="FFFFFF"/>
        <w:spacing w:before="120" w:beforeAutospacing="0" w:after="120" w:afterAutospacing="0" w:line="360" w:lineRule="auto"/>
        <w:ind w:firstLine="480" w:firstLineChars="200"/>
        <w:rPr>
          <w:rFonts w:hint="eastAsia" w:ascii="宋体" w:hAnsi="宋体" w:cs="宋体"/>
          <w:color w:val="0F1115"/>
          <w:shd w:val="clear" w:color="auto" w:fill="FFFFFF"/>
        </w:rPr>
      </w:pPr>
      <w:r>
        <w:rPr>
          <w:rFonts w:hint="eastAsia" w:ascii="宋体" w:hAnsi="宋体" w:cs="宋体"/>
          <w:color w:val="0F1115"/>
          <w:shd w:val="clear" w:color="auto" w:fill="FFFFFF"/>
        </w:rPr>
        <w:t>以变性IgG为靶抗原的自身抗体，约70%～80%RA患者阳性，滴度与疾病活动度相关。</w:t>
      </w:r>
    </w:p>
    <w:p w14:paraId="6E743B97">
      <w:pPr>
        <w:pStyle w:val="9"/>
        <w:widowControl/>
        <w:shd w:val="clear" w:color="auto" w:fill="FFFFFF"/>
        <w:spacing w:before="120" w:beforeAutospacing="0" w:after="120" w:afterAutospacing="0" w:line="360" w:lineRule="auto"/>
        <w:ind w:firstLine="482" w:firstLineChars="200"/>
        <w:rPr>
          <w:rFonts w:hint="eastAsia" w:ascii="宋体" w:hAnsi="宋体" w:cs="宋体"/>
          <w:color w:val="0F1115"/>
        </w:rPr>
      </w:pPr>
      <w:r>
        <w:rPr>
          <w:rStyle w:val="12"/>
          <w:rFonts w:hint="eastAsia" w:ascii="宋体" w:hAnsi="宋体" w:cs="宋体"/>
          <w:bCs/>
          <w:color w:val="0F1115"/>
          <w:shd w:val="clear" w:color="auto" w:fill="FFFFFF"/>
        </w:rPr>
        <w:t>3.3抗环瓜氨酸肽抗体 anti-cyclic citrullinated peptide antibody；抗CCP抗体</w:t>
      </w:r>
    </w:p>
    <w:p w14:paraId="4D04C725">
      <w:pPr>
        <w:pStyle w:val="9"/>
        <w:widowControl/>
        <w:shd w:val="clear" w:color="auto" w:fill="FFFFFF"/>
        <w:spacing w:before="120" w:beforeAutospacing="0" w:after="120" w:afterAutospacing="0" w:line="360" w:lineRule="auto"/>
        <w:ind w:firstLine="480" w:firstLineChars="200"/>
        <w:rPr>
          <w:rFonts w:hint="eastAsia" w:ascii="宋体" w:hAnsi="宋体" w:cs="宋体"/>
          <w:color w:val="0F1115"/>
          <w:shd w:val="clear" w:color="auto" w:fill="FFFFFF"/>
        </w:rPr>
      </w:pPr>
      <w:r>
        <w:rPr>
          <w:rFonts w:hint="eastAsia" w:ascii="宋体" w:hAnsi="宋体" w:cs="宋体"/>
          <w:color w:val="0F1115"/>
          <w:shd w:val="clear" w:color="auto" w:fill="FFFFFF"/>
        </w:rPr>
        <w:t>针对环瓜氨酸肽的自身抗体，特异性高（约95%），对RA早期诊断和预后判断有重要价值。</w:t>
      </w:r>
    </w:p>
    <w:p w14:paraId="69876E66">
      <w:pPr>
        <w:pStyle w:val="9"/>
        <w:widowControl/>
        <w:shd w:val="clear" w:color="auto" w:fill="FFFFFF"/>
        <w:spacing w:before="120" w:beforeAutospacing="0" w:after="120" w:afterAutospacing="0" w:line="360" w:lineRule="auto"/>
        <w:ind w:firstLine="482" w:firstLineChars="200"/>
        <w:rPr>
          <w:rFonts w:hint="eastAsia" w:ascii="宋体" w:hAnsi="宋体" w:cs="宋体"/>
          <w:color w:val="0F1115"/>
        </w:rPr>
      </w:pPr>
      <w:r>
        <w:rPr>
          <w:rStyle w:val="12"/>
          <w:rFonts w:hint="eastAsia" w:ascii="宋体" w:hAnsi="宋体" w:cs="宋体"/>
          <w:bCs/>
          <w:color w:val="0F1115"/>
          <w:shd w:val="clear" w:color="auto" w:fill="FFFFFF"/>
        </w:rPr>
        <w:t>3.4达标治疗 treat-to-target；T2T</w:t>
      </w:r>
    </w:p>
    <w:p w14:paraId="4CB5F6F0">
      <w:pPr>
        <w:pStyle w:val="9"/>
        <w:widowControl/>
        <w:shd w:val="clear" w:color="auto" w:fill="FFFFFF"/>
        <w:spacing w:before="120" w:beforeAutospacing="0" w:after="120" w:afterAutospacing="0" w:line="360" w:lineRule="auto"/>
        <w:ind w:firstLine="480" w:firstLineChars="200"/>
        <w:rPr>
          <w:rFonts w:hint="eastAsia" w:ascii="宋体" w:hAnsi="宋体" w:cs="宋体"/>
          <w:color w:val="0F1115"/>
          <w:shd w:val="clear" w:color="auto" w:fill="FFFFFF"/>
        </w:rPr>
      </w:pPr>
      <w:r>
        <w:rPr>
          <w:rFonts w:hint="eastAsia" w:ascii="宋体" w:hAnsi="宋体" w:cs="宋体"/>
          <w:color w:val="0F1115"/>
          <w:shd w:val="clear" w:color="auto" w:fill="FFFFFF"/>
        </w:rPr>
        <w:t>以达到临床缓解或低疾病活动度为目标的治疗策略，强调早期治疗、定期评估和及时调整方案。</w:t>
      </w:r>
    </w:p>
    <w:p w14:paraId="039DB08D">
      <w:pPr>
        <w:pStyle w:val="9"/>
        <w:widowControl/>
        <w:shd w:val="clear" w:color="auto" w:fill="FFFFFF"/>
        <w:spacing w:before="120" w:beforeAutospacing="0" w:after="120" w:afterAutospacing="0" w:line="360" w:lineRule="auto"/>
        <w:ind w:firstLine="482" w:firstLineChars="200"/>
        <w:rPr>
          <w:rFonts w:hint="eastAsia" w:ascii="宋体" w:hAnsi="宋体" w:cs="宋体"/>
          <w:color w:val="0F1115"/>
        </w:rPr>
      </w:pPr>
      <w:r>
        <w:rPr>
          <w:rStyle w:val="12"/>
          <w:rFonts w:hint="eastAsia" w:ascii="宋体" w:hAnsi="宋体" w:cs="宋体"/>
          <w:bCs/>
          <w:color w:val="0F1115"/>
          <w:shd w:val="clear" w:color="auto" w:fill="FFFFFF"/>
        </w:rPr>
        <w:t>3.5临床缓解 clinical remission</w:t>
      </w:r>
    </w:p>
    <w:p w14:paraId="5074084F">
      <w:pPr>
        <w:pStyle w:val="9"/>
        <w:widowControl/>
        <w:shd w:val="clear" w:color="auto" w:fill="FFFFFF"/>
        <w:spacing w:before="120" w:beforeAutospacing="0" w:after="120" w:afterAutospacing="0" w:line="360" w:lineRule="auto"/>
        <w:ind w:firstLine="480" w:firstLineChars="200"/>
        <w:rPr>
          <w:rFonts w:hint="eastAsia" w:ascii="宋体" w:hAnsi="宋体" w:cs="宋体"/>
          <w:color w:val="0F1115"/>
          <w:shd w:val="clear" w:color="auto" w:fill="FFFFFF"/>
        </w:rPr>
      </w:pPr>
      <w:r>
        <w:rPr>
          <w:rFonts w:hint="eastAsia" w:ascii="宋体" w:hAnsi="宋体" w:cs="宋体"/>
          <w:color w:val="0F1115"/>
          <w:shd w:val="clear" w:color="auto" w:fill="FFFFFF"/>
        </w:rPr>
        <w:t>疾病活动度极低的状态，关节炎症基本控制，无明显关节疼痛和肿胀，功能状态良好。</w:t>
      </w:r>
    </w:p>
    <w:p w14:paraId="58561D88">
      <w:pPr>
        <w:pStyle w:val="9"/>
        <w:widowControl/>
        <w:shd w:val="clear" w:color="auto" w:fill="FFFFFF"/>
        <w:spacing w:before="120" w:beforeAutospacing="0" w:after="120" w:afterAutospacing="0" w:line="360" w:lineRule="auto"/>
        <w:ind w:firstLine="482" w:firstLineChars="200"/>
        <w:rPr>
          <w:rFonts w:hint="eastAsia" w:ascii="宋体" w:hAnsi="宋体" w:cs="宋体"/>
          <w:color w:val="0F1115"/>
        </w:rPr>
      </w:pPr>
      <w:r>
        <w:rPr>
          <w:rStyle w:val="12"/>
          <w:rFonts w:hint="eastAsia" w:ascii="宋体" w:hAnsi="宋体" w:cs="宋体"/>
          <w:bCs/>
          <w:color w:val="0F1115"/>
          <w:shd w:val="clear" w:color="auto" w:fill="FFFFFF"/>
        </w:rPr>
        <w:t>3.6晨僵 morning stiffness</w:t>
      </w:r>
    </w:p>
    <w:p w14:paraId="5D179A7C">
      <w:pPr>
        <w:pStyle w:val="9"/>
        <w:widowControl/>
        <w:shd w:val="clear" w:color="auto" w:fill="FFFFFF"/>
        <w:spacing w:before="120" w:beforeAutospacing="0" w:after="120" w:afterAutospacing="0" w:line="360" w:lineRule="auto"/>
        <w:ind w:firstLine="480" w:firstLineChars="200"/>
        <w:rPr>
          <w:rFonts w:hint="eastAsia" w:ascii="宋体" w:hAnsi="宋体" w:cs="宋体"/>
          <w:color w:val="0F1115"/>
          <w:shd w:val="clear" w:color="auto" w:fill="FFFFFF"/>
        </w:rPr>
      </w:pPr>
      <w:r>
        <w:rPr>
          <w:rFonts w:hint="eastAsia" w:ascii="宋体" w:hAnsi="宋体" w:cs="宋体"/>
          <w:color w:val="0F1115"/>
          <w:shd w:val="clear" w:color="auto" w:fill="FFFFFF"/>
        </w:rPr>
        <w:t>早晨起床后关节僵硬、活动受限，持续时间与炎症程度相关，RA患者常持续1小时以上。</w:t>
      </w:r>
    </w:p>
    <w:p w14:paraId="6B5295C6">
      <w:pPr>
        <w:pStyle w:val="9"/>
        <w:widowControl/>
        <w:shd w:val="clear" w:color="auto" w:fill="FFFFFF"/>
        <w:spacing w:before="120" w:beforeAutospacing="0" w:after="120" w:afterAutospacing="0" w:line="360" w:lineRule="auto"/>
        <w:ind w:firstLine="482" w:firstLineChars="200"/>
        <w:rPr>
          <w:rFonts w:hint="eastAsia" w:ascii="宋体" w:hAnsi="宋体" w:cs="宋体"/>
          <w:color w:val="0F1115"/>
        </w:rPr>
      </w:pPr>
      <w:r>
        <w:rPr>
          <w:rStyle w:val="12"/>
          <w:rFonts w:hint="eastAsia" w:ascii="宋体" w:hAnsi="宋体" w:cs="宋体"/>
          <w:bCs/>
          <w:color w:val="0F1115"/>
          <w:shd w:val="clear" w:color="auto" w:fill="FFFFFF"/>
        </w:rPr>
        <w:t>3.7Jaccoud关节病 Jaccoud‘s arthropathy；JA</w:t>
      </w:r>
    </w:p>
    <w:p w14:paraId="790EC431">
      <w:pPr>
        <w:pStyle w:val="9"/>
        <w:widowControl/>
        <w:shd w:val="clear" w:color="auto" w:fill="FFFFFF"/>
        <w:spacing w:before="120" w:beforeAutospacing="0" w:after="120" w:afterAutospacing="0" w:line="360" w:lineRule="auto"/>
        <w:ind w:firstLine="480" w:firstLineChars="200"/>
        <w:rPr>
          <w:rFonts w:hint="eastAsia" w:ascii="宋体" w:hAnsi="宋体" w:cs="宋体"/>
          <w:color w:val="0F1115"/>
        </w:rPr>
      </w:pPr>
      <w:r>
        <w:rPr>
          <w:rFonts w:hint="eastAsia" w:ascii="宋体" w:hAnsi="宋体" w:cs="宋体"/>
          <w:color w:val="0F1115"/>
          <w:shd w:val="clear" w:color="auto" w:fill="FFFFFF"/>
        </w:rPr>
        <w:t>RA的一种可逆性关节畸形表现，以手指尺偏、天鹅颈样畸形及钮扣花样畸形为特征，骨侵蚀轻微</w:t>
      </w:r>
      <w:r>
        <w:fldChar w:fldCharType="begin"/>
      </w:r>
      <w:r>
        <w:instrText xml:space="preserve"> HYPERLINK "https://efim.org/education/ejim/april-2026/shaping-rheumatoid-arthritis-treatment-clinical-and-demographic-drivers" \t "https://chat.deepseek.com/a/chat/s/_blank" </w:instrText>
      </w:r>
      <w:r>
        <w:fldChar w:fldCharType="separate"/>
      </w:r>
      <w:r>
        <w:fldChar w:fldCharType="end"/>
      </w:r>
      <w:r>
        <w:rPr>
          <w:rFonts w:hint="eastAsia" w:ascii="宋体" w:hAnsi="宋体" w:cs="宋体"/>
          <w:color w:val="0F1115"/>
          <w:shd w:val="clear" w:color="auto" w:fill="FFFFFF"/>
        </w:rPr>
        <w:t>。</w:t>
      </w:r>
    </w:p>
    <w:p w14:paraId="2B63CF2E">
      <w:pPr>
        <w:pStyle w:val="2"/>
        <w:keepNext/>
        <w:keepLines/>
        <w:spacing w:before="10" w:beforeAutospacing="0" w:after="10" w:afterAutospacing="0" w:line="360" w:lineRule="auto"/>
        <w:rPr>
          <w:rFonts w:hint="default" w:ascii="黑体" w:hAnsi="黑体" w:eastAsia="黑体" w:cs="黑体"/>
          <w:bCs w:val="0"/>
          <w:sz w:val="30"/>
          <w:szCs w:val="30"/>
        </w:rPr>
      </w:pPr>
      <w:r>
        <w:rPr>
          <w:rFonts w:ascii="黑体" w:hAnsi="黑体" w:eastAsia="黑体" w:cs="黑体"/>
          <w:bCs w:val="0"/>
          <w:sz w:val="30"/>
          <w:szCs w:val="30"/>
        </w:rPr>
        <w:t>4 缩略语</w:t>
      </w:r>
    </w:p>
    <w:p w14:paraId="7F812752">
      <w:pPr>
        <w:pStyle w:val="9"/>
        <w:widowControl/>
        <w:shd w:val="clear" w:color="auto" w:fill="FFFFFF"/>
        <w:spacing w:before="120" w:beforeAutospacing="0" w:after="120" w:afterAutospacing="0" w:line="360" w:lineRule="auto"/>
        <w:ind w:firstLine="480" w:firstLineChars="200"/>
        <w:rPr>
          <w:rFonts w:hint="eastAsia" w:ascii="宋体" w:hAnsi="宋体" w:cs="宋体"/>
          <w:color w:val="0F1115"/>
        </w:rPr>
      </w:pPr>
      <w:r>
        <w:rPr>
          <w:rFonts w:hint="eastAsia" w:ascii="宋体" w:hAnsi="宋体" w:cs="宋体"/>
          <w:color w:val="0F1115"/>
          <w:shd w:val="clear" w:color="auto" w:fill="FFFFFF"/>
        </w:rPr>
        <w:t>下列缩略语适用于本文件。</w:t>
      </w:r>
    </w:p>
    <w:p w14:paraId="502C5525">
      <w:pPr>
        <w:pStyle w:val="9"/>
        <w:widowControl/>
        <w:shd w:val="clear" w:color="auto" w:fill="FFFFFF"/>
        <w:spacing w:before="120" w:beforeAutospacing="0" w:after="120" w:afterAutospacing="0" w:line="360" w:lineRule="auto"/>
        <w:ind w:firstLine="480" w:firstLineChars="200"/>
        <w:rPr>
          <w:rFonts w:hint="eastAsia" w:ascii="宋体" w:hAnsi="宋体" w:cs="宋体"/>
          <w:color w:val="0F1115"/>
        </w:rPr>
      </w:pPr>
      <w:r>
        <w:rPr>
          <w:rFonts w:hint="eastAsia" w:ascii="宋体" w:hAnsi="宋体" w:cs="宋体"/>
          <w:color w:val="0F1115"/>
          <w:shd w:val="clear" w:color="auto" w:fill="FFFFFF"/>
        </w:rPr>
        <w:t>ACR：美国风湿病学会（American College of Rheumatology）</w:t>
      </w:r>
    </w:p>
    <w:p w14:paraId="224D28E1">
      <w:pPr>
        <w:pStyle w:val="9"/>
        <w:widowControl/>
        <w:shd w:val="clear" w:color="auto" w:fill="FFFFFF"/>
        <w:spacing w:before="120" w:beforeAutospacing="0" w:after="120" w:afterAutospacing="0" w:line="360" w:lineRule="auto"/>
        <w:ind w:firstLine="480" w:firstLineChars="200"/>
        <w:rPr>
          <w:rFonts w:hint="eastAsia" w:ascii="宋体" w:hAnsi="宋体" w:cs="宋体"/>
          <w:color w:val="0F1115"/>
        </w:rPr>
      </w:pPr>
      <w:r>
        <w:rPr>
          <w:rFonts w:hint="eastAsia" w:ascii="宋体" w:hAnsi="宋体" w:cs="宋体"/>
          <w:color w:val="0F1115"/>
          <w:shd w:val="clear" w:color="auto" w:fill="FFFFFF"/>
        </w:rPr>
        <w:t>bDMARDs：生物制剂改善病情抗风湿药（Biological Disease-Modifying Anti-Rheumatic Drugs）</w:t>
      </w:r>
    </w:p>
    <w:p w14:paraId="4F201429">
      <w:pPr>
        <w:pStyle w:val="9"/>
        <w:widowControl/>
        <w:shd w:val="clear" w:color="auto" w:fill="FFFFFF"/>
        <w:spacing w:before="120" w:beforeAutospacing="0" w:after="120" w:afterAutospacing="0" w:line="360" w:lineRule="auto"/>
        <w:ind w:firstLine="480" w:firstLineChars="200"/>
        <w:rPr>
          <w:rFonts w:hint="eastAsia" w:ascii="宋体" w:hAnsi="宋体" w:cs="宋体"/>
          <w:color w:val="0F1115"/>
        </w:rPr>
      </w:pPr>
      <w:r>
        <w:rPr>
          <w:rFonts w:hint="eastAsia" w:ascii="宋体" w:hAnsi="宋体" w:cs="宋体"/>
          <w:color w:val="0F1115"/>
          <w:shd w:val="clear" w:color="auto" w:fill="FFFFFF"/>
        </w:rPr>
        <w:t>CDAI：临床疾病活动指数（Clinical Disease Activity Index）</w:t>
      </w:r>
    </w:p>
    <w:p w14:paraId="32D32901">
      <w:pPr>
        <w:pStyle w:val="9"/>
        <w:widowControl/>
        <w:shd w:val="clear" w:color="auto" w:fill="FFFFFF"/>
        <w:spacing w:before="120" w:beforeAutospacing="0" w:after="120" w:afterAutospacing="0" w:line="360" w:lineRule="auto"/>
        <w:ind w:firstLine="480" w:firstLineChars="200"/>
        <w:rPr>
          <w:rFonts w:hint="eastAsia" w:ascii="宋体" w:hAnsi="宋体" w:cs="宋体"/>
          <w:color w:val="0F1115"/>
        </w:rPr>
      </w:pPr>
      <w:r>
        <w:rPr>
          <w:rFonts w:hint="eastAsia" w:ascii="宋体" w:hAnsi="宋体" w:cs="宋体"/>
          <w:color w:val="0F1115"/>
          <w:shd w:val="clear" w:color="auto" w:fill="FFFFFF"/>
        </w:rPr>
        <w:t>CRP：C反应蛋白（C-Reactive Protein）</w:t>
      </w:r>
    </w:p>
    <w:p w14:paraId="2E854CA8">
      <w:pPr>
        <w:pStyle w:val="9"/>
        <w:widowControl/>
        <w:shd w:val="clear" w:color="auto" w:fill="FFFFFF"/>
        <w:spacing w:before="120" w:beforeAutospacing="0" w:after="120" w:afterAutospacing="0" w:line="360" w:lineRule="auto"/>
        <w:ind w:firstLine="480" w:firstLineChars="200"/>
        <w:rPr>
          <w:rFonts w:hint="eastAsia" w:ascii="宋体" w:hAnsi="宋体" w:cs="宋体"/>
          <w:color w:val="0F1115"/>
        </w:rPr>
      </w:pPr>
      <w:r>
        <w:rPr>
          <w:rFonts w:hint="eastAsia" w:ascii="宋体" w:hAnsi="宋体" w:cs="宋体"/>
          <w:color w:val="0F1115"/>
          <w:shd w:val="clear" w:color="auto" w:fill="FFFFFF"/>
        </w:rPr>
        <w:t>csDMARDs：传统合成改善病情抗风湿药（Conventional Synthetic Disease-Modifying Anti-Rheumatic Drugs）</w:t>
      </w:r>
    </w:p>
    <w:p w14:paraId="2179972B">
      <w:pPr>
        <w:pStyle w:val="9"/>
        <w:widowControl/>
        <w:shd w:val="clear" w:color="auto" w:fill="FFFFFF"/>
        <w:spacing w:before="120" w:beforeAutospacing="0" w:after="120" w:afterAutospacing="0" w:line="360" w:lineRule="auto"/>
        <w:ind w:firstLine="480" w:firstLineChars="200"/>
        <w:rPr>
          <w:rFonts w:hint="eastAsia" w:ascii="宋体" w:hAnsi="宋体" w:cs="宋体"/>
          <w:color w:val="0F1115"/>
        </w:rPr>
      </w:pPr>
      <w:r>
        <w:rPr>
          <w:rFonts w:hint="eastAsia" w:ascii="宋体" w:hAnsi="宋体" w:cs="宋体"/>
          <w:color w:val="0F1115"/>
          <w:shd w:val="clear" w:color="auto" w:fill="FFFFFF"/>
        </w:rPr>
        <w:t>DAS28：28个关节疾病活动评分（Disease Activity Score in 28 Joints）</w:t>
      </w:r>
    </w:p>
    <w:p w14:paraId="2FE8FD22">
      <w:pPr>
        <w:pStyle w:val="9"/>
        <w:widowControl/>
        <w:shd w:val="clear" w:color="auto" w:fill="FFFFFF"/>
        <w:spacing w:before="120" w:beforeAutospacing="0" w:after="120" w:afterAutospacing="0" w:line="360" w:lineRule="auto"/>
        <w:ind w:firstLine="480" w:firstLineChars="200"/>
        <w:rPr>
          <w:rFonts w:hint="eastAsia" w:ascii="宋体" w:hAnsi="宋体" w:cs="宋体"/>
          <w:color w:val="0F1115"/>
        </w:rPr>
      </w:pPr>
      <w:r>
        <w:rPr>
          <w:rFonts w:hint="eastAsia" w:ascii="宋体" w:hAnsi="宋体" w:cs="宋体"/>
          <w:color w:val="0F1115"/>
          <w:shd w:val="clear" w:color="auto" w:fill="FFFFFF"/>
        </w:rPr>
        <w:t>DMARDs：改善病情抗风湿药（Disease-Modifying Anti-Rheumatic Drugs）</w:t>
      </w:r>
    </w:p>
    <w:p w14:paraId="0C62F7FA">
      <w:pPr>
        <w:pStyle w:val="9"/>
        <w:widowControl/>
        <w:shd w:val="clear" w:color="auto" w:fill="FFFFFF"/>
        <w:spacing w:before="120" w:beforeAutospacing="0" w:after="120" w:afterAutospacing="0" w:line="360" w:lineRule="auto"/>
        <w:ind w:firstLine="480" w:firstLineChars="200"/>
        <w:rPr>
          <w:rFonts w:hint="eastAsia" w:ascii="宋体" w:hAnsi="宋体" w:cs="宋体"/>
          <w:color w:val="0F1115"/>
        </w:rPr>
      </w:pPr>
      <w:r>
        <w:rPr>
          <w:rFonts w:hint="eastAsia" w:ascii="宋体" w:hAnsi="宋体" w:cs="宋体"/>
          <w:color w:val="0F1115"/>
          <w:shd w:val="clear" w:color="auto" w:fill="FFFFFF"/>
        </w:rPr>
        <w:t>ESR：红细胞沉降率（Erythrocyte Sedimentation Rate）</w:t>
      </w:r>
    </w:p>
    <w:p w14:paraId="0A1F04DA">
      <w:pPr>
        <w:pStyle w:val="9"/>
        <w:widowControl/>
        <w:shd w:val="clear" w:color="auto" w:fill="FFFFFF"/>
        <w:spacing w:before="120" w:beforeAutospacing="0" w:after="120" w:afterAutospacing="0" w:line="360" w:lineRule="auto"/>
        <w:ind w:firstLine="480" w:firstLineChars="200"/>
        <w:rPr>
          <w:rFonts w:hint="eastAsia" w:ascii="宋体" w:hAnsi="宋体" w:cs="宋体"/>
          <w:color w:val="0F1115"/>
        </w:rPr>
      </w:pPr>
      <w:r>
        <w:rPr>
          <w:rFonts w:hint="eastAsia" w:ascii="宋体" w:hAnsi="宋体" w:cs="宋体"/>
          <w:color w:val="0F1115"/>
          <w:shd w:val="clear" w:color="auto" w:fill="FFFFFF"/>
        </w:rPr>
        <w:t>EULAR：欧洲抗风湿病联盟（European Alliance of Associations for Rheumatology）</w:t>
      </w:r>
    </w:p>
    <w:p w14:paraId="36CEC61F">
      <w:pPr>
        <w:pStyle w:val="9"/>
        <w:widowControl/>
        <w:shd w:val="clear" w:color="auto" w:fill="FFFFFF"/>
        <w:spacing w:before="120" w:beforeAutospacing="0" w:after="120" w:afterAutospacing="0" w:line="360" w:lineRule="auto"/>
        <w:ind w:firstLine="480" w:firstLineChars="200"/>
        <w:rPr>
          <w:rFonts w:hint="eastAsia" w:ascii="宋体" w:hAnsi="宋体" w:cs="宋体"/>
          <w:color w:val="0F1115"/>
        </w:rPr>
      </w:pPr>
      <w:r>
        <w:rPr>
          <w:rFonts w:hint="eastAsia" w:ascii="宋体" w:hAnsi="宋体" w:cs="宋体"/>
          <w:color w:val="0F1115"/>
          <w:shd w:val="clear" w:color="auto" w:fill="FFFFFF"/>
        </w:rPr>
        <w:t>MTX：甲氨蝶呤（Methotrexate）</w:t>
      </w:r>
    </w:p>
    <w:p w14:paraId="4E9F4E67">
      <w:pPr>
        <w:pStyle w:val="9"/>
        <w:widowControl/>
        <w:shd w:val="clear" w:color="auto" w:fill="FFFFFF"/>
        <w:spacing w:before="120" w:beforeAutospacing="0" w:after="120" w:afterAutospacing="0" w:line="360" w:lineRule="auto"/>
        <w:ind w:firstLine="480" w:firstLineChars="200"/>
        <w:rPr>
          <w:rFonts w:hint="eastAsia" w:ascii="宋体" w:hAnsi="宋体" w:cs="宋体"/>
          <w:color w:val="0F1115"/>
        </w:rPr>
      </w:pPr>
      <w:r>
        <w:rPr>
          <w:rFonts w:hint="eastAsia" w:ascii="宋体" w:hAnsi="宋体" w:cs="宋体"/>
          <w:color w:val="0F1115"/>
          <w:shd w:val="clear" w:color="auto" w:fill="FFFFFF"/>
        </w:rPr>
        <w:t>NF-κB：核因子κB（Nuclear Factor Kappa B）</w:t>
      </w:r>
    </w:p>
    <w:p w14:paraId="42614B1A">
      <w:pPr>
        <w:pStyle w:val="9"/>
        <w:widowControl/>
        <w:shd w:val="clear" w:color="auto" w:fill="FFFFFF"/>
        <w:spacing w:before="120" w:beforeAutospacing="0" w:after="120" w:afterAutospacing="0" w:line="360" w:lineRule="auto"/>
        <w:ind w:firstLine="480" w:firstLineChars="200"/>
        <w:rPr>
          <w:rFonts w:hint="eastAsia" w:ascii="宋体" w:hAnsi="宋体" w:cs="宋体"/>
          <w:color w:val="0F1115"/>
        </w:rPr>
      </w:pPr>
      <w:r>
        <w:rPr>
          <w:rFonts w:hint="eastAsia" w:ascii="宋体" w:hAnsi="宋体" w:cs="宋体"/>
          <w:color w:val="0F1115"/>
          <w:shd w:val="clear" w:color="auto" w:fill="FFFFFF"/>
        </w:rPr>
        <w:t>RA：类风湿关节炎（Rheumatoid Arthritis）</w:t>
      </w:r>
    </w:p>
    <w:p w14:paraId="6A9A95C1">
      <w:pPr>
        <w:pStyle w:val="9"/>
        <w:widowControl/>
        <w:shd w:val="clear" w:color="auto" w:fill="FFFFFF"/>
        <w:spacing w:before="120" w:beforeAutospacing="0" w:after="120" w:afterAutospacing="0" w:line="360" w:lineRule="auto"/>
        <w:ind w:firstLine="480" w:firstLineChars="200"/>
        <w:rPr>
          <w:rFonts w:hint="eastAsia" w:ascii="宋体" w:hAnsi="宋体" w:cs="宋体"/>
          <w:color w:val="0F1115"/>
        </w:rPr>
      </w:pPr>
      <w:r>
        <w:rPr>
          <w:rFonts w:hint="eastAsia" w:ascii="宋体" w:hAnsi="宋体" w:cs="宋体"/>
          <w:color w:val="0F1115"/>
          <w:shd w:val="clear" w:color="auto" w:fill="FFFFFF"/>
        </w:rPr>
        <w:t>RF：类风湿因子（Rheumatoid Factor）</w:t>
      </w:r>
    </w:p>
    <w:p w14:paraId="12D06293">
      <w:pPr>
        <w:pStyle w:val="9"/>
        <w:widowControl/>
        <w:shd w:val="clear" w:color="auto" w:fill="FFFFFF"/>
        <w:spacing w:before="120" w:beforeAutospacing="0" w:after="120" w:afterAutospacing="0" w:line="360" w:lineRule="auto"/>
        <w:ind w:firstLine="480" w:firstLineChars="200"/>
        <w:rPr>
          <w:rFonts w:hint="eastAsia" w:ascii="宋体" w:hAnsi="宋体" w:cs="宋体"/>
          <w:color w:val="0F1115"/>
        </w:rPr>
      </w:pPr>
      <w:r>
        <w:rPr>
          <w:rFonts w:hint="eastAsia" w:ascii="宋体" w:hAnsi="宋体" w:cs="宋体"/>
          <w:color w:val="0F1115"/>
          <w:shd w:val="clear" w:color="auto" w:fill="FFFFFF"/>
        </w:rPr>
        <w:t>RORγt：维甲酸相关孤儿受体γt（Retinoic Acid-Related Orphan Receptor Gamma T）</w:t>
      </w:r>
    </w:p>
    <w:p w14:paraId="05F6AB28">
      <w:pPr>
        <w:pStyle w:val="9"/>
        <w:widowControl/>
        <w:shd w:val="clear" w:color="auto" w:fill="FFFFFF"/>
        <w:spacing w:before="120" w:beforeAutospacing="0" w:after="120" w:afterAutospacing="0" w:line="360" w:lineRule="auto"/>
        <w:ind w:firstLine="480" w:firstLineChars="200"/>
        <w:rPr>
          <w:rFonts w:hint="eastAsia" w:ascii="宋体" w:hAnsi="宋体" w:cs="宋体"/>
          <w:color w:val="0F1115"/>
        </w:rPr>
      </w:pPr>
      <w:r>
        <w:rPr>
          <w:rFonts w:hint="eastAsia" w:ascii="宋体" w:hAnsi="宋体" w:cs="宋体"/>
          <w:color w:val="0F1115"/>
          <w:shd w:val="clear" w:color="auto" w:fill="FFFFFF"/>
        </w:rPr>
        <w:t>SDAI：简化疾病活动指数（Simplified Disease Activity Index）</w:t>
      </w:r>
    </w:p>
    <w:p w14:paraId="534CB10C">
      <w:pPr>
        <w:pStyle w:val="9"/>
        <w:widowControl/>
        <w:shd w:val="clear" w:color="auto" w:fill="FFFFFF"/>
        <w:spacing w:before="120" w:beforeAutospacing="0" w:after="120" w:afterAutospacing="0" w:line="360" w:lineRule="auto"/>
        <w:ind w:firstLine="480" w:firstLineChars="200"/>
        <w:rPr>
          <w:rFonts w:hint="eastAsia" w:ascii="宋体" w:hAnsi="宋体" w:cs="宋体"/>
          <w:color w:val="0F1115"/>
        </w:rPr>
      </w:pPr>
      <w:r>
        <w:rPr>
          <w:rFonts w:hint="eastAsia" w:ascii="宋体" w:hAnsi="宋体" w:cs="宋体"/>
          <w:color w:val="0F1115"/>
          <w:shd w:val="clear" w:color="auto" w:fill="FFFFFF"/>
        </w:rPr>
        <w:t>TNF：肿瘤坏死因子（Tumor Necrosis Factor）</w:t>
      </w:r>
    </w:p>
    <w:p w14:paraId="1AABB25C">
      <w:pPr>
        <w:pStyle w:val="9"/>
        <w:widowControl/>
        <w:shd w:val="clear" w:color="auto" w:fill="FFFFFF"/>
        <w:spacing w:before="120" w:beforeAutospacing="0" w:after="120" w:afterAutospacing="0" w:line="360" w:lineRule="auto"/>
        <w:ind w:firstLine="480" w:firstLineChars="200"/>
        <w:rPr>
          <w:rFonts w:hint="eastAsia" w:ascii="宋体" w:hAnsi="宋体" w:cs="宋体"/>
          <w:color w:val="0F1115"/>
        </w:rPr>
      </w:pPr>
      <w:r>
        <w:rPr>
          <w:rFonts w:hint="eastAsia" w:ascii="宋体" w:hAnsi="宋体" w:cs="宋体"/>
          <w:color w:val="0F1115"/>
          <w:shd w:val="clear" w:color="auto" w:fill="FFFFFF"/>
        </w:rPr>
        <w:t>tsDMARDs：靶向合成改善病情抗风湿药（Targeted Synthetic Disease-Modifying Anti-Rheumatic Drugs）</w:t>
      </w:r>
    </w:p>
    <w:p w14:paraId="2820BD03">
      <w:pPr>
        <w:pStyle w:val="2"/>
        <w:keepNext/>
        <w:keepLines/>
        <w:spacing w:before="10" w:beforeAutospacing="0" w:after="10" w:afterAutospacing="0" w:line="360" w:lineRule="auto"/>
        <w:rPr>
          <w:rFonts w:eastAsia="黑体" w:cs="宋体"/>
          <w:color w:val="0F1115"/>
          <w:sz w:val="24"/>
          <w:szCs w:val="24"/>
        </w:rPr>
      </w:pPr>
      <w:r>
        <w:rPr>
          <w:rFonts w:cs="宋体"/>
          <w:sz w:val="24"/>
          <w:szCs w:val="24"/>
        </w:rPr>
        <w:br w:type="page"/>
      </w:r>
      <w:r>
        <w:rPr>
          <w:rFonts w:ascii="黑体" w:hAnsi="黑体" w:eastAsia="黑体" w:cs="黑体"/>
          <w:bCs w:val="0"/>
          <w:sz w:val="30"/>
          <w:szCs w:val="30"/>
        </w:rPr>
        <w:t>5 总则</w:t>
      </w:r>
    </w:p>
    <w:p w14:paraId="076E3885">
      <w:pPr>
        <w:pStyle w:val="2"/>
        <w:keepNext/>
        <w:keepLines/>
        <w:spacing w:before="10" w:beforeAutospacing="0" w:after="10" w:afterAutospacing="0" w:line="360" w:lineRule="auto"/>
        <w:ind w:firstLine="480" w:firstLineChars="200"/>
        <w:rPr>
          <w:rFonts w:cs="宋体"/>
          <w:b w:val="0"/>
          <w:bCs w:val="0"/>
          <w:color w:val="0F1115"/>
          <w:kern w:val="0"/>
          <w:sz w:val="24"/>
          <w:szCs w:val="24"/>
          <w:shd w:val="clear" w:color="auto" w:fill="FFFFFF"/>
          <w:lang w:bidi="ar"/>
        </w:rPr>
      </w:pPr>
      <w:r>
        <w:rPr>
          <w:rFonts w:cs="宋体"/>
          <w:b w:val="0"/>
          <w:bCs w:val="0"/>
          <w:color w:val="0F1115"/>
          <w:kern w:val="0"/>
          <w:sz w:val="24"/>
          <w:szCs w:val="24"/>
          <w:shd w:val="clear" w:color="auto" w:fill="FFFFFF"/>
          <w:lang w:bidi="ar"/>
        </w:rPr>
        <w:t>5.1 基本原则</w:t>
      </w:r>
    </w:p>
    <w:p w14:paraId="2AB212FE">
      <w:pPr>
        <w:pStyle w:val="2"/>
        <w:keepNext/>
        <w:keepLines/>
        <w:spacing w:before="10" w:beforeAutospacing="0" w:after="10" w:afterAutospacing="0" w:line="360" w:lineRule="auto"/>
        <w:ind w:firstLine="480" w:firstLineChars="200"/>
        <w:rPr>
          <w:rFonts w:cs="宋体"/>
          <w:b w:val="0"/>
          <w:bCs w:val="0"/>
          <w:color w:val="0F1115"/>
          <w:kern w:val="0"/>
          <w:sz w:val="24"/>
          <w:szCs w:val="24"/>
          <w:shd w:val="clear" w:color="auto" w:fill="FFFFFF"/>
          <w:lang w:bidi="ar"/>
        </w:rPr>
      </w:pPr>
      <w:r>
        <w:rPr>
          <w:rFonts w:cs="宋体"/>
          <w:b w:val="0"/>
          <w:bCs w:val="0"/>
          <w:color w:val="0F1115"/>
          <w:kern w:val="0"/>
          <w:sz w:val="24"/>
          <w:szCs w:val="24"/>
          <w:shd w:val="clear" w:color="auto" w:fill="FFFFFF"/>
          <w:lang w:bidi="ar"/>
        </w:rPr>
        <w:t>RA的诊疗应遵循早期诊断、早期治疗、达标治疗和个体化原则。中西医结合治疗可发挥各自优势，提高临床疗效。</w:t>
      </w:r>
    </w:p>
    <w:p w14:paraId="40C83CF5">
      <w:pPr>
        <w:pStyle w:val="2"/>
        <w:keepNext/>
        <w:keepLines/>
        <w:spacing w:before="10" w:beforeAutospacing="0" w:after="10" w:afterAutospacing="0" w:line="360" w:lineRule="auto"/>
        <w:ind w:firstLine="480" w:firstLineChars="200"/>
        <w:rPr>
          <w:rFonts w:cs="宋体"/>
          <w:b w:val="0"/>
          <w:bCs w:val="0"/>
          <w:color w:val="0F1115"/>
          <w:kern w:val="0"/>
          <w:sz w:val="24"/>
          <w:szCs w:val="24"/>
          <w:shd w:val="clear" w:color="auto" w:fill="FFFFFF"/>
          <w:lang w:bidi="ar"/>
        </w:rPr>
      </w:pPr>
      <w:r>
        <w:rPr>
          <w:rFonts w:cs="宋体"/>
          <w:b w:val="0"/>
          <w:bCs w:val="0"/>
          <w:color w:val="0F1115"/>
          <w:kern w:val="0"/>
          <w:sz w:val="24"/>
          <w:szCs w:val="24"/>
          <w:shd w:val="clear" w:color="auto" w:fill="FFFFFF"/>
          <w:lang w:bidi="ar"/>
        </w:rPr>
        <w:t>5.2 治疗目标</w:t>
      </w:r>
    </w:p>
    <w:p w14:paraId="48C5A31F">
      <w:pPr>
        <w:pStyle w:val="2"/>
        <w:keepNext/>
        <w:keepLines/>
        <w:spacing w:before="10" w:beforeAutospacing="0" w:after="10" w:afterAutospacing="0" w:line="360" w:lineRule="auto"/>
        <w:ind w:firstLine="480" w:firstLineChars="200"/>
        <w:rPr>
          <w:rFonts w:cs="宋体"/>
          <w:b w:val="0"/>
          <w:bCs w:val="0"/>
          <w:color w:val="0F1115"/>
          <w:kern w:val="0"/>
          <w:sz w:val="24"/>
          <w:szCs w:val="24"/>
          <w:shd w:val="clear" w:color="auto" w:fill="FFFFFF"/>
          <w:lang w:bidi="ar"/>
        </w:rPr>
      </w:pPr>
      <w:r>
        <w:rPr>
          <w:rFonts w:cs="宋体"/>
          <w:b w:val="0"/>
          <w:bCs w:val="0"/>
          <w:color w:val="0F1115"/>
          <w:kern w:val="0"/>
          <w:sz w:val="24"/>
          <w:szCs w:val="24"/>
          <w:shd w:val="clear" w:color="auto" w:fill="FFFFFF"/>
          <w:lang w:bidi="ar"/>
        </w:rPr>
        <w:t>治疗目标是达到临床缓解或低疾病活动度，减少关节结构破坏，保护关节功能，提高生活质量。</w:t>
      </w:r>
    </w:p>
    <w:p w14:paraId="14674CA3">
      <w:pPr>
        <w:pStyle w:val="2"/>
        <w:keepNext/>
        <w:keepLines/>
        <w:spacing w:before="10" w:beforeAutospacing="0" w:after="10" w:afterAutospacing="0" w:line="360" w:lineRule="auto"/>
        <w:ind w:firstLine="480" w:firstLineChars="200"/>
        <w:rPr>
          <w:rFonts w:cs="宋体"/>
          <w:b w:val="0"/>
          <w:bCs w:val="0"/>
          <w:color w:val="0F1115"/>
          <w:kern w:val="0"/>
          <w:sz w:val="24"/>
          <w:szCs w:val="24"/>
          <w:shd w:val="clear" w:color="auto" w:fill="FFFFFF"/>
          <w:lang w:bidi="ar"/>
        </w:rPr>
      </w:pPr>
      <w:r>
        <w:rPr>
          <w:rFonts w:cs="宋体"/>
          <w:b w:val="0"/>
          <w:bCs w:val="0"/>
          <w:color w:val="0F1115"/>
          <w:kern w:val="0"/>
          <w:sz w:val="24"/>
          <w:szCs w:val="24"/>
          <w:shd w:val="clear" w:color="auto" w:fill="FFFFFF"/>
          <w:lang w:bidi="ar"/>
        </w:rPr>
        <w:t>5.3 分期论治策略</w:t>
      </w:r>
    </w:p>
    <w:p w14:paraId="7AF2D2B7">
      <w:pPr>
        <w:pStyle w:val="2"/>
        <w:keepNext/>
        <w:keepLines/>
        <w:spacing w:before="10" w:beforeAutospacing="0" w:after="10" w:afterAutospacing="0" w:line="360" w:lineRule="auto"/>
        <w:ind w:firstLine="480" w:firstLineChars="200"/>
        <w:rPr>
          <w:rFonts w:cs="宋体"/>
          <w:b w:val="0"/>
          <w:bCs w:val="0"/>
          <w:color w:val="0F1115"/>
          <w:kern w:val="0"/>
          <w:sz w:val="24"/>
          <w:szCs w:val="24"/>
          <w:shd w:val="clear" w:color="auto" w:fill="FFFFFF"/>
          <w:lang w:bidi="ar"/>
        </w:rPr>
      </w:pPr>
      <w:r>
        <w:rPr>
          <w:rFonts w:cs="宋体"/>
          <w:b w:val="0"/>
          <w:bCs w:val="0"/>
          <w:color w:val="0F1115"/>
          <w:kern w:val="0"/>
          <w:sz w:val="24"/>
          <w:szCs w:val="24"/>
          <w:shd w:val="clear" w:color="auto" w:fill="FFFFFF"/>
          <w:lang w:bidi="ar"/>
        </w:rPr>
        <w:t>根据疾病活动度分期治疗：活动期以控制炎症、缓解症状为主；缓解期以巩固疗效、防止复发、保护功能为主。</w:t>
      </w:r>
    </w:p>
    <w:p w14:paraId="1DAA9385">
      <w:pPr>
        <w:pStyle w:val="2"/>
        <w:keepNext/>
        <w:keepLines/>
        <w:spacing w:before="10" w:beforeAutospacing="0" w:after="10" w:afterAutospacing="0" w:line="360" w:lineRule="auto"/>
        <w:ind w:firstLine="480" w:firstLineChars="200"/>
        <w:rPr>
          <w:rFonts w:cs="宋体"/>
          <w:b w:val="0"/>
          <w:bCs w:val="0"/>
          <w:color w:val="0F1115"/>
          <w:kern w:val="0"/>
          <w:sz w:val="24"/>
          <w:szCs w:val="24"/>
          <w:shd w:val="clear" w:color="auto" w:fill="FFFFFF"/>
          <w:lang w:bidi="ar"/>
        </w:rPr>
      </w:pPr>
      <w:r>
        <w:rPr>
          <w:rFonts w:cs="宋体"/>
          <w:b w:val="0"/>
          <w:bCs w:val="0"/>
          <w:color w:val="0F1115"/>
          <w:kern w:val="0"/>
          <w:sz w:val="24"/>
          <w:szCs w:val="24"/>
          <w:shd w:val="clear" w:color="auto" w:fill="FFFFFF"/>
          <w:lang w:bidi="ar"/>
        </w:rPr>
        <w:t>5.4 辨病与辨证结合模式</w:t>
      </w:r>
    </w:p>
    <w:p w14:paraId="0F0D0D39">
      <w:pPr>
        <w:pStyle w:val="2"/>
        <w:keepNext/>
        <w:keepLines/>
        <w:spacing w:before="10" w:beforeAutospacing="0" w:after="10" w:afterAutospacing="0" w:line="360" w:lineRule="auto"/>
        <w:rPr>
          <w:rFonts w:cs="宋体"/>
          <w:b w:val="0"/>
          <w:bCs w:val="0"/>
          <w:color w:val="0F1115"/>
          <w:kern w:val="0"/>
          <w:sz w:val="24"/>
          <w:szCs w:val="24"/>
          <w:shd w:val="clear" w:color="auto" w:fill="FFFFFF"/>
          <w:lang w:bidi="ar"/>
        </w:rPr>
      </w:pPr>
      <w:r>
        <w:rPr>
          <w:rFonts w:cs="宋体"/>
          <w:b w:val="0"/>
          <w:bCs w:val="0"/>
          <w:color w:val="0F1115"/>
          <w:kern w:val="0"/>
          <w:sz w:val="24"/>
          <w:szCs w:val="24"/>
          <w:shd w:val="clear" w:color="auto" w:fill="FFFFFF"/>
          <w:lang w:bidi="ar"/>
        </w:rPr>
        <w:t>采用辨病与辨证相结合的模式：西医明确诊断、评估病情、制定基础治疗方案；中医辨证论治、整体调节，协同增效减毒。</w:t>
      </w:r>
    </w:p>
    <w:p w14:paraId="55A73FFE">
      <w:pPr>
        <w:pStyle w:val="2"/>
        <w:keepNext/>
        <w:keepLines/>
        <w:spacing w:before="10" w:beforeAutospacing="0" w:after="10" w:afterAutospacing="0" w:line="360" w:lineRule="auto"/>
        <w:rPr>
          <w:rFonts w:hint="default" w:eastAsia="黑体" w:cs="宋体"/>
          <w:color w:val="FF0000"/>
          <w:sz w:val="24"/>
          <w:szCs w:val="24"/>
        </w:rPr>
      </w:pPr>
      <w:r>
        <w:rPr>
          <w:rFonts w:ascii="黑体" w:hAnsi="黑体" w:eastAsia="黑体" w:cs="黑体"/>
          <w:bCs w:val="0"/>
          <w:sz w:val="30"/>
          <w:szCs w:val="30"/>
        </w:rPr>
        <w:t>6 临床症状</w:t>
      </w:r>
    </w:p>
    <w:p w14:paraId="63D1B4D2">
      <w:pPr>
        <w:pStyle w:val="9"/>
        <w:widowControl/>
        <w:shd w:val="clear" w:color="auto" w:fill="FFFFFF"/>
        <w:spacing w:before="120" w:beforeAutospacing="0" w:after="120" w:afterAutospacing="0" w:line="360" w:lineRule="auto"/>
        <w:ind w:firstLine="482" w:firstLineChars="200"/>
        <w:rPr>
          <w:rFonts w:hint="eastAsia" w:ascii="宋体" w:hAnsi="宋体" w:cs="宋体"/>
          <w:color w:val="0F1115"/>
        </w:rPr>
      </w:pPr>
      <w:r>
        <w:rPr>
          <w:rStyle w:val="12"/>
          <w:rFonts w:hint="eastAsia" w:ascii="宋体" w:hAnsi="宋体" w:cs="宋体"/>
          <w:bCs/>
          <w:color w:val="0F1115"/>
          <w:shd w:val="clear" w:color="auto" w:fill="FFFFFF"/>
        </w:rPr>
        <w:t>6.1  关节表现</w:t>
      </w:r>
    </w:p>
    <w:p w14:paraId="63AB3B53">
      <w:pPr>
        <w:pStyle w:val="9"/>
        <w:widowControl/>
        <w:shd w:val="clear" w:color="auto" w:fill="FFFFFF"/>
        <w:spacing w:before="120" w:beforeAutospacing="0" w:after="120" w:afterAutospacing="0" w:line="360" w:lineRule="auto"/>
        <w:ind w:firstLine="480" w:firstLineChars="200"/>
        <w:rPr>
          <w:rFonts w:hint="eastAsia" w:ascii="宋体" w:hAnsi="宋体" w:cs="宋体"/>
          <w:color w:val="0F1115"/>
          <w:shd w:val="clear" w:color="auto" w:fill="FFFFFF"/>
        </w:rPr>
      </w:pPr>
      <w:r>
        <w:rPr>
          <w:rFonts w:hint="eastAsia" w:ascii="宋体" w:hAnsi="宋体" w:cs="宋体"/>
          <w:color w:val="0F1115"/>
          <w:shd w:val="clear" w:color="auto" w:fill="FFFFFF"/>
        </w:rPr>
        <w:t>RA典型表现为对称性多关节炎，主要累及手足小关节，也可累及腕、肘、肩、膝、踝等大关节。手部关节受累最具特征性，包括掌指关节、近端指间关节和腕关节，可出现梭形肿胀、尺侧偏斜、天鹅颈畸形、纽扣花畸形等。晨僵是重要的临床特征，常持续1小时以上。颈椎受累可出现寰枢关节半脱位，严重者可压迫脊髓。</w:t>
      </w:r>
    </w:p>
    <w:p w14:paraId="0E8AE8EB">
      <w:pPr>
        <w:pStyle w:val="9"/>
        <w:widowControl/>
        <w:shd w:val="clear" w:color="auto" w:fill="FFFFFF"/>
        <w:spacing w:before="120" w:beforeAutospacing="0" w:after="120" w:afterAutospacing="0" w:line="360" w:lineRule="auto"/>
        <w:ind w:firstLine="482" w:firstLineChars="200"/>
        <w:rPr>
          <w:rFonts w:hint="eastAsia" w:ascii="宋体" w:hAnsi="宋体" w:cs="宋体"/>
          <w:color w:val="0F1115"/>
        </w:rPr>
      </w:pPr>
      <w:r>
        <w:rPr>
          <w:rStyle w:val="12"/>
          <w:rFonts w:hint="eastAsia" w:ascii="宋体" w:hAnsi="宋体" w:cs="宋体"/>
          <w:bCs/>
          <w:color w:val="0F1115"/>
          <w:shd w:val="clear" w:color="auto" w:fill="FFFFFF"/>
        </w:rPr>
        <w:t>6.2 关节外表现</w:t>
      </w:r>
    </w:p>
    <w:p w14:paraId="7B7877B7">
      <w:pPr>
        <w:pStyle w:val="9"/>
        <w:widowControl/>
        <w:shd w:val="clear" w:color="auto" w:fill="FFFFFF"/>
        <w:spacing w:before="120" w:beforeAutospacing="0" w:after="120" w:afterAutospacing="0" w:line="360" w:lineRule="auto"/>
        <w:ind w:firstLine="480" w:firstLineChars="200"/>
        <w:rPr>
          <w:rFonts w:hint="eastAsia" w:ascii="宋体" w:hAnsi="宋体" w:cs="宋体"/>
          <w:color w:val="0F1115"/>
          <w:shd w:val="clear" w:color="auto" w:fill="FFFFFF"/>
        </w:rPr>
      </w:pPr>
      <w:r>
        <w:rPr>
          <w:rFonts w:hint="eastAsia" w:ascii="宋体" w:hAnsi="宋体" w:cs="宋体"/>
          <w:color w:val="0F1115"/>
          <w:shd w:val="clear" w:color="auto" w:fill="FFFFFF"/>
        </w:rPr>
        <w:t>RA的关节外表现反映了疾病的全身性自身免疫病本质，出现关节外表现常提示疾病预后不良。</w:t>
      </w:r>
    </w:p>
    <w:p w14:paraId="74EF18C2">
      <w:pPr>
        <w:pStyle w:val="9"/>
        <w:widowControl/>
        <w:shd w:val="clear" w:color="auto" w:fill="FFFFFF"/>
        <w:spacing w:before="120" w:beforeAutospacing="0" w:after="120" w:afterAutospacing="0" w:line="360" w:lineRule="auto"/>
        <w:ind w:firstLine="482" w:firstLineChars="200"/>
        <w:rPr>
          <w:rFonts w:hint="eastAsia" w:ascii="宋体" w:hAnsi="宋体" w:cs="宋体"/>
          <w:color w:val="0F1115"/>
        </w:rPr>
      </w:pPr>
      <w:r>
        <w:rPr>
          <w:rStyle w:val="12"/>
          <w:rFonts w:hint="eastAsia" w:ascii="宋体" w:hAnsi="宋体" w:cs="宋体"/>
          <w:bCs/>
          <w:color w:val="0F1115"/>
          <w:shd w:val="clear" w:color="auto" w:fill="FFFFFF"/>
        </w:rPr>
        <w:t>a) 类风湿结节</w:t>
      </w:r>
    </w:p>
    <w:p w14:paraId="43D91B23">
      <w:pPr>
        <w:pStyle w:val="9"/>
        <w:widowControl/>
        <w:shd w:val="clear" w:color="auto" w:fill="FFFFFF"/>
        <w:spacing w:before="120" w:beforeAutospacing="0" w:after="120" w:afterAutospacing="0" w:line="360" w:lineRule="auto"/>
        <w:ind w:firstLine="480" w:firstLineChars="200"/>
        <w:rPr>
          <w:rFonts w:hint="eastAsia" w:ascii="宋体" w:hAnsi="宋体" w:cs="宋体"/>
          <w:color w:val="0F1115"/>
          <w:shd w:val="clear" w:color="auto" w:fill="FFFFFF"/>
        </w:rPr>
      </w:pPr>
      <w:r>
        <w:rPr>
          <w:rFonts w:hint="eastAsia" w:ascii="宋体" w:hAnsi="宋体" w:cs="宋体"/>
          <w:color w:val="0F1115"/>
          <w:shd w:val="clear" w:color="auto" w:fill="FFFFFF"/>
        </w:rPr>
        <w:t>类风湿结节见于约20%～30%的患者，多位于关节伸侧受压部位，质硬无压痛，常提示疾病活动度高。</w:t>
      </w:r>
    </w:p>
    <w:p w14:paraId="1074636B">
      <w:pPr>
        <w:pStyle w:val="9"/>
        <w:widowControl/>
        <w:shd w:val="clear" w:color="auto" w:fill="FFFFFF"/>
        <w:spacing w:before="120" w:beforeAutospacing="0" w:after="120" w:afterAutospacing="0" w:line="360" w:lineRule="auto"/>
        <w:ind w:firstLine="482" w:firstLineChars="200"/>
        <w:rPr>
          <w:rFonts w:hint="eastAsia" w:ascii="宋体" w:hAnsi="宋体" w:cs="宋体"/>
          <w:color w:val="0F1115"/>
        </w:rPr>
      </w:pPr>
      <w:r>
        <w:rPr>
          <w:rStyle w:val="12"/>
          <w:rFonts w:hint="eastAsia" w:ascii="宋体" w:hAnsi="宋体" w:cs="宋体"/>
          <w:bCs/>
          <w:color w:val="0F1115"/>
          <w:shd w:val="clear" w:color="auto" w:fill="FFFFFF"/>
        </w:rPr>
        <w:t>b) 类风湿血管炎</w:t>
      </w:r>
    </w:p>
    <w:p w14:paraId="44618D86">
      <w:pPr>
        <w:pStyle w:val="9"/>
        <w:widowControl/>
        <w:shd w:val="clear" w:color="auto" w:fill="FFFFFF"/>
        <w:spacing w:before="120" w:beforeAutospacing="0" w:after="120" w:afterAutospacing="0" w:line="360" w:lineRule="auto"/>
        <w:ind w:firstLine="480" w:firstLineChars="200"/>
        <w:rPr>
          <w:rFonts w:hint="eastAsia" w:ascii="宋体" w:hAnsi="宋体" w:cs="宋体"/>
          <w:color w:val="0F1115"/>
          <w:shd w:val="clear" w:color="auto" w:fill="FFFFFF"/>
        </w:rPr>
      </w:pPr>
      <w:r>
        <w:rPr>
          <w:rFonts w:hint="eastAsia" w:ascii="宋体" w:hAnsi="宋体" w:cs="宋体"/>
          <w:color w:val="0F1115"/>
          <w:shd w:val="clear" w:color="auto" w:fill="FFFFFF"/>
        </w:rPr>
        <w:t>类风湿血管炎少见但严重，可累及皮肤、神经、内脏等，多见于长期RF高滴度阳性患者。</w:t>
      </w:r>
    </w:p>
    <w:p w14:paraId="6425AF40">
      <w:pPr>
        <w:pStyle w:val="9"/>
        <w:widowControl/>
        <w:shd w:val="clear" w:color="auto" w:fill="FFFFFF"/>
        <w:spacing w:before="120" w:beforeAutospacing="0" w:after="120" w:afterAutospacing="0" w:line="360" w:lineRule="auto"/>
        <w:ind w:firstLine="482" w:firstLineChars="200"/>
        <w:rPr>
          <w:rFonts w:hint="eastAsia" w:ascii="宋体" w:hAnsi="宋体" w:cs="宋体"/>
          <w:color w:val="0F1115"/>
        </w:rPr>
      </w:pPr>
      <w:r>
        <w:rPr>
          <w:rStyle w:val="12"/>
          <w:rFonts w:hint="eastAsia" w:ascii="宋体" w:hAnsi="宋体" w:cs="宋体"/>
          <w:bCs/>
          <w:color w:val="0F1115"/>
          <w:shd w:val="clear" w:color="auto" w:fill="FFFFFF"/>
        </w:rPr>
        <w:t>c) 心脏损害</w:t>
      </w:r>
    </w:p>
    <w:p w14:paraId="5273A56F">
      <w:pPr>
        <w:pStyle w:val="9"/>
        <w:widowControl/>
        <w:shd w:val="clear" w:color="auto" w:fill="FFFFFF"/>
        <w:spacing w:before="120" w:beforeAutospacing="0" w:after="120" w:afterAutospacing="0" w:line="360" w:lineRule="auto"/>
        <w:ind w:firstLine="482" w:firstLineChars="200"/>
        <w:rPr>
          <w:rFonts w:hint="eastAsia" w:ascii="宋体" w:hAnsi="宋体" w:cs="宋体"/>
          <w:color w:val="0F1115"/>
        </w:rPr>
      </w:pPr>
      <w:r>
        <w:rPr>
          <w:rStyle w:val="12"/>
          <w:rFonts w:hint="eastAsia" w:ascii="宋体" w:hAnsi="宋体" w:cs="宋体"/>
          <w:bCs/>
          <w:color w:val="0F1115"/>
          <w:shd w:val="clear" w:color="auto" w:fill="FFFFFF"/>
        </w:rPr>
        <w:t>d) 肺部损害</w:t>
      </w:r>
    </w:p>
    <w:p w14:paraId="29106CA4">
      <w:pPr>
        <w:pStyle w:val="9"/>
        <w:widowControl/>
        <w:shd w:val="clear" w:color="auto" w:fill="FFFFFF"/>
        <w:spacing w:before="120" w:beforeAutospacing="0" w:after="120" w:afterAutospacing="0" w:line="360" w:lineRule="auto"/>
        <w:ind w:firstLine="482" w:firstLineChars="200"/>
        <w:rPr>
          <w:rFonts w:hint="eastAsia" w:ascii="宋体" w:hAnsi="宋体" w:cs="宋体"/>
          <w:color w:val="0F1115"/>
        </w:rPr>
      </w:pPr>
      <w:r>
        <w:rPr>
          <w:rStyle w:val="12"/>
          <w:rFonts w:hint="eastAsia" w:ascii="宋体" w:hAnsi="宋体" w:cs="宋体"/>
          <w:bCs/>
          <w:color w:val="0F1115"/>
          <w:shd w:val="clear" w:color="auto" w:fill="FFFFFF"/>
        </w:rPr>
        <w:t>e) 其他系统表现</w:t>
      </w:r>
    </w:p>
    <w:p w14:paraId="7428B609">
      <w:pPr>
        <w:pStyle w:val="9"/>
        <w:widowControl/>
        <w:shd w:val="clear" w:color="auto" w:fill="FFFFFF"/>
        <w:spacing w:before="120" w:beforeAutospacing="0" w:after="120" w:afterAutospacing="0" w:line="360" w:lineRule="auto"/>
        <w:ind w:firstLine="480" w:firstLineChars="200"/>
        <w:rPr>
          <w:rFonts w:hint="eastAsia" w:ascii="宋体" w:hAnsi="宋体" w:cs="宋体"/>
          <w:color w:val="0F1115"/>
          <w:shd w:val="clear" w:color="auto" w:fill="FFFFFF"/>
        </w:rPr>
      </w:pPr>
      <w:r>
        <w:rPr>
          <w:rFonts w:hint="eastAsia" w:ascii="宋体" w:hAnsi="宋体" w:cs="宋体"/>
          <w:color w:val="0F1115"/>
          <w:shd w:val="clear" w:color="auto" w:fill="FFFFFF"/>
        </w:rPr>
        <w:t>其他系统受累包括：眼部（巩膜炎、干燥性角结膜炎）、血液系统（贫血、Felty综合征）、肾脏（继发性淀粉样变）、神经系统（腕管综合征）等。</w:t>
      </w:r>
    </w:p>
    <w:p w14:paraId="020B36D4">
      <w:pPr>
        <w:pStyle w:val="9"/>
        <w:widowControl/>
        <w:shd w:val="clear" w:color="auto" w:fill="FFFFFF"/>
        <w:spacing w:before="120" w:beforeAutospacing="0" w:after="120" w:afterAutospacing="0" w:line="360" w:lineRule="auto"/>
        <w:ind w:firstLine="480" w:firstLineChars="200"/>
        <w:rPr>
          <w:rFonts w:hint="eastAsia" w:ascii="宋体" w:hAnsi="宋体" w:cs="宋体"/>
          <w:color w:val="0F1115"/>
        </w:rPr>
      </w:pPr>
      <w:r>
        <w:rPr>
          <w:rFonts w:hint="eastAsia" w:ascii="宋体" w:hAnsi="宋体" w:cs="宋体"/>
          <w:color w:val="0F1115"/>
          <w:shd w:val="clear" w:color="auto" w:fill="FFFFFF"/>
        </w:rPr>
        <w:t>6.3</w:t>
      </w:r>
      <w:r>
        <w:rPr>
          <w:rStyle w:val="12"/>
          <w:rFonts w:hint="eastAsia" w:ascii="宋体" w:hAnsi="宋体" w:cs="宋体"/>
          <w:bCs/>
          <w:color w:val="0F1115"/>
          <w:shd w:val="clear" w:color="auto" w:fill="FFFFFF"/>
        </w:rPr>
        <w:t>中医辨证</w:t>
      </w:r>
    </w:p>
    <w:p w14:paraId="08D0803D">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2" w:firstLineChars="200"/>
        <w:textAlignment w:val="auto"/>
        <w:rPr>
          <w:rFonts w:hint="eastAsia" w:ascii="宋体" w:hAnsi="宋体" w:eastAsia="宋体" w:cs="宋体"/>
          <w:i w:val="0"/>
          <w:iCs w:val="0"/>
          <w:caps w:val="0"/>
          <w:color w:val="0F1115"/>
          <w:spacing w:val="0"/>
          <w:sz w:val="24"/>
          <w:szCs w:val="24"/>
        </w:rPr>
      </w:pPr>
      <w:r>
        <w:rPr>
          <w:rStyle w:val="12"/>
          <w:rFonts w:hint="eastAsia" w:ascii="宋体" w:hAnsi="宋体" w:eastAsia="宋体" w:cs="宋体"/>
          <w:b/>
          <w:bCs/>
          <w:i w:val="0"/>
          <w:iCs w:val="0"/>
          <w:caps w:val="0"/>
          <w:color w:val="0F1115"/>
          <w:spacing w:val="0"/>
          <w:sz w:val="24"/>
          <w:szCs w:val="24"/>
          <w:shd w:val="clear" w:color="auto" w:fill="FFFFFF"/>
        </w:rPr>
        <w:t>6.3.1湿热蕴结证</w:t>
      </w:r>
    </w:p>
    <w:p w14:paraId="2FC68E57">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0" w:firstLineChars="200"/>
        <w:textAlignment w:val="auto"/>
        <w:rPr>
          <w:rFonts w:hint="eastAsia" w:ascii="宋体" w:hAnsi="宋体" w:eastAsia="宋体" w:cs="宋体"/>
          <w:i w:val="0"/>
          <w:iCs w:val="0"/>
          <w:caps w:val="0"/>
          <w:color w:val="0F1115"/>
          <w:spacing w:val="0"/>
          <w:sz w:val="24"/>
          <w:szCs w:val="24"/>
        </w:rPr>
      </w:pPr>
      <w:r>
        <w:rPr>
          <w:rFonts w:hint="eastAsia" w:ascii="宋体" w:hAnsi="宋体" w:eastAsia="宋体" w:cs="宋体"/>
          <w:i w:val="0"/>
          <w:iCs w:val="0"/>
          <w:caps w:val="0"/>
          <w:color w:val="0F1115"/>
          <w:spacing w:val="0"/>
          <w:sz w:val="24"/>
          <w:szCs w:val="24"/>
          <w:shd w:val="clear" w:color="auto" w:fill="FFFFFF"/>
        </w:rPr>
        <w:t>主症：关节红、肿、热、痛、重着，触之灼热，活动受限；关节积液肿胀。</w:t>
      </w:r>
    </w:p>
    <w:p w14:paraId="66FBF1E3">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0" w:firstLineChars="200"/>
        <w:textAlignment w:val="auto"/>
        <w:rPr>
          <w:rFonts w:hint="eastAsia" w:ascii="宋体" w:hAnsi="宋体" w:eastAsia="宋体" w:cs="宋体"/>
          <w:i w:val="0"/>
          <w:iCs w:val="0"/>
          <w:caps w:val="0"/>
          <w:color w:val="0F1115"/>
          <w:spacing w:val="0"/>
          <w:sz w:val="24"/>
          <w:szCs w:val="24"/>
        </w:rPr>
      </w:pPr>
      <w:r>
        <w:rPr>
          <w:rFonts w:hint="eastAsia" w:ascii="宋体" w:hAnsi="宋体" w:eastAsia="宋体" w:cs="宋体"/>
          <w:i w:val="0"/>
          <w:iCs w:val="0"/>
          <w:caps w:val="0"/>
          <w:color w:val="0F1115"/>
          <w:spacing w:val="0"/>
          <w:sz w:val="24"/>
          <w:szCs w:val="24"/>
          <w:shd w:val="clear" w:color="auto" w:fill="FFFFFF"/>
        </w:rPr>
        <w:t>次症：发热；口渴、口苦口粘、不欲饮；烦闷不安；小便黄赤；大便干结或黏滞不爽。</w:t>
      </w:r>
    </w:p>
    <w:p w14:paraId="09E9D925">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0" w:firstLineChars="200"/>
        <w:textAlignment w:val="auto"/>
        <w:rPr>
          <w:rFonts w:hint="eastAsia" w:ascii="宋体" w:hAnsi="宋体" w:eastAsia="宋体" w:cs="宋体"/>
          <w:i w:val="0"/>
          <w:iCs w:val="0"/>
          <w:caps w:val="0"/>
          <w:color w:val="0F1115"/>
          <w:spacing w:val="0"/>
          <w:sz w:val="24"/>
          <w:szCs w:val="24"/>
        </w:rPr>
      </w:pPr>
      <w:r>
        <w:rPr>
          <w:rFonts w:hint="eastAsia" w:ascii="宋体" w:hAnsi="宋体" w:eastAsia="宋体" w:cs="宋体"/>
          <w:i w:val="0"/>
          <w:iCs w:val="0"/>
          <w:caps w:val="0"/>
          <w:color w:val="0F1115"/>
          <w:spacing w:val="0"/>
          <w:sz w:val="24"/>
          <w:szCs w:val="24"/>
          <w:shd w:val="clear" w:color="auto" w:fill="FFFFFF"/>
        </w:rPr>
        <w:t>舌脉：舌质红，苔黄厚腻；脉滑数或濡数。</w:t>
      </w:r>
    </w:p>
    <w:p w14:paraId="5B568CD3">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2" w:firstLineChars="200"/>
        <w:textAlignment w:val="auto"/>
        <w:rPr>
          <w:rFonts w:hint="eastAsia" w:ascii="宋体" w:hAnsi="宋体" w:eastAsia="宋体" w:cs="宋体"/>
          <w:i w:val="0"/>
          <w:iCs w:val="0"/>
          <w:caps w:val="0"/>
          <w:color w:val="0F1115"/>
          <w:spacing w:val="0"/>
          <w:sz w:val="24"/>
          <w:szCs w:val="24"/>
        </w:rPr>
      </w:pPr>
      <w:r>
        <w:rPr>
          <w:rStyle w:val="12"/>
          <w:rFonts w:hint="eastAsia" w:ascii="宋体" w:hAnsi="宋体" w:eastAsia="宋体" w:cs="宋体"/>
          <w:b/>
          <w:bCs/>
          <w:i w:val="0"/>
          <w:iCs w:val="0"/>
          <w:caps w:val="0"/>
          <w:color w:val="0F1115"/>
          <w:spacing w:val="0"/>
          <w:sz w:val="24"/>
          <w:szCs w:val="24"/>
          <w:shd w:val="clear" w:color="auto" w:fill="FFFFFF"/>
        </w:rPr>
        <w:t>6.3.2 寒湿阻络证</w:t>
      </w:r>
    </w:p>
    <w:p w14:paraId="3CFC996A">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0" w:firstLineChars="200"/>
        <w:textAlignment w:val="auto"/>
        <w:rPr>
          <w:rFonts w:hint="eastAsia" w:ascii="宋体" w:hAnsi="宋体" w:eastAsia="宋体" w:cs="宋体"/>
          <w:i w:val="0"/>
          <w:iCs w:val="0"/>
          <w:caps w:val="0"/>
          <w:color w:val="0F1115"/>
          <w:spacing w:val="0"/>
          <w:sz w:val="24"/>
          <w:szCs w:val="24"/>
        </w:rPr>
      </w:pPr>
      <w:r>
        <w:rPr>
          <w:rFonts w:hint="eastAsia" w:ascii="宋体" w:hAnsi="宋体" w:eastAsia="宋体" w:cs="宋体"/>
          <w:i w:val="0"/>
          <w:iCs w:val="0"/>
          <w:caps w:val="0"/>
          <w:color w:val="0F1115"/>
          <w:spacing w:val="0"/>
          <w:sz w:val="24"/>
          <w:szCs w:val="24"/>
          <w:shd w:val="clear" w:color="auto" w:fill="FFFFFF"/>
        </w:rPr>
        <w:t>主症：关节冷痛、重着、肿胀，屈伸不利；局部畏寒，皮色不红，触之不热。</w:t>
      </w:r>
    </w:p>
    <w:p w14:paraId="17AFAB00">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0" w:firstLineChars="200"/>
        <w:textAlignment w:val="auto"/>
        <w:rPr>
          <w:rFonts w:hint="eastAsia" w:ascii="宋体" w:hAnsi="宋体" w:eastAsia="宋体" w:cs="宋体"/>
          <w:i w:val="0"/>
          <w:iCs w:val="0"/>
          <w:caps w:val="0"/>
          <w:color w:val="0F1115"/>
          <w:spacing w:val="0"/>
          <w:sz w:val="24"/>
          <w:szCs w:val="24"/>
        </w:rPr>
      </w:pPr>
      <w:r>
        <w:rPr>
          <w:rFonts w:hint="eastAsia" w:ascii="宋体" w:hAnsi="宋体" w:eastAsia="宋体" w:cs="宋体"/>
          <w:i w:val="0"/>
          <w:iCs w:val="0"/>
          <w:caps w:val="0"/>
          <w:color w:val="0F1115"/>
          <w:spacing w:val="0"/>
          <w:sz w:val="24"/>
          <w:szCs w:val="24"/>
          <w:shd w:val="clear" w:color="auto" w:fill="FFFFFF"/>
        </w:rPr>
        <w:t>次症：神疲乏力，畏寒喜暖；遇寒冷或潮湿天气关节症状加重，得热则缓；遇寒则通甚。</w:t>
      </w:r>
    </w:p>
    <w:p w14:paraId="5AFFEE4C">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0" w:firstLineChars="200"/>
        <w:textAlignment w:val="auto"/>
        <w:rPr>
          <w:rFonts w:hint="eastAsia" w:ascii="宋体" w:hAnsi="宋体" w:eastAsia="宋体" w:cs="宋体"/>
          <w:i w:val="0"/>
          <w:iCs w:val="0"/>
          <w:caps w:val="0"/>
          <w:color w:val="0F1115"/>
          <w:spacing w:val="0"/>
          <w:sz w:val="24"/>
          <w:szCs w:val="24"/>
        </w:rPr>
      </w:pPr>
      <w:r>
        <w:rPr>
          <w:rFonts w:hint="eastAsia" w:ascii="宋体" w:hAnsi="宋体" w:eastAsia="宋体" w:cs="宋体"/>
          <w:i w:val="0"/>
          <w:iCs w:val="0"/>
          <w:caps w:val="0"/>
          <w:color w:val="0F1115"/>
          <w:spacing w:val="0"/>
          <w:sz w:val="24"/>
          <w:szCs w:val="24"/>
          <w:shd w:val="clear" w:color="auto" w:fill="FFFFFF"/>
        </w:rPr>
        <w:t>舌脉：舌质淡或淡暗，苔白腻或白滑；脉弦紧或弦缓。</w:t>
      </w:r>
    </w:p>
    <w:p w14:paraId="77A1AB92">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2" w:firstLineChars="200"/>
        <w:textAlignment w:val="auto"/>
        <w:rPr>
          <w:rFonts w:hint="eastAsia" w:ascii="宋体" w:hAnsi="宋体" w:eastAsia="宋体" w:cs="宋体"/>
          <w:i w:val="0"/>
          <w:iCs w:val="0"/>
          <w:caps w:val="0"/>
          <w:color w:val="0F1115"/>
          <w:spacing w:val="0"/>
          <w:sz w:val="24"/>
          <w:szCs w:val="24"/>
        </w:rPr>
      </w:pPr>
      <w:r>
        <w:rPr>
          <w:rStyle w:val="12"/>
          <w:rFonts w:hint="eastAsia" w:ascii="宋体" w:hAnsi="宋体" w:eastAsia="宋体" w:cs="宋体"/>
          <w:b/>
          <w:bCs/>
          <w:i w:val="0"/>
          <w:iCs w:val="0"/>
          <w:caps w:val="0"/>
          <w:color w:val="0F1115"/>
          <w:spacing w:val="0"/>
          <w:sz w:val="24"/>
          <w:szCs w:val="24"/>
          <w:shd w:val="clear" w:color="auto" w:fill="FFFFFF"/>
        </w:rPr>
        <w:t>6.3.3 寒热错杂证</w:t>
      </w:r>
    </w:p>
    <w:p w14:paraId="46A3D3A2">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0" w:firstLineChars="200"/>
        <w:textAlignment w:val="auto"/>
        <w:rPr>
          <w:rFonts w:hint="eastAsia" w:ascii="宋体" w:hAnsi="宋体" w:eastAsia="宋体" w:cs="宋体"/>
          <w:i w:val="0"/>
          <w:iCs w:val="0"/>
          <w:caps w:val="0"/>
          <w:color w:val="0F1115"/>
          <w:spacing w:val="0"/>
          <w:sz w:val="24"/>
          <w:szCs w:val="24"/>
        </w:rPr>
      </w:pPr>
      <w:r>
        <w:rPr>
          <w:rFonts w:hint="eastAsia" w:ascii="宋体" w:hAnsi="宋体" w:eastAsia="宋体" w:cs="宋体"/>
          <w:i w:val="0"/>
          <w:iCs w:val="0"/>
          <w:caps w:val="0"/>
          <w:color w:val="0F1115"/>
          <w:spacing w:val="0"/>
          <w:sz w:val="24"/>
          <w:szCs w:val="24"/>
          <w:shd w:val="clear" w:color="auto" w:fill="FFFFFF"/>
        </w:rPr>
        <w:t>主症：关节疼痛、肿胀明显，局部触之发热，但患者自觉畏寒；或关节触之无明显热感，但患者自觉关节发热感。</w:t>
      </w:r>
    </w:p>
    <w:p w14:paraId="32202DC5">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0" w:firstLineChars="200"/>
        <w:textAlignment w:val="auto"/>
        <w:rPr>
          <w:rFonts w:hint="eastAsia" w:ascii="宋体" w:hAnsi="宋体" w:eastAsia="宋体" w:cs="宋体"/>
          <w:i w:val="0"/>
          <w:iCs w:val="0"/>
          <w:caps w:val="0"/>
          <w:color w:val="0F1115"/>
          <w:spacing w:val="0"/>
          <w:sz w:val="24"/>
          <w:szCs w:val="24"/>
        </w:rPr>
      </w:pPr>
      <w:r>
        <w:rPr>
          <w:rFonts w:hint="eastAsia" w:ascii="宋体" w:hAnsi="宋体" w:eastAsia="宋体" w:cs="宋体"/>
          <w:i w:val="0"/>
          <w:iCs w:val="0"/>
          <w:caps w:val="0"/>
          <w:color w:val="0F1115"/>
          <w:spacing w:val="0"/>
          <w:sz w:val="24"/>
          <w:szCs w:val="24"/>
          <w:shd w:val="clear" w:color="auto" w:fill="FFFFFF"/>
        </w:rPr>
        <w:t>次症：全身热象不显著，或可见畏寒、恶热并见。</w:t>
      </w:r>
    </w:p>
    <w:p w14:paraId="3251E05E">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0" w:firstLineChars="200"/>
        <w:textAlignment w:val="auto"/>
        <w:rPr>
          <w:rFonts w:hint="eastAsia" w:ascii="宋体" w:hAnsi="宋体" w:eastAsia="宋体" w:cs="宋体"/>
          <w:i w:val="0"/>
          <w:iCs w:val="0"/>
          <w:caps w:val="0"/>
          <w:color w:val="0F1115"/>
          <w:spacing w:val="0"/>
          <w:sz w:val="24"/>
          <w:szCs w:val="24"/>
        </w:rPr>
      </w:pPr>
      <w:r>
        <w:rPr>
          <w:rFonts w:hint="eastAsia" w:ascii="宋体" w:hAnsi="宋体" w:eastAsia="宋体" w:cs="宋体"/>
          <w:i w:val="0"/>
          <w:iCs w:val="0"/>
          <w:caps w:val="0"/>
          <w:color w:val="0F1115"/>
          <w:spacing w:val="0"/>
          <w:sz w:val="24"/>
          <w:szCs w:val="24"/>
          <w:shd w:val="clear" w:color="auto" w:fill="FFFFFF"/>
        </w:rPr>
        <w:t>舌脉：舌苔或黄或白，或黄白相兼；脉象弦数或沉紧。</w:t>
      </w:r>
    </w:p>
    <w:p w14:paraId="16AE5920">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2" w:firstLineChars="200"/>
        <w:textAlignment w:val="auto"/>
        <w:rPr>
          <w:rFonts w:hint="eastAsia" w:ascii="宋体" w:hAnsi="宋体" w:eastAsia="宋体" w:cs="宋体"/>
          <w:i w:val="0"/>
          <w:iCs w:val="0"/>
          <w:caps w:val="0"/>
          <w:color w:val="0F1115"/>
          <w:spacing w:val="0"/>
          <w:sz w:val="24"/>
          <w:szCs w:val="24"/>
        </w:rPr>
      </w:pPr>
      <w:r>
        <w:rPr>
          <w:rStyle w:val="12"/>
          <w:rFonts w:hint="eastAsia" w:ascii="宋体" w:hAnsi="宋体" w:eastAsia="宋体" w:cs="宋体"/>
          <w:b/>
          <w:bCs/>
          <w:i w:val="0"/>
          <w:iCs w:val="0"/>
          <w:caps w:val="0"/>
          <w:color w:val="0F1115"/>
          <w:spacing w:val="0"/>
          <w:sz w:val="24"/>
          <w:szCs w:val="24"/>
          <w:shd w:val="clear" w:color="auto" w:fill="FFFFFF"/>
        </w:rPr>
        <w:t>6.3.</w:t>
      </w:r>
      <w:r>
        <w:rPr>
          <w:rStyle w:val="12"/>
          <w:rFonts w:hint="eastAsia" w:ascii="宋体" w:hAnsi="宋体" w:cs="宋体"/>
          <w:b/>
          <w:bCs/>
          <w:i w:val="0"/>
          <w:iCs w:val="0"/>
          <w:caps w:val="0"/>
          <w:color w:val="0F1115"/>
          <w:spacing w:val="0"/>
          <w:sz w:val="24"/>
          <w:szCs w:val="24"/>
          <w:shd w:val="clear" w:color="auto" w:fill="FFFFFF"/>
          <w:lang w:val="en-US" w:eastAsia="zh-CN"/>
        </w:rPr>
        <w:t>4</w:t>
      </w:r>
      <w:r>
        <w:rPr>
          <w:rStyle w:val="12"/>
          <w:rFonts w:hint="eastAsia" w:ascii="宋体" w:hAnsi="宋体" w:eastAsia="宋体" w:cs="宋体"/>
          <w:b/>
          <w:bCs/>
          <w:i w:val="0"/>
          <w:iCs w:val="0"/>
          <w:caps w:val="0"/>
          <w:color w:val="0F1115"/>
          <w:spacing w:val="0"/>
          <w:sz w:val="24"/>
          <w:szCs w:val="24"/>
          <w:shd w:val="clear" w:color="auto" w:fill="FFFFFF"/>
        </w:rPr>
        <w:t xml:space="preserve"> 痰瘀痹阻证</w:t>
      </w:r>
    </w:p>
    <w:p w14:paraId="358DA608">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0" w:firstLineChars="200"/>
        <w:textAlignment w:val="auto"/>
        <w:rPr>
          <w:rFonts w:hint="eastAsia" w:ascii="宋体" w:hAnsi="宋体" w:eastAsia="宋体" w:cs="宋体"/>
          <w:i w:val="0"/>
          <w:iCs w:val="0"/>
          <w:caps w:val="0"/>
          <w:color w:val="0F1115"/>
          <w:spacing w:val="0"/>
          <w:sz w:val="24"/>
          <w:szCs w:val="24"/>
        </w:rPr>
      </w:pPr>
      <w:r>
        <w:rPr>
          <w:rFonts w:hint="eastAsia" w:ascii="宋体" w:hAnsi="宋体" w:eastAsia="宋体" w:cs="宋体"/>
          <w:i w:val="0"/>
          <w:iCs w:val="0"/>
          <w:caps w:val="0"/>
          <w:color w:val="0F1115"/>
          <w:spacing w:val="0"/>
          <w:sz w:val="24"/>
          <w:szCs w:val="24"/>
          <w:shd w:val="clear" w:color="auto" w:fill="FFFFFF"/>
        </w:rPr>
        <w:t>主症：关节刺痛、固定不移；关节肿胀，局部紫黯，按之稍硬或皮下结节；关节僵硬变形，强直畸形，屈伸严重受限；关节顽麻或重着感。</w:t>
      </w:r>
    </w:p>
    <w:p w14:paraId="69CCD68B">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0" w:firstLineChars="200"/>
        <w:textAlignment w:val="auto"/>
        <w:rPr>
          <w:rFonts w:hint="eastAsia" w:ascii="宋体" w:hAnsi="宋体" w:eastAsia="宋体" w:cs="宋体"/>
          <w:i w:val="0"/>
          <w:iCs w:val="0"/>
          <w:caps w:val="0"/>
          <w:color w:val="0F1115"/>
          <w:spacing w:val="0"/>
          <w:sz w:val="24"/>
          <w:szCs w:val="24"/>
        </w:rPr>
      </w:pPr>
      <w:r>
        <w:rPr>
          <w:rFonts w:hint="eastAsia" w:ascii="宋体" w:hAnsi="宋体" w:eastAsia="宋体" w:cs="宋体"/>
          <w:i w:val="0"/>
          <w:iCs w:val="0"/>
          <w:caps w:val="0"/>
          <w:color w:val="0F1115"/>
          <w:spacing w:val="0"/>
          <w:sz w:val="24"/>
          <w:szCs w:val="24"/>
          <w:shd w:val="clear" w:color="auto" w:fill="FFFFFF"/>
        </w:rPr>
        <w:t>次症：关节附近皮肤粗糙、皲裂、色素沉着或瘀斑；面色黧黯；肢体麻木或感觉异常。</w:t>
      </w:r>
    </w:p>
    <w:p w14:paraId="49458C3F">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0" w:firstLineChars="200"/>
        <w:textAlignment w:val="auto"/>
        <w:rPr>
          <w:rFonts w:hint="eastAsia" w:ascii="宋体" w:hAnsi="宋体" w:eastAsia="宋体" w:cs="宋体"/>
          <w:i w:val="0"/>
          <w:iCs w:val="0"/>
          <w:caps w:val="0"/>
          <w:color w:val="0F1115"/>
          <w:spacing w:val="0"/>
          <w:sz w:val="24"/>
          <w:szCs w:val="24"/>
        </w:rPr>
      </w:pPr>
      <w:r>
        <w:rPr>
          <w:rFonts w:hint="eastAsia" w:ascii="宋体" w:hAnsi="宋体" w:eastAsia="宋体" w:cs="宋体"/>
          <w:i w:val="0"/>
          <w:iCs w:val="0"/>
          <w:caps w:val="0"/>
          <w:color w:val="0F1115"/>
          <w:spacing w:val="0"/>
          <w:sz w:val="24"/>
          <w:szCs w:val="24"/>
          <w:shd w:val="clear" w:color="auto" w:fill="FFFFFF"/>
        </w:rPr>
        <w:t>舌脉：舌质紫黯或有瘀斑，苔白腻或滑腻；脉沉细涩或弦涩。</w:t>
      </w:r>
    </w:p>
    <w:p w14:paraId="07B60870">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2" w:firstLineChars="200"/>
        <w:textAlignment w:val="auto"/>
        <w:rPr>
          <w:rFonts w:hint="eastAsia" w:ascii="宋体" w:hAnsi="宋体" w:eastAsia="宋体" w:cs="宋体"/>
          <w:i w:val="0"/>
          <w:iCs w:val="0"/>
          <w:caps w:val="0"/>
          <w:color w:val="0F1115"/>
          <w:spacing w:val="0"/>
          <w:sz w:val="24"/>
          <w:szCs w:val="24"/>
        </w:rPr>
      </w:pPr>
      <w:r>
        <w:rPr>
          <w:rStyle w:val="12"/>
          <w:rFonts w:hint="eastAsia" w:ascii="宋体" w:hAnsi="宋体" w:eastAsia="宋体" w:cs="宋体"/>
          <w:b/>
          <w:bCs/>
          <w:i w:val="0"/>
          <w:iCs w:val="0"/>
          <w:caps w:val="0"/>
          <w:color w:val="0F1115"/>
          <w:spacing w:val="0"/>
          <w:sz w:val="24"/>
          <w:szCs w:val="24"/>
          <w:shd w:val="clear" w:color="auto" w:fill="FFFFFF"/>
        </w:rPr>
        <w:t>6.3.</w:t>
      </w:r>
      <w:r>
        <w:rPr>
          <w:rStyle w:val="12"/>
          <w:rFonts w:hint="eastAsia" w:ascii="宋体" w:hAnsi="宋体" w:cs="宋体"/>
          <w:b/>
          <w:bCs/>
          <w:i w:val="0"/>
          <w:iCs w:val="0"/>
          <w:caps w:val="0"/>
          <w:color w:val="0F1115"/>
          <w:spacing w:val="0"/>
          <w:sz w:val="24"/>
          <w:szCs w:val="24"/>
          <w:shd w:val="clear" w:color="auto" w:fill="FFFFFF"/>
          <w:lang w:val="en-US" w:eastAsia="zh-CN"/>
        </w:rPr>
        <w:t>5</w:t>
      </w:r>
      <w:r>
        <w:rPr>
          <w:rStyle w:val="12"/>
          <w:rFonts w:hint="eastAsia" w:ascii="宋体" w:hAnsi="宋体" w:eastAsia="宋体" w:cs="宋体"/>
          <w:b/>
          <w:bCs/>
          <w:i w:val="0"/>
          <w:iCs w:val="0"/>
          <w:caps w:val="0"/>
          <w:color w:val="0F1115"/>
          <w:spacing w:val="0"/>
          <w:sz w:val="24"/>
          <w:szCs w:val="24"/>
          <w:shd w:val="clear" w:color="auto" w:fill="FFFFFF"/>
        </w:rPr>
        <w:t xml:space="preserve"> 肝肾亏虚、气血不足证</w:t>
      </w:r>
    </w:p>
    <w:p w14:paraId="73584764">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0" w:firstLineChars="200"/>
        <w:textAlignment w:val="auto"/>
        <w:rPr>
          <w:rFonts w:hint="eastAsia" w:ascii="宋体" w:hAnsi="宋体" w:eastAsia="宋体" w:cs="宋体"/>
          <w:i w:val="0"/>
          <w:iCs w:val="0"/>
          <w:caps w:val="0"/>
          <w:color w:val="0F1115"/>
          <w:spacing w:val="0"/>
          <w:sz w:val="24"/>
          <w:szCs w:val="24"/>
        </w:rPr>
      </w:pPr>
      <w:r>
        <w:rPr>
          <w:rFonts w:hint="eastAsia" w:ascii="宋体" w:hAnsi="宋体" w:eastAsia="宋体" w:cs="宋体"/>
          <w:i w:val="0"/>
          <w:iCs w:val="0"/>
          <w:caps w:val="0"/>
          <w:color w:val="0F1115"/>
          <w:spacing w:val="0"/>
          <w:sz w:val="24"/>
          <w:szCs w:val="24"/>
          <w:shd w:val="clear" w:color="auto" w:fill="FFFFFF"/>
        </w:rPr>
        <w:t>主症：关节疼痛，入夜尤甚；腰膝酸软无力，关节骨蒸潮热或拘急自痛；四肢关节僵硬，晨僵时间缩短，但反复迁延难愈。</w:t>
      </w:r>
    </w:p>
    <w:p w14:paraId="44560F76">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0" w:firstLineChars="200"/>
        <w:textAlignment w:val="auto"/>
        <w:rPr>
          <w:rFonts w:hint="eastAsia" w:ascii="宋体" w:hAnsi="宋体" w:eastAsia="宋体" w:cs="宋体"/>
          <w:i w:val="0"/>
          <w:iCs w:val="0"/>
          <w:caps w:val="0"/>
          <w:color w:val="0F1115"/>
          <w:spacing w:val="0"/>
          <w:sz w:val="24"/>
          <w:szCs w:val="24"/>
        </w:rPr>
      </w:pPr>
      <w:r>
        <w:rPr>
          <w:rFonts w:hint="eastAsia" w:ascii="宋体" w:hAnsi="宋体" w:eastAsia="宋体" w:cs="宋体"/>
          <w:i w:val="0"/>
          <w:iCs w:val="0"/>
          <w:caps w:val="0"/>
          <w:color w:val="0F1115"/>
          <w:spacing w:val="0"/>
          <w:sz w:val="24"/>
          <w:szCs w:val="24"/>
          <w:shd w:val="clear" w:color="auto" w:fill="FFFFFF"/>
        </w:rPr>
        <w:t>次症：头晕目眩，耳鸣；形体消瘦，神疲乏力，心悸气短；面色不华；自汗、盗汗，五心烦热；筋脉拘急，肌肉萎缩；月经量少、后期或闭经。</w:t>
      </w:r>
    </w:p>
    <w:p w14:paraId="7EA38D83">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0" w:firstLineChars="200"/>
        <w:textAlignment w:val="auto"/>
        <w:rPr>
          <w:rFonts w:hint="eastAsia" w:ascii="宋体" w:hAnsi="宋体" w:eastAsia="宋体" w:cs="宋体"/>
          <w:i w:val="0"/>
          <w:iCs w:val="0"/>
          <w:caps w:val="0"/>
          <w:color w:val="0F1115"/>
          <w:spacing w:val="0"/>
          <w:sz w:val="24"/>
          <w:szCs w:val="24"/>
        </w:rPr>
      </w:pPr>
      <w:r>
        <w:rPr>
          <w:rFonts w:hint="eastAsia" w:ascii="宋体" w:hAnsi="宋体" w:eastAsia="宋体" w:cs="宋体"/>
          <w:i w:val="0"/>
          <w:iCs w:val="0"/>
          <w:caps w:val="0"/>
          <w:color w:val="0F1115"/>
          <w:spacing w:val="0"/>
          <w:sz w:val="24"/>
          <w:szCs w:val="24"/>
          <w:shd w:val="clear" w:color="auto" w:fill="FFFFFF"/>
        </w:rPr>
        <w:t>舌脉：舌淡或淡红、苔薄白或无或少苔；脉沉细弱或细数。</w:t>
      </w:r>
    </w:p>
    <w:p w14:paraId="536169B8">
      <w:pPr>
        <w:pStyle w:val="2"/>
        <w:keepNext/>
        <w:keepLines/>
        <w:spacing w:before="10" w:beforeAutospacing="0" w:after="10" w:afterAutospacing="0" w:line="360" w:lineRule="auto"/>
        <w:rPr>
          <w:rFonts w:hint="eastAsia" w:ascii="黑体" w:hAnsi="黑体" w:eastAsia="黑体" w:cs="黑体"/>
          <w:bCs w:val="0"/>
          <w:sz w:val="30"/>
          <w:szCs w:val="30"/>
        </w:rPr>
      </w:pPr>
      <w:r>
        <w:rPr>
          <w:rFonts w:hint="eastAsia" w:ascii="黑体" w:hAnsi="黑体" w:eastAsia="黑体" w:cs="黑体"/>
          <w:bCs w:val="0"/>
          <w:sz w:val="30"/>
          <w:szCs w:val="30"/>
        </w:rPr>
        <w:t>7 诊断</w:t>
      </w:r>
    </w:p>
    <w:p w14:paraId="297933C7">
      <w:pPr>
        <w:pStyle w:val="9"/>
        <w:widowControl/>
        <w:shd w:val="clear" w:color="auto" w:fill="FFFFFF"/>
        <w:spacing w:before="120" w:beforeAutospacing="0" w:after="120" w:afterAutospacing="0" w:line="360" w:lineRule="auto"/>
        <w:ind w:firstLine="482" w:firstLineChars="200"/>
        <w:rPr>
          <w:rFonts w:hint="eastAsia" w:ascii="宋体" w:hAnsi="宋体" w:cs="宋体"/>
          <w:color w:val="0F1115"/>
        </w:rPr>
      </w:pPr>
      <w:r>
        <w:rPr>
          <w:rStyle w:val="12"/>
          <w:rFonts w:hint="eastAsia" w:ascii="宋体" w:hAnsi="宋体" w:cs="宋体"/>
          <w:bCs/>
          <w:color w:val="0F1115"/>
          <w:shd w:val="clear" w:color="auto" w:fill="FFFFFF"/>
        </w:rPr>
        <w:t>7.1 西医诊断</w:t>
      </w:r>
    </w:p>
    <w:p w14:paraId="57AA14BA">
      <w:pPr>
        <w:pStyle w:val="9"/>
        <w:widowControl/>
        <w:shd w:val="clear" w:color="auto" w:fill="FFFFFF"/>
        <w:spacing w:before="120" w:beforeAutospacing="0" w:after="120" w:afterAutospacing="0" w:line="360" w:lineRule="auto"/>
        <w:ind w:firstLine="482" w:firstLineChars="200"/>
        <w:rPr>
          <w:rFonts w:hint="eastAsia" w:ascii="宋体" w:hAnsi="宋体" w:cs="宋体"/>
          <w:color w:val="0F1115"/>
        </w:rPr>
      </w:pPr>
      <w:r>
        <w:rPr>
          <w:rStyle w:val="12"/>
          <w:rFonts w:hint="eastAsia" w:ascii="宋体" w:hAnsi="宋体" w:cs="宋体"/>
          <w:bCs/>
          <w:color w:val="0F1115"/>
          <w:shd w:val="clear" w:color="auto" w:fill="FFFFFF"/>
        </w:rPr>
        <w:t>7.1.1 诊断方法</w:t>
      </w:r>
    </w:p>
    <w:p w14:paraId="4E95AE63">
      <w:pPr>
        <w:pStyle w:val="9"/>
        <w:widowControl/>
        <w:shd w:val="clear" w:color="auto" w:fill="FFFFFF"/>
        <w:spacing w:before="120" w:beforeAutospacing="0" w:after="120" w:afterAutospacing="0" w:line="360" w:lineRule="auto"/>
        <w:ind w:firstLine="482" w:firstLineChars="200"/>
        <w:rPr>
          <w:rStyle w:val="12"/>
          <w:rFonts w:hint="eastAsia" w:ascii="宋体" w:hAnsi="宋体" w:cs="宋体"/>
          <w:bCs/>
          <w:color w:val="0F1115"/>
          <w:shd w:val="clear" w:color="auto" w:fill="FFFFFF"/>
        </w:rPr>
      </w:pPr>
      <w:r>
        <w:rPr>
          <w:rStyle w:val="12"/>
          <w:rFonts w:hint="eastAsia" w:ascii="宋体" w:hAnsi="宋体" w:cs="宋体"/>
          <w:bCs/>
          <w:color w:val="0F1115"/>
          <w:shd w:val="clear" w:color="auto" w:fill="FFFFFF"/>
        </w:rPr>
        <w:t>RA的诊断主要依据临床表现、实验室检查和影像学检查。常用分类标准包括：1987年ACR分类标准、2010年ACR/EULAR分类标准和2025年EULAR/ACR风险分层标准。2010年标准更有利于早期诊断，采用评分系统，累计评分≥6分可诊断为RA。</w:t>
      </w:r>
    </w:p>
    <w:p w14:paraId="39958965">
      <w:pPr>
        <w:pStyle w:val="9"/>
        <w:widowControl/>
        <w:shd w:val="clear" w:color="auto" w:fill="FFFFFF"/>
        <w:spacing w:before="120" w:beforeAutospacing="0" w:after="120" w:afterAutospacing="0" w:line="360" w:lineRule="auto"/>
        <w:ind w:firstLine="480" w:firstLineChars="200"/>
        <w:rPr>
          <w:rFonts w:hint="eastAsia" w:ascii="宋体" w:hAnsi="宋体" w:cs="宋体"/>
          <w:color w:val="0F1115"/>
          <w:shd w:val="clear" w:color="auto" w:fill="FFFFFF"/>
        </w:rPr>
      </w:pPr>
      <w:r>
        <w:rPr>
          <w:rFonts w:hint="eastAsia" w:ascii="宋体" w:hAnsi="宋体" w:cs="宋体"/>
          <w:color w:val="0F1115"/>
          <w:shd w:val="clear" w:color="auto" w:fill="FFFFFF"/>
        </w:rPr>
        <w:t>主症：关节酸痛，屈伸不利，晨僵，腰膝酸软。次症：神疲乏力，面色萎黄，头晕目眩。舌脉：舌质淡，苔薄白，脉细弱。</w:t>
      </w:r>
    </w:p>
    <w:p w14:paraId="371D63EC">
      <w:pPr>
        <w:pStyle w:val="9"/>
        <w:widowControl/>
        <w:shd w:val="clear" w:color="auto" w:fill="FFFFFF"/>
        <w:spacing w:before="120" w:beforeAutospacing="0" w:after="120" w:afterAutospacing="0" w:line="360" w:lineRule="auto"/>
        <w:ind w:firstLine="480" w:firstLineChars="200"/>
        <w:rPr>
          <w:rFonts w:hint="eastAsia" w:ascii="宋体" w:hAnsi="宋体" w:cs="宋体"/>
          <w:color w:val="0F1115"/>
          <w:shd w:val="clear" w:color="auto" w:fill="FFFFFF"/>
        </w:rPr>
      </w:pPr>
      <w:r>
        <w:rPr>
          <w:rFonts w:hint="eastAsia" w:ascii="宋体" w:hAnsi="宋体" w:cs="宋体"/>
          <w:color w:val="0F1115"/>
          <w:shd w:val="clear" w:color="auto" w:fill="FFFFFF"/>
        </w:rPr>
        <w:t>RA疾病活动度评估是指导治疗调整的核心依据，常用评估工具包括：DAS28（28关节疾病活动度评分）、CDAI（临床疾病活动指数）、SDAI（简化疾病活动指数）和ACR/EULAR布尔缓解标准。DAS28-CRP和DAS28-ESR应用最广泛，CDAI和SDAI计算更简便。疾病活动度分为缓解、低活动度、中活动度和高活动度四级，治疗目标为达到临床缓解或低疾病活动度。</w:t>
      </w:r>
    </w:p>
    <w:p w14:paraId="69676179">
      <w:pPr>
        <w:pStyle w:val="9"/>
        <w:widowControl/>
        <w:shd w:val="clear" w:color="auto" w:fill="FFFFFF"/>
        <w:spacing w:before="120" w:beforeAutospacing="0" w:after="120" w:afterAutospacing="0" w:line="360" w:lineRule="auto"/>
        <w:ind w:firstLine="482" w:firstLineChars="200"/>
        <w:rPr>
          <w:rFonts w:hint="eastAsia" w:ascii="宋体" w:hAnsi="宋体" w:cs="宋体"/>
          <w:color w:val="0F1115"/>
        </w:rPr>
      </w:pPr>
      <w:r>
        <w:rPr>
          <w:rStyle w:val="12"/>
          <w:rFonts w:hint="eastAsia" w:ascii="宋体" w:hAnsi="宋体" w:cs="宋体"/>
          <w:bCs/>
          <w:color w:val="0F1115"/>
          <w:shd w:val="clear" w:color="auto" w:fill="FFFFFF"/>
        </w:rPr>
        <w:t>①DAS28评分</w:t>
      </w:r>
      <w:r>
        <w:rPr>
          <w:rFonts w:hint="eastAsia" w:ascii="宋体" w:hAnsi="宋体" w:cs="宋体"/>
          <w:color w:val="0F1115"/>
          <w:shd w:val="clear" w:color="auto" w:fill="FFFFFF"/>
        </w:rPr>
        <w:t>：包含28个关节的肿胀及压痛计数、ESR或CRP，以及患者整体健康状况评分（GH或VAS）。DAS28-ESR与DAS28-CRP在临床上均可应用。</w:t>
      </w:r>
    </w:p>
    <w:p w14:paraId="52C40730">
      <w:pPr>
        <w:pStyle w:val="9"/>
        <w:widowControl/>
        <w:shd w:val="clear" w:color="auto" w:fill="FFFFFF"/>
        <w:spacing w:before="120" w:beforeAutospacing="0" w:after="120" w:afterAutospacing="0" w:line="360" w:lineRule="auto"/>
        <w:ind w:firstLine="482" w:firstLineChars="200"/>
        <w:rPr>
          <w:rFonts w:hint="eastAsia" w:ascii="宋体" w:hAnsi="宋体" w:cs="宋体"/>
          <w:color w:val="0F1115"/>
        </w:rPr>
      </w:pPr>
      <w:r>
        <w:rPr>
          <w:rStyle w:val="12"/>
          <w:rFonts w:hint="eastAsia" w:ascii="宋体" w:hAnsi="宋体" w:cs="宋体"/>
          <w:bCs/>
          <w:color w:val="0F1115"/>
          <w:shd w:val="clear" w:color="auto" w:fill="FFFFFF"/>
        </w:rPr>
        <w:t>②CDAI评分</w:t>
      </w:r>
      <w:r>
        <w:rPr>
          <w:rFonts w:hint="eastAsia" w:ascii="宋体" w:hAnsi="宋体" w:cs="宋体"/>
          <w:color w:val="0F1115"/>
          <w:shd w:val="clear" w:color="auto" w:fill="FFFFFF"/>
        </w:rPr>
        <w:t>：包含SJC28、TJC28、PtGA（0～10cm VAS）和PGA（0～10cm VAS），无需实验室检查结果，便于床旁快速评估。</w:t>
      </w:r>
    </w:p>
    <w:p w14:paraId="6E11E11E">
      <w:pPr>
        <w:pStyle w:val="9"/>
        <w:widowControl/>
        <w:shd w:val="clear" w:color="auto" w:fill="FFFFFF"/>
        <w:spacing w:before="120" w:beforeAutospacing="0" w:after="120" w:afterAutospacing="0" w:line="360" w:lineRule="auto"/>
        <w:ind w:firstLine="482" w:firstLineChars="200"/>
        <w:rPr>
          <w:rFonts w:hint="eastAsia" w:ascii="宋体" w:hAnsi="宋体" w:cs="宋体"/>
          <w:color w:val="0F1115"/>
        </w:rPr>
      </w:pPr>
      <w:r>
        <w:rPr>
          <w:rStyle w:val="12"/>
          <w:rFonts w:hint="eastAsia" w:ascii="宋体" w:hAnsi="宋体" w:cs="宋体"/>
          <w:bCs/>
          <w:color w:val="0F1115"/>
          <w:shd w:val="clear" w:color="auto" w:fill="FFFFFF"/>
        </w:rPr>
        <w:t>③SDAI评分</w:t>
      </w:r>
      <w:r>
        <w:rPr>
          <w:rFonts w:hint="eastAsia" w:ascii="宋体" w:hAnsi="宋体" w:cs="宋体"/>
          <w:color w:val="0F1115"/>
          <w:shd w:val="clear" w:color="auto" w:fill="FFFFFF"/>
        </w:rPr>
        <w:t>：在CDAI评分基础上增加CRP（mg/dL），综合反映关节炎症与急性时相反应水平。</w:t>
      </w:r>
    </w:p>
    <w:p w14:paraId="33A59D8F">
      <w:pPr>
        <w:pStyle w:val="9"/>
        <w:widowControl/>
        <w:shd w:val="clear" w:color="auto" w:fill="FFFFFF"/>
        <w:spacing w:before="120" w:beforeAutospacing="0" w:after="120" w:afterAutospacing="0" w:line="360" w:lineRule="auto"/>
        <w:ind w:firstLine="482" w:firstLineChars="200"/>
        <w:rPr>
          <w:rFonts w:hint="eastAsia" w:ascii="宋体" w:hAnsi="宋体" w:cs="宋体"/>
          <w:color w:val="0F1115"/>
        </w:rPr>
      </w:pPr>
      <w:r>
        <w:rPr>
          <w:rStyle w:val="12"/>
          <w:rFonts w:hint="eastAsia" w:ascii="宋体" w:hAnsi="宋体" w:cs="宋体"/>
          <w:bCs/>
          <w:color w:val="0F1115"/>
          <w:shd w:val="clear" w:color="auto" w:fill="FFFFFF"/>
        </w:rPr>
        <w:t>④ACR/EULAR布尔标准</w:t>
      </w:r>
      <w:r>
        <w:rPr>
          <w:rFonts w:hint="eastAsia" w:ascii="宋体" w:hAnsi="宋体" w:cs="宋体"/>
          <w:color w:val="0F1115"/>
          <w:shd w:val="clear" w:color="auto" w:fill="FFFFFF"/>
        </w:rPr>
        <w:t>：2025年EULAR RA管理指南推荐优先采用ACR/EULAR布尔标准或CDAI/SDAI评估临床缓解状态，不建议继续使用DAS28标准判断缓解，因其对肿胀和压痛关节数的赋权未能充分反映临床改善</w:t>
      </w:r>
      <w:r>
        <w:fldChar w:fldCharType="begin"/>
      </w:r>
      <w:r>
        <w:instrText xml:space="preserve"> HYPERLINK "http://bdfs.org.cn/4/2483/2218146" \t "https://chat.deepseek.com/a/chat/s/_blank" </w:instrText>
      </w:r>
      <w:r>
        <w:fldChar w:fldCharType="separate"/>
      </w:r>
      <w:r>
        <w:fldChar w:fldCharType="end"/>
      </w:r>
      <w:r>
        <w:rPr>
          <w:rFonts w:hint="eastAsia" w:ascii="宋体" w:hAnsi="宋体" w:cs="宋体"/>
          <w:color w:val="0F1115"/>
          <w:shd w:val="clear" w:color="auto" w:fill="FFFFFF"/>
        </w:rPr>
        <w:t>。布尔缓解的四个核心指标为：TJC28≤1、SJC28≤1、CRP≤1mg/dL、PtGA≤1（0～10cm VAS）。</w:t>
      </w:r>
    </w:p>
    <w:p w14:paraId="01A664FD">
      <w:pPr>
        <w:pStyle w:val="9"/>
        <w:widowControl/>
        <w:shd w:val="clear" w:color="auto" w:fill="FFFFFF"/>
        <w:spacing w:before="120" w:beforeAutospacing="0" w:after="120" w:afterAutospacing="0" w:line="360" w:lineRule="auto"/>
        <w:ind w:firstLine="480" w:firstLineChars="200"/>
        <w:rPr>
          <w:rFonts w:hint="eastAsia" w:ascii="宋体" w:hAnsi="宋体" w:cs="宋体"/>
          <w:color w:val="0F1115"/>
        </w:rPr>
      </w:pPr>
      <w:r>
        <w:rPr>
          <w:rFonts w:hint="eastAsia" w:ascii="宋体" w:hAnsi="宋体" w:cs="宋体"/>
          <w:color w:val="0F1115"/>
          <w:shd w:val="clear" w:color="auto" w:fill="FFFFFF"/>
        </w:rPr>
        <w:t>根据2025年EULAR指南和2024年中国RA诊疗指南，疾病活动期每1～3个月监测一次疾病活动度；启动治疗后若3个月病情无改善或6个月未达到治疗目标，应及时调整治疗方案；持续缓解后可适当降低监测频率（如每6个月），同时应向患者充分告知疾病复发预警症状</w:t>
      </w:r>
      <w:r>
        <w:fldChar w:fldCharType="begin"/>
      </w:r>
      <w:r>
        <w:instrText xml:space="preserve"> HYPERLINK "http://bdfs.org.cn/4/2483/2218146" \t "https://chat.deepseek.com/a/chat/s/_blank" </w:instrText>
      </w:r>
      <w:r>
        <w:fldChar w:fldCharType="separate"/>
      </w:r>
      <w:r>
        <w:fldChar w:fldCharType="end"/>
      </w:r>
      <w:r>
        <w:fldChar w:fldCharType="begin"/>
      </w:r>
      <w:r>
        <w:instrText xml:space="preserve"> HYPERLINK "https://k.sina.cn/article_1893826915_70e1816301901j2v4.html?from=news" \t "https://chat.deepseek.com/a/chat/s/_blank" </w:instrText>
      </w:r>
      <w:r>
        <w:fldChar w:fldCharType="separate"/>
      </w:r>
      <w:r>
        <w:fldChar w:fldCharType="end"/>
      </w:r>
      <w:r>
        <w:rPr>
          <w:rFonts w:hint="eastAsia" w:ascii="宋体" w:hAnsi="宋体" w:cs="宋体"/>
          <w:color w:val="0F1115"/>
          <w:shd w:val="clear" w:color="auto" w:fill="FFFFFF"/>
        </w:rPr>
        <w:t>。</w:t>
      </w:r>
    </w:p>
    <w:p w14:paraId="6664061F">
      <w:pPr>
        <w:pStyle w:val="9"/>
        <w:widowControl/>
        <w:shd w:val="clear" w:color="auto" w:fill="FFFFFF"/>
        <w:spacing w:before="120" w:beforeAutospacing="0" w:after="120" w:afterAutospacing="0" w:line="360" w:lineRule="auto"/>
        <w:ind w:firstLine="482" w:firstLineChars="200"/>
        <w:rPr>
          <w:rFonts w:hint="eastAsia" w:ascii="宋体" w:hAnsi="宋体" w:cs="宋体"/>
          <w:color w:val="0F1115"/>
        </w:rPr>
      </w:pPr>
      <w:r>
        <w:rPr>
          <w:rStyle w:val="12"/>
          <w:rFonts w:hint="eastAsia" w:ascii="宋体" w:hAnsi="宋体" w:cs="宋体"/>
          <w:bCs/>
          <w:color w:val="0F1115"/>
          <w:shd w:val="clear" w:color="auto" w:fill="FFFFFF"/>
        </w:rPr>
        <w:t>7.1.</w:t>
      </w:r>
      <w:r>
        <w:rPr>
          <w:rStyle w:val="12"/>
          <w:rFonts w:hint="eastAsia" w:ascii="宋体" w:hAnsi="宋体" w:cs="宋体"/>
          <w:bCs/>
          <w:color w:val="0F1115"/>
          <w:shd w:val="clear" w:color="auto" w:fill="FFFFFF"/>
          <w:lang w:val="en-US" w:eastAsia="zh-CN"/>
        </w:rPr>
        <w:t>2</w:t>
      </w:r>
      <w:r>
        <w:rPr>
          <w:rStyle w:val="12"/>
          <w:rFonts w:hint="eastAsia" w:ascii="宋体" w:hAnsi="宋体" w:cs="宋体"/>
          <w:bCs/>
          <w:color w:val="0F1115"/>
          <w:shd w:val="clear" w:color="auto" w:fill="FFFFFF"/>
        </w:rPr>
        <w:t xml:space="preserve"> 实验室检查</w:t>
      </w:r>
    </w:p>
    <w:p w14:paraId="6C7C7355">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2" w:firstLineChars="200"/>
        <w:textAlignment w:val="auto"/>
        <w:rPr>
          <w:rFonts w:hint="eastAsia" w:ascii="宋体" w:hAnsi="宋体" w:eastAsia="宋体" w:cs="宋体"/>
          <w:i w:val="0"/>
          <w:iCs w:val="0"/>
          <w:caps w:val="0"/>
          <w:color w:val="0F1115"/>
          <w:spacing w:val="0"/>
          <w:sz w:val="24"/>
          <w:szCs w:val="24"/>
        </w:rPr>
      </w:pPr>
      <w:r>
        <w:rPr>
          <w:rStyle w:val="12"/>
          <w:rFonts w:hint="eastAsia" w:ascii="宋体" w:hAnsi="宋体" w:cs="宋体"/>
          <w:b/>
          <w:bCs/>
          <w:i w:val="0"/>
          <w:iCs w:val="0"/>
          <w:caps w:val="0"/>
          <w:color w:val="0F1115"/>
          <w:spacing w:val="0"/>
          <w:sz w:val="24"/>
          <w:szCs w:val="24"/>
          <w:shd w:val="clear" w:color="auto" w:fill="FFFFFF"/>
          <w:lang w:val="en-US" w:eastAsia="zh-CN"/>
        </w:rPr>
        <w:t>7.1</w:t>
      </w:r>
      <w:r>
        <w:rPr>
          <w:rStyle w:val="12"/>
          <w:rFonts w:hint="eastAsia" w:ascii="宋体" w:hAnsi="宋体" w:eastAsia="宋体" w:cs="宋体"/>
          <w:b/>
          <w:bCs/>
          <w:i w:val="0"/>
          <w:iCs w:val="0"/>
          <w:caps w:val="0"/>
          <w:color w:val="0F1115"/>
          <w:spacing w:val="0"/>
          <w:sz w:val="24"/>
          <w:szCs w:val="24"/>
          <w:shd w:val="clear" w:color="auto" w:fill="FFFFFF"/>
        </w:rPr>
        <w:t>.2 病情评估</w:t>
      </w:r>
    </w:p>
    <w:p w14:paraId="62157612">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0" w:firstLineChars="200"/>
        <w:textAlignment w:val="auto"/>
        <w:rPr>
          <w:rFonts w:hint="eastAsia" w:ascii="宋体" w:hAnsi="宋体" w:eastAsia="宋体" w:cs="宋体"/>
          <w:i w:val="0"/>
          <w:iCs w:val="0"/>
          <w:caps w:val="0"/>
          <w:color w:val="0F1115"/>
          <w:spacing w:val="0"/>
          <w:sz w:val="24"/>
          <w:szCs w:val="24"/>
        </w:rPr>
      </w:pPr>
      <w:r>
        <w:rPr>
          <w:rFonts w:hint="eastAsia" w:ascii="宋体" w:hAnsi="宋体" w:eastAsia="宋体" w:cs="宋体"/>
          <w:i w:val="0"/>
          <w:iCs w:val="0"/>
          <w:caps w:val="0"/>
          <w:color w:val="0F1115"/>
          <w:spacing w:val="0"/>
          <w:sz w:val="24"/>
          <w:szCs w:val="24"/>
          <w:shd w:val="clear" w:color="auto" w:fill="FFFFFF"/>
        </w:rPr>
        <w:t>RA疾病活动度评估对于指导治疗决策、判断治疗反应和调整治疗方案具有重要意义。临床常用的疾病活动评估工具及其评分标准见表C.3 RA疾病活动评估工具及评分标准，包括：</w:t>
      </w:r>
    </w:p>
    <w:p w14:paraId="15339193">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2" w:firstLineChars="200"/>
        <w:textAlignment w:val="auto"/>
        <w:rPr>
          <w:rFonts w:hint="eastAsia" w:ascii="宋体" w:hAnsi="宋体" w:eastAsia="宋体" w:cs="宋体"/>
          <w:i w:val="0"/>
          <w:iCs w:val="0"/>
          <w:caps w:val="0"/>
          <w:color w:val="0F1115"/>
          <w:spacing w:val="0"/>
          <w:sz w:val="24"/>
          <w:szCs w:val="24"/>
        </w:rPr>
      </w:pPr>
      <w:r>
        <w:rPr>
          <w:rStyle w:val="12"/>
          <w:rFonts w:hint="eastAsia" w:ascii="宋体" w:hAnsi="宋体" w:eastAsia="宋体" w:cs="宋体"/>
          <w:b/>
          <w:bCs/>
          <w:i w:val="0"/>
          <w:iCs w:val="0"/>
          <w:caps w:val="0"/>
          <w:color w:val="0F1115"/>
          <w:spacing w:val="0"/>
          <w:sz w:val="24"/>
          <w:szCs w:val="24"/>
          <w:shd w:val="clear" w:color="auto" w:fill="FFFFFF"/>
        </w:rPr>
        <w:t>①DAS28评分</w:t>
      </w:r>
      <w:r>
        <w:rPr>
          <w:rFonts w:hint="eastAsia" w:ascii="宋体" w:hAnsi="宋体" w:eastAsia="宋体" w:cs="宋体"/>
          <w:i w:val="0"/>
          <w:iCs w:val="0"/>
          <w:caps w:val="0"/>
          <w:color w:val="0F1115"/>
          <w:spacing w:val="0"/>
          <w:sz w:val="24"/>
          <w:szCs w:val="24"/>
          <w:shd w:val="clear" w:color="auto" w:fill="FFFFFF"/>
        </w:rPr>
        <w:t>：包含28个关节的肿胀及压痛计数、ESR或CRP，以及患者整体健康状况评分（GH或VAS）。DAS28-ESR与DAS28-CRP在临床上均可应用。</w:t>
      </w:r>
    </w:p>
    <w:p w14:paraId="50252270">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2" w:firstLineChars="200"/>
        <w:textAlignment w:val="auto"/>
        <w:rPr>
          <w:rFonts w:hint="eastAsia" w:ascii="宋体" w:hAnsi="宋体" w:eastAsia="宋体" w:cs="宋体"/>
          <w:i w:val="0"/>
          <w:iCs w:val="0"/>
          <w:caps w:val="0"/>
          <w:color w:val="0F1115"/>
          <w:spacing w:val="0"/>
          <w:sz w:val="24"/>
          <w:szCs w:val="24"/>
        </w:rPr>
      </w:pPr>
      <w:r>
        <w:rPr>
          <w:rStyle w:val="12"/>
          <w:rFonts w:hint="eastAsia" w:ascii="宋体" w:hAnsi="宋体" w:eastAsia="宋体" w:cs="宋体"/>
          <w:b/>
          <w:bCs/>
          <w:i w:val="0"/>
          <w:iCs w:val="0"/>
          <w:caps w:val="0"/>
          <w:color w:val="0F1115"/>
          <w:spacing w:val="0"/>
          <w:sz w:val="24"/>
          <w:szCs w:val="24"/>
          <w:shd w:val="clear" w:color="auto" w:fill="FFFFFF"/>
        </w:rPr>
        <w:t>②CDAI评分</w:t>
      </w:r>
      <w:r>
        <w:rPr>
          <w:rFonts w:hint="eastAsia" w:ascii="宋体" w:hAnsi="宋体" w:eastAsia="宋体" w:cs="宋体"/>
          <w:i w:val="0"/>
          <w:iCs w:val="0"/>
          <w:caps w:val="0"/>
          <w:color w:val="0F1115"/>
          <w:spacing w:val="0"/>
          <w:sz w:val="24"/>
          <w:szCs w:val="24"/>
          <w:shd w:val="clear" w:color="auto" w:fill="FFFFFF"/>
        </w:rPr>
        <w:t>：包含SJC28、TJC28、PtGA（0</w:t>
      </w:r>
      <w:r>
        <w:rPr>
          <w:rFonts w:hint="eastAsia" w:ascii="宋体" w:hAnsi="宋体" w:cs="宋体"/>
          <w:i w:val="0"/>
          <w:iCs w:val="0"/>
          <w:caps w:val="0"/>
          <w:color w:val="0F1115"/>
          <w:spacing w:val="0"/>
          <w:sz w:val="24"/>
          <w:szCs w:val="24"/>
          <w:shd w:val="clear" w:color="auto" w:fill="FFFFFF"/>
          <w:lang w:val="en-US" w:eastAsia="zh-CN"/>
        </w:rPr>
        <w:t>～</w:t>
      </w:r>
      <w:r>
        <w:rPr>
          <w:rFonts w:hint="eastAsia" w:ascii="宋体" w:hAnsi="宋体" w:eastAsia="宋体" w:cs="宋体"/>
          <w:i w:val="0"/>
          <w:iCs w:val="0"/>
          <w:caps w:val="0"/>
          <w:color w:val="0F1115"/>
          <w:spacing w:val="0"/>
          <w:sz w:val="24"/>
          <w:szCs w:val="24"/>
          <w:shd w:val="clear" w:color="auto" w:fill="FFFFFF"/>
        </w:rPr>
        <w:t>10cm VAS）和PGA（0</w:t>
      </w:r>
      <w:r>
        <w:rPr>
          <w:rFonts w:hint="eastAsia" w:ascii="宋体" w:hAnsi="宋体" w:cs="宋体"/>
          <w:i w:val="0"/>
          <w:iCs w:val="0"/>
          <w:caps w:val="0"/>
          <w:color w:val="0F1115"/>
          <w:spacing w:val="0"/>
          <w:sz w:val="24"/>
          <w:szCs w:val="24"/>
          <w:shd w:val="clear" w:color="auto" w:fill="FFFFFF"/>
          <w:lang w:eastAsia="zh-CN"/>
        </w:rPr>
        <w:t>～</w:t>
      </w:r>
      <w:r>
        <w:rPr>
          <w:rFonts w:hint="eastAsia" w:ascii="宋体" w:hAnsi="宋体" w:eastAsia="宋体" w:cs="宋体"/>
          <w:i w:val="0"/>
          <w:iCs w:val="0"/>
          <w:caps w:val="0"/>
          <w:color w:val="0F1115"/>
          <w:spacing w:val="0"/>
          <w:sz w:val="24"/>
          <w:szCs w:val="24"/>
          <w:shd w:val="clear" w:color="auto" w:fill="FFFFFF"/>
        </w:rPr>
        <w:t>10cm VAS），无需实验室检查结果，便于床旁快速评估。</w:t>
      </w:r>
    </w:p>
    <w:p w14:paraId="5AB672F2">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2" w:firstLineChars="200"/>
        <w:textAlignment w:val="auto"/>
        <w:rPr>
          <w:rFonts w:hint="eastAsia" w:ascii="宋体" w:hAnsi="宋体" w:eastAsia="宋体" w:cs="宋体"/>
          <w:i w:val="0"/>
          <w:iCs w:val="0"/>
          <w:caps w:val="0"/>
          <w:color w:val="0F1115"/>
          <w:spacing w:val="0"/>
          <w:sz w:val="24"/>
          <w:szCs w:val="24"/>
        </w:rPr>
      </w:pPr>
      <w:r>
        <w:rPr>
          <w:rStyle w:val="12"/>
          <w:rFonts w:hint="eastAsia" w:ascii="宋体" w:hAnsi="宋体" w:eastAsia="宋体" w:cs="宋体"/>
          <w:b/>
          <w:bCs/>
          <w:i w:val="0"/>
          <w:iCs w:val="0"/>
          <w:caps w:val="0"/>
          <w:color w:val="0F1115"/>
          <w:spacing w:val="0"/>
          <w:sz w:val="24"/>
          <w:szCs w:val="24"/>
          <w:shd w:val="clear" w:color="auto" w:fill="FFFFFF"/>
        </w:rPr>
        <w:t>③SDAI评分</w:t>
      </w:r>
      <w:r>
        <w:rPr>
          <w:rFonts w:hint="eastAsia" w:ascii="宋体" w:hAnsi="宋体" w:eastAsia="宋体" w:cs="宋体"/>
          <w:i w:val="0"/>
          <w:iCs w:val="0"/>
          <w:caps w:val="0"/>
          <w:color w:val="0F1115"/>
          <w:spacing w:val="0"/>
          <w:sz w:val="24"/>
          <w:szCs w:val="24"/>
          <w:shd w:val="clear" w:color="auto" w:fill="FFFFFF"/>
        </w:rPr>
        <w:t>：在CDAI评分基础上增加CRP（mg/dL），综合反映关节炎症与急性时相反应水平。</w:t>
      </w:r>
    </w:p>
    <w:p w14:paraId="5433D55E">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2" w:firstLineChars="200"/>
        <w:textAlignment w:val="auto"/>
        <w:rPr>
          <w:rFonts w:hint="eastAsia" w:ascii="宋体" w:hAnsi="宋体" w:eastAsia="宋体" w:cs="宋体"/>
          <w:i w:val="0"/>
          <w:iCs w:val="0"/>
          <w:caps w:val="0"/>
          <w:color w:val="0F1115"/>
          <w:spacing w:val="0"/>
          <w:sz w:val="24"/>
          <w:szCs w:val="24"/>
        </w:rPr>
      </w:pPr>
      <w:r>
        <w:rPr>
          <w:rStyle w:val="12"/>
          <w:rFonts w:hint="eastAsia" w:ascii="宋体" w:hAnsi="宋体" w:eastAsia="宋体" w:cs="宋体"/>
          <w:b/>
          <w:bCs/>
          <w:i w:val="0"/>
          <w:iCs w:val="0"/>
          <w:caps w:val="0"/>
          <w:color w:val="0F1115"/>
          <w:spacing w:val="0"/>
          <w:sz w:val="24"/>
          <w:szCs w:val="24"/>
          <w:shd w:val="clear" w:color="auto" w:fill="FFFFFF"/>
        </w:rPr>
        <w:t>④ACR/EULAR布尔标准</w:t>
      </w:r>
      <w:r>
        <w:rPr>
          <w:rFonts w:hint="eastAsia" w:ascii="宋体" w:hAnsi="宋体" w:eastAsia="宋体" w:cs="宋体"/>
          <w:i w:val="0"/>
          <w:iCs w:val="0"/>
          <w:caps w:val="0"/>
          <w:color w:val="0F1115"/>
          <w:spacing w:val="0"/>
          <w:sz w:val="24"/>
          <w:szCs w:val="24"/>
          <w:shd w:val="clear" w:color="auto" w:fill="FFFFFF"/>
        </w:rPr>
        <w:t>：2025年EULAR RA管理指南推荐优先采用ACR/EULAR布尔标准或CDAI/SDAI评估临床缓解状态，不建议继续使用DAS28标准判断缓解，因其对肿胀和压痛关节数的赋权未能充分反映临床改善</w:t>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begin"/>
      </w:r>
      <w:r>
        <w:rPr>
          <w:rFonts w:hint="eastAsia" w:ascii="宋体" w:hAnsi="宋体" w:eastAsia="宋体" w:cs="宋体"/>
          <w:i w:val="0"/>
          <w:iCs w:val="0"/>
          <w:caps w:val="0"/>
          <w:color w:val="3964FE"/>
          <w:spacing w:val="0"/>
          <w:sz w:val="24"/>
          <w:szCs w:val="24"/>
          <w:u w:val="none"/>
          <w:bdr w:val="single" w:color="auto" w:sz="8" w:space="0"/>
          <w:shd w:val="clear" w:color="auto" w:fill="FFFFFF"/>
        </w:rPr>
        <w:instrText xml:space="preserve"> HYPERLINK "http://bdfs.org.cn/4/2483/2218146" \t "https://chat.deepseek.com/a/chat/s/_blank" </w:instrText>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separate"/>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end"/>
      </w:r>
      <w:r>
        <w:rPr>
          <w:rFonts w:hint="eastAsia" w:ascii="宋体" w:hAnsi="宋体" w:eastAsia="宋体" w:cs="宋体"/>
          <w:i w:val="0"/>
          <w:iCs w:val="0"/>
          <w:caps w:val="0"/>
          <w:color w:val="0F1115"/>
          <w:spacing w:val="0"/>
          <w:sz w:val="24"/>
          <w:szCs w:val="24"/>
          <w:shd w:val="clear" w:color="auto" w:fill="FFFFFF"/>
        </w:rPr>
        <w:t>。布尔缓解的四个核心指标为：TJC28≤1、SJC28≤1、CRP≤1mg/dL、PtGA≤1（0</w:t>
      </w:r>
      <w:r>
        <w:rPr>
          <w:rFonts w:hint="eastAsia" w:ascii="宋体" w:hAnsi="宋体" w:cs="宋体"/>
          <w:i w:val="0"/>
          <w:iCs w:val="0"/>
          <w:caps w:val="0"/>
          <w:color w:val="0F1115"/>
          <w:spacing w:val="0"/>
          <w:sz w:val="24"/>
          <w:szCs w:val="24"/>
          <w:shd w:val="clear" w:color="auto" w:fill="FFFFFF"/>
          <w:lang w:eastAsia="zh-CN"/>
        </w:rPr>
        <w:t>～</w:t>
      </w:r>
      <w:r>
        <w:rPr>
          <w:rFonts w:hint="eastAsia" w:ascii="宋体" w:hAnsi="宋体" w:eastAsia="宋体" w:cs="宋体"/>
          <w:i w:val="0"/>
          <w:iCs w:val="0"/>
          <w:caps w:val="0"/>
          <w:color w:val="0F1115"/>
          <w:spacing w:val="0"/>
          <w:sz w:val="24"/>
          <w:szCs w:val="24"/>
          <w:shd w:val="clear" w:color="auto" w:fill="FFFFFF"/>
        </w:rPr>
        <w:t>10cm VAS）。</w:t>
      </w:r>
    </w:p>
    <w:p w14:paraId="797582CF">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0" w:firstLineChars="200"/>
        <w:textAlignment w:val="auto"/>
        <w:rPr>
          <w:rFonts w:hint="eastAsia" w:ascii="宋体" w:hAnsi="宋体" w:eastAsia="宋体" w:cs="宋体"/>
          <w:i w:val="0"/>
          <w:iCs w:val="0"/>
          <w:caps w:val="0"/>
          <w:color w:val="0F1115"/>
          <w:spacing w:val="0"/>
          <w:sz w:val="24"/>
          <w:szCs w:val="24"/>
        </w:rPr>
      </w:pPr>
      <w:r>
        <w:rPr>
          <w:rFonts w:hint="eastAsia" w:ascii="宋体" w:hAnsi="宋体" w:eastAsia="宋体" w:cs="宋体"/>
          <w:i w:val="0"/>
          <w:iCs w:val="0"/>
          <w:caps w:val="0"/>
          <w:color w:val="0F1115"/>
          <w:spacing w:val="0"/>
          <w:sz w:val="24"/>
          <w:szCs w:val="24"/>
          <w:shd w:val="clear" w:color="auto" w:fill="FFFFFF"/>
        </w:rPr>
        <w:t>根据2025年EULAR指南和2024年中国RA诊疗指南，疾病活动期每1</w:t>
      </w:r>
      <w:r>
        <w:rPr>
          <w:rFonts w:hint="eastAsia" w:ascii="宋体" w:hAnsi="宋体" w:cs="宋体"/>
          <w:i w:val="0"/>
          <w:iCs w:val="0"/>
          <w:caps w:val="0"/>
          <w:color w:val="0F1115"/>
          <w:spacing w:val="0"/>
          <w:sz w:val="24"/>
          <w:szCs w:val="24"/>
          <w:shd w:val="clear" w:color="auto" w:fill="FFFFFF"/>
          <w:lang w:eastAsia="zh-CN"/>
        </w:rPr>
        <w:t>～</w:t>
      </w:r>
      <w:r>
        <w:rPr>
          <w:rFonts w:hint="eastAsia" w:ascii="宋体" w:hAnsi="宋体" w:eastAsia="宋体" w:cs="宋体"/>
          <w:i w:val="0"/>
          <w:iCs w:val="0"/>
          <w:caps w:val="0"/>
          <w:color w:val="0F1115"/>
          <w:spacing w:val="0"/>
          <w:sz w:val="24"/>
          <w:szCs w:val="24"/>
          <w:shd w:val="clear" w:color="auto" w:fill="FFFFFF"/>
        </w:rPr>
        <w:t>3个月监测一次疾病活动度；启动治疗后若3个月病情无改善或6个月未达到治疗目标，应及时调整治疗方案；持续缓解后可适当降低监测频率（如每6个月），同时应向患者充分告知疾病复发预警症状</w:t>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begin"/>
      </w:r>
      <w:r>
        <w:rPr>
          <w:rFonts w:hint="eastAsia" w:ascii="宋体" w:hAnsi="宋体" w:eastAsia="宋体" w:cs="宋体"/>
          <w:i w:val="0"/>
          <w:iCs w:val="0"/>
          <w:caps w:val="0"/>
          <w:color w:val="3964FE"/>
          <w:spacing w:val="0"/>
          <w:sz w:val="24"/>
          <w:szCs w:val="24"/>
          <w:u w:val="none"/>
          <w:bdr w:val="single" w:color="auto" w:sz="8" w:space="0"/>
          <w:shd w:val="clear" w:color="auto" w:fill="FFFFFF"/>
        </w:rPr>
        <w:instrText xml:space="preserve"> HYPERLINK "http://bdfs.org.cn/4/2483/2218146" \t "https://chat.deepseek.com/a/chat/s/_blank" </w:instrText>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separate"/>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end"/>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begin"/>
      </w:r>
      <w:r>
        <w:rPr>
          <w:rFonts w:hint="eastAsia" w:ascii="宋体" w:hAnsi="宋体" w:eastAsia="宋体" w:cs="宋体"/>
          <w:i w:val="0"/>
          <w:iCs w:val="0"/>
          <w:caps w:val="0"/>
          <w:color w:val="3964FE"/>
          <w:spacing w:val="0"/>
          <w:sz w:val="24"/>
          <w:szCs w:val="24"/>
          <w:u w:val="none"/>
          <w:bdr w:val="single" w:color="auto" w:sz="8" w:space="0"/>
          <w:shd w:val="clear" w:color="auto" w:fill="FFFFFF"/>
        </w:rPr>
        <w:instrText xml:space="preserve"> HYPERLINK "https://k.sina.cn/article_1893826915_70e1816301901j2v4.html?from=news" \t "https://chat.deepseek.com/a/chat/s/_blank" </w:instrText>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separate"/>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end"/>
      </w:r>
      <w:r>
        <w:rPr>
          <w:rFonts w:hint="eastAsia" w:ascii="宋体" w:hAnsi="宋体" w:eastAsia="宋体" w:cs="宋体"/>
          <w:i w:val="0"/>
          <w:iCs w:val="0"/>
          <w:caps w:val="0"/>
          <w:color w:val="0F1115"/>
          <w:spacing w:val="0"/>
          <w:sz w:val="24"/>
          <w:szCs w:val="24"/>
          <w:shd w:val="clear" w:color="auto" w:fill="FFFFFF"/>
        </w:rPr>
        <w:t>。</w:t>
      </w:r>
    </w:p>
    <w:p w14:paraId="54B66E93">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2" w:firstLineChars="200"/>
        <w:textAlignment w:val="auto"/>
        <w:rPr>
          <w:rFonts w:hint="eastAsia" w:ascii="宋体" w:hAnsi="宋体" w:eastAsia="宋体" w:cs="宋体"/>
          <w:i w:val="0"/>
          <w:iCs w:val="0"/>
          <w:caps w:val="0"/>
          <w:color w:val="0F1115"/>
          <w:spacing w:val="0"/>
          <w:sz w:val="24"/>
          <w:szCs w:val="24"/>
        </w:rPr>
      </w:pPr>
      <w:r>
        <w:rPr>
          <w:rStyle w:val="12"/>
          <w:rFonts w:hint="eastAsia" w:ascii="宋体" w:hAnsi="宋体" w:cs="宋体"/>
          <w:b/>
          <w:bCs/>
          <w:i w:val="0"/>
          <w:iCs w:val="0"/>
          <w:caps w:val="0"/>
          <w:color w:val="0F1115"/>
          <w:spacing w:val="0"/>
          <w:sz w:val="24"/>
          <w:szCs w:val="24"/>
          <w:shd w:val="clear" w:color="auto" w:fill="FFFFFF"/>
          <w:lang w:val="en-US" w:eastAsia="zh-CN"/>
        </w:rPr>
        <w:t>7.1</w:t>
      </w:r>
      <w:r>
        <w:rPr>
          <w:rStyle w:val="12"/>
          <w:rFonts w:hint="eastAsia" w:ascii="宋体" w:hAnsi="宋体" w:eastAsia="宋体" w:cs="宋体"/>
          <w:b/>
          <w:bCs/>
          <w:i w:val="0"/>
          <w:iCs w:val="0"/>
          <w:caps w:val="0"/>
          <w:color w:val="0F1115"/>
          <w:spacing w:val="0"/>
          <w:sz w:val="24"/>
          <w:szCs w:val="24"/>
          <w:shd w:val="clear" w:color="auto" w:fill="FFFFFF"/>
        </w:rPr>
        <w:t>.3 实验室检查</w:t>
      </w:r>
    </w:p>
    <w:p w14:paraId="3EC7E48F">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2" w:firstLineChars="200"/>
        <w:textAlignment w:val="auto"/>
        <w:rPr>
          <w:rFonts w:hint="eastAsia" w:ascii="宋体" w:hAnsi="宋体" w:eastAsia="宋体" w:cs="宋体"/>
          <w:i w:val="0"/>
          <w:iCs w:val="0"/>
          <w:caps w:val="0"/>
          <w:color w:val="0F1115"/>
          <w:spacing w:val="0"/>
          <w:sz w:val="24"/>
          <w:szCs w:val="24"/>
        </w:rPr>
      </w:pPr>
      <w:r>
        <w:rPr>
          <w:rStyle w:val="12"/>
          <w:rFonts w:hint="eastAsia" w:ascii="宋体" w:hAnsi="宋体" w:eastAsia="宋体" w:cs="宋体"/>
          <w:b/>
          <w:bCs/>
          <w:i w:val="0"/>
          <w:iCs w:val="0"/>
          <w:caps w:val="0"/>
          <w:color w:val="0F1115"/>
          <w:spacing w:val="0"/>
          <w:sz w:val="24"/>
          <w:szCs w:val="24"/>
          <w:shd w:val="clear" w:color="auto" w:fill="FFFFFF"/>
        </w:rPr>
        <w:t>a)类风湿因子（RF）</w:t>
      </w:r>
      <w:r>
        <w:rPr>
          <w:rFonts w:hint="eastAsia" w:ascii="宋体" w:hAnsi="宋体" w:eastAsia="宋体" w:cs="宋体"/>
          <w:i w:val="0"/>
          <w:iCs w:val="0"/>
          <w:caps w:val="0"/>
          <w:color w:val="0F1115"/>
          <w:spacing w:val="0"/>
          <w:sz w:val="24"/>
          <w:szCs w:val="24"/>
          <w:shd w:val="clear" w:color="auto" w:fill="FFFFFF"/>
        </w:rPr>
        <w:t>：约60%</w:t>
      </w:r>
      <w:r>
        <w:rPr>
          <w:rFonts w:hint="eastAsia" w:ascii="宋体" w:hAnsi="宋体" w:cs="宋体"/>
          <w:i w:val="0"/>
          <w:iCs w:val="0"/>
          <w:caps w:val="0"/>
          <w:color w:val="0F1115"/>
          <w:spacing w:val="0"/>
          <w:sz w:val="24"/>
          <w:szCs w:val="24"/>
          <w:shd w:val="clear" w:color="auto" w:fill="FFFFFF"/>
          <w:lang w:eastAsia="zh-CN"/>
        </w:rPr>
        <w:t>～</w:t>
      </w:r>
      <w:r>
        <w:rPr>
          <w:rFonts w:hint="eastAsia" w:ascii="宋体" w:hAnsi="宋体" w:eastAsia="宋体" w:cs="宋体"/>
          <w:i w:val="0"/>
          <w:iCs w:val="0"/>
          <w:caps w:val="0"/>
          <w:color w:val="0F1115"/>
          <w:spacing w:val="0"/>
          <w:sz w:val="24"/>
          <w:szCs w:val="24"/>
          <w:shd w:val="clear" w:color="auto" w:fill="FFFFFF"/>
        </w:rPr>
        <w:t>80%的RA患者RF阳性，但RF并非RA特异性标志，亦可见于其他风湿免疫病、感染性疾病及健康老年人。RF滴度高的RA患者往往病情较重、关节破坏进展更快、预后较差。</w:t>
      </w:r>
    </w:p>
    <w:p w14:paraId="2DA01741">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2" w:firstLineChars="200"/>
        <w:textAlignment w:val="auto"/>
        <w:rPr>
          <w:rFonts w:hint="eastAsia" w:ascii="宋体" w:hAnsi="宋体" w:eastAsia="宋体" w:cs="宋体"/>
          <w:i w:val="0"/>
          <w:iCs w:val="0"/>
          <w:caps w:val="0"/>
          <w:color w:val="0F1115"/>
          <w:spacing w:val="0"/>
          <w:sz w:val="24"/>
          <w:szCs w:val="24"/>
        </w:rPr>
      </w:pPr>
      <w:r>
        <w:rPr>
          <w:rStyle w:val="12"/>
          <w:rFonts w:hint="eastAsia" w:ascii="宋体" w:hAnsi="宋体" w:eastAsia="宋体" w:cs="宋体"/>
          <w:b/>
          <w:bCs/>
          <w:i w:val="0"/>
          <w:iCs w:val="0"/>
          <w:caps w:val="0"/>
          <w:color w:val="0F1115"/>
          <w:spacing w:val="0"/>
          <w:sz w:val="24"/>
          <w:szCs w:val="24"/>
          <w:shd w:val="clear" w:color="auto" w:fill="FFFFFF"/>
        </w:rPr>
        <w:t>b)抗环瓜氨酸肽抗体（抗CCP抗体）</w:t>
      </w:r>
      <w:r>
        <w:rPr>
          <w:rFonts w:hint="eastAsia" w:ascii="宋体" w:hAnsi="宋体" w:eastAsia="宋体" w:cs="宋体"/>
          <w:i w:val="0"/>
          <w:iCs w:val="0"/>
          <w:caps w:val="0"/>
          <w:color w:val="0F1115"/>
          <w:spacing w:val="0"/>
          <w:sz w:val="24"/>
          <w:szCs w:val="24"/>
          <w:shd w:val="clear" w:color="auto" w:fill="FFFFFF"/>
        </w:rPr>
        <w:t>：是RA高度特异的血清学标志物，特异性＞96%，阳性率约50%</w:t>
      </w:r>
      <w:r>
        <w:rPr>
          <w:rFonts w:hint="eastAsia" w:ascii="宋体" w:hAnsi="宋体" w:cs="宋体"/>
          <w:i w:val="0"/>
          <w:iCs w:val="0"/>
          <w:caps w:val="0"/>
          <w:color w:val="0F1115"/>
          <w:spacing w:val="0"/>
          <w:sz w:val="24"/>
          <w:szCs w:val="24"/>
          <w:shd w:val="clear" w:color="auto" w:fill="FFFFFF"/>
          <w:lang w:eastAsia="zh-CN"/>
        </w:rPr>
        <w:t>～</w:t>
      </w:r>
      <w:r>
        <w:rPr>
          <w:rFonts w:hint="eastAsia" w:ascii="宋体" w:hAnsi="宋体" w:eastAsia="宋体" w:cs="宋体"/>
          <w:i w:val="0"/>
          <w:iCs w:val="0"/>
          <w:caps w:val="0"/>
          <w:color w:val="0F1115"/>
          <w:spacing w:val="0"/>
          <w:sz w:val="24"/>
          <w:szCs w:val="24"/>
          <w:shd w:val="clear" w:color="auto" w:fill="FFFFFF"/>
        </w:rPr>
        <w:t>75%。抗CCP抗体可在RA症状出现前数年即已存在，与骨侵蚀进展和预后不良密切相关，是RA早期诊断最有价值的生物学标志。</w:t>
      </w:r>
    </w:p>
    <w:p w14:paraId="35827A54">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2" w:firstLineChars="200"/>
        <w:textAlignment w:val="auto"/>
        <w:rPr>
          <w:rFonts w:hint="eastAsia" w:ascii="宋体" w:hAnsi="宋体" w:eastAsia="宋体" w:cs="宋体"/>
          <w:i w:val="0"/>
          <w:iCs w:val="0"/>
          <w:caps w:val="0"/>
          <w:color w:val="0F1115"/>
          <w:spacing w:val="0"/>
          <w:sz w:val="24"/>
          <w:szCs w:val="24"/>
        </w:rPr>
      </w:pPr>
      <w:r>
        <w:rPr>
          <w:rStyle w:val="12"/>
          <w:rFonts w:hint="eastAsia" w:ascii="宋体" w:hAnsi="宋体" w:eastAsia="宋体" w:cs="宋体"/>
          <w:b/>
          <w:bCs/>
          <w:i w:val="0"/>
          <w:iCs w:val="0"/>
          <w:caps w:val="0"/>
          <w:color w:val="0F1115"/>
          <w:spacing w:val="0"/>
          <w:sz w:val="24"/>
          <w:szCs w:val="24"/>
          <w:shd w:val="clear" w:color="auto" w:fill="FFFFFF"/>
        </w:rPr>
        <w:t>c)红细胞沉降率（ESR）和C反应蛋白（CRP）</w:t>
      </w:r>
      <w:r>
        <w:rPr>
          <w:rFonts w:hint="eastAsia" w:ascii="宋体" w:hAnsi="宋体" w:eastAsia="宋体" w:cs="宋体"/>
          <w:i w:val="0"/>
          <w:iCs w:val="0"/>
          <w:caps w:val="0"/>
          <w:color w:val="0F1115"/>
          <w:spacing w:val="0"/>
          <w:sz w:val="24"/>
          <w:szCs w:val="24"/>
          <w:shd w:val="clear" w:color="auto" w:fill="FFFFFF"/>
        </w:rPr>
        <w:t>：反映急性时相炎症反应，是RA疾病活动度的关键监测指标。CRP比ESR更为敏感，变化更迅速，在感染鉴别、疗效判断、复发预测中具有独特价值。</w:t>
      </w:r>
    </w:p>
    <w:p w14:paraId="35C8B80A">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2" w:firstLineChars="200"/>
        <w:textAlignment w:val="auto"/>
        <w:rPr>
          <w:rFonts w:hint="eastAsia" w:ascii="宋体" w:hAnsi="宋体" w:eastAsia="宋体" w:cs="宋体"/>
          <w:i w:val="0"/>
          <w:iCs w:val="0"/>
          <w:caps w:val="0"/>
          <w:color w:val="0F1115"/>
          <w:spacing w:val="0"/>
          <w:sz w:val="24"/>
          <w:szCs w:val="24"/>
        </w:rPr>
      </w:pPr>
      <w:r>
        <w:rPr>
          <w:rStyle w:val="12"/>
          <w:rFonts w:hint="eastAsia" w:ascii="宋体" w:hAnsi="宋体" w:eastAsia="宋体" w:cs="宋体"/>
          <w:b/>
          <w:bCs/>
          <w:i w:val="0"/>
          <w:iCs w:val="0"/>
          <w:caps w:val="0"/>
          <w:color w:val="0F1115"/>
          <w:spacing w:val="0"/>
          <w:sz w:val="24"/>
          <w:szCs w:val="24"/>
          <w:shd w:val="clear" w:color="auto" w:fill="FFFFFF"/>
        </w:rPr>
        <w:t>d)抗核抗体（ANA）</w:t>
      </w:r>
      <w:r>
        <w:rPr>
          <w:rFonts w:hint="eastAsia" w:ascii="宋体" w:hAnsi="宋体" w:eastAsia="宋体" w:cs="宋体"/>
          <w:i w:val="0"/>
          <w:iCs w:val="0"/>
          <w:caps w:val="0"/>
          <w:color w:val="0F1115"/>
          <w:spacing w:val="0"/>
          <w:sz w:val="24"/>
          <w:szCs w:val="24"/>
          <w:shd w:val="clear" w:color="auto" w:fill="FFFFFF"/>
        </w:rPr>
        <w:t>:RA患者可有低滴度的ANA阳性，但若ANA呈高滴度阳性或伴有其他特异性自身抗体阳性，则需警惕RA重叠其他结缔组织病的可能性。</w:t>
      </w:r>
    </w:p>
    <w:p w14:paraId="322A7C5E">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2" w:firstLineChars="200"/>
        <w:textAlignment w:val="auto"/>
        <w:rPr>
          <w:rFonts w:hint="eastAsia" w:ascii="宋体" w:hAnsi="宋体" w:eastAsia="宋体" w:cs="宋体"/>
          <w:i w:val="0"/>
          <w:iCs w:val="0"/>
          <w:caps w:val="0"/>
          <w:color w:val="0F1115"/>
          <w:spacing w:val="0"/>
          <w:sz w:val="24"/>
          <w:szCs w:val="24"/>
        </w:rPr>
      </w:pPr>
      <w:r>
        <w:rPr>
          <w:rStyle w:val="12"/>
          <w:rFonts w:hint="eastAsia" w:ascii="宋体" w:hAnsi="宋体" w:cs="宋体"/>
          <w:b/>
          <w:bCs/>
          <w:i w:val="0"/>
          <w:iCs w:val="0"/>
          <w:caps w:val="0"/>
          <w:color w:val="0F1115"/>
          <w:spacing w:val="0"/>
          <w:sz w:val="24"/>
          <w:szCs w:val="24"/>
          <w:shd w:val="clear" w:color="auto" w:fill="FFFFFF"/>
          <w:lang w:val="en-US" w:eastAsia="zh-CN"/>
        </w:rPr>
        <w:t>7.1</w:t>
      </w:r>
      <w:r>
        <w:rPr>
          <w:rStyle w:val="12"/>
          <w:rFonts w:hint="eastAsia" w:ascii="宋体" w:hAnsi="宋体" w:eastAsia="宋体" w:cs="宋体"/>
          <w:b/>
          <w:bCs/>
          <w:i w:val="0"/>
          <w:iCs w:val="0"/>
          <w:caps w:val="0"/>
          <w:color w:val="0F1115"/>
          <w:spacing w:val="0"/>
          <w:sz w:val="24"/>
          <w:szCs w:val="24"/>
          <w:shd w:val="clear" w:color="auto" w:fill="FFFFFF"/>
        </w:rPr>
        <w:t>.4 影像学检查</w:t>
      </w:r>
    </w:p>
    <w:p w14:paraId="1272A7BB">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0" w:firstLineChars="200"/>
        <w:textAlignment w:val="auto"/>
        <w:rPr>
          <w:rFonts w:hint="eastAsia" w:ascii="宋体" w:hAnsi="宋体" w:eastAsia="宋体" w:cs="宋体"/>
          <w:i w:val="0"/>
          <w:iCs w:val="0"/>
          <w:caps w:val="0"/>
          <w:color w:val="0F1115"/>
          <w:spacing w:val="0"/>
          <w:sz w:val="24"/>
          <w:szCs w:val="24"/>
        </w:rPr>
      </w:pPr>
      <w:r>
        <w:rPr>
          <w:rFonts w:hint="eastAsia" w:ascii="宋体" w:hAnsi="宋体" w:eastAsia="宋体" w:cs="宋体"/>
          <w:i w:val="0"/>
          <w:iCs w:val="0"/>
          <w:caps w:val="0"/>
          <w:color w:val="0F1115"/>
          <w:spacing w:val="0"/>
          <w:sz w:val="24"/>
          <w:szCs w:val="24"/>
          <w:shd w:val="clear" w:color="auto" w:fill="FFFFFF"/>
        </w:rPr>
        <w:t>可根据患者情况和当地条件选择合适的影像学检查，包括X线、超声、CT和MRI等。影像学检查有助于辅助诊断和评估RA病情</w:t>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begin"/>
      </w:r>
      <w:r>
        <w:rPr>
          <w:rFonts w:hint="eastAsia" w:ascii="宋体" w:hAnsi="宋体" w:eastAsia="宋体" w:cs="宋体"/>
          <w:i w:val="0"/>
          <w:iCs w:val="0"/>
          <w:caps w:val="0"/>
          <w:color w:val="3964FE"/>
          <w:spacing w:val="0"/>
          <w:sz w:val="24"/>
          <w:szCs w:val="24"/>
          <w:u w:val="none"/>
          <w:bdr w:val="single" w:color="auto" w:sz="8" w:space="0"/>
          <w:shd w:val="clear" w:color="auto" w:fill="FFFFFF"/>
        </w:rPr>
        <w:instrText xml:space="preserve"> HYPERLINK "https://k.sina.cn/article_1893826915_70e1816301901j2v4.html?from=news" \t "https://chat.deepseek.com/a/chat/s/_blank" </w:instrText>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separate"/>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end"/>
      </w:r>
      <w:r>
        <w:rPr>
          <w:rFonts w:hint="eastAsia" w:ascii="宋体" w:hAnsi="宋体" w:eastAsia="宋体" w:cs="宋体"/>
          <w:i w:val="0"/>
          <w:iCs w:val="0"/>
          <w:caps w:val="0"/>
          <w:color w:val="0F1115"/>
          <w:spacing w:val="0"/>
          <w:sz w:val="24"/>
          <w:szCs w:val="24"/>
          <w:shd w:val="clear" w:color="auto" w:fill="FFFFFF"/>
        </w:rPr>
        <w:t>。</w:t>
      </w:r>
    </w:p>
    <w:p w14:paraId="16E0D71A">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2" w:firstLineChars="200"/>
        <w:textAlignment w:val="auto"/>
        <w:rPr>
          <w:rFonts w:hint="eastAsia" w:ascii="宋体" w:hAnsi="宋体" w:eastAsia="宋体" w:cs="宋体"/>
          <w:i w:val="0"/>
          <w:iCs w:val="0"/>
          <w:caps w:val="0"/>
          <w:color w:val="0F1115"/>
          <w:spacing w:val="0"/>
          <w:sz w:val="24"/>
          <w:szCs w:val="24"/>
        </w:rPr>
      </w:pPr>
      <w:r>
        <w:rPr>
          <w:rStyle w:val="12"/>
          <w:rFonts w:hint="eastAsia" w:ascii="宋体" w:hAnsi="宋体" w:eastAsia="宋体" w:cs="宋体"/>
          <w:b/>
          <w:bCs/>
          <w:i w:val="0"/>
          <w:iCs w:val="0"/>
          <w:caps w:val="0"/>
          <w:color w:val="0F1115"/>
          <w:spacing w:val="0"/>
          <w:sz w:val="24"/>
          <w:szCs w:val="24"/>
          <w:shd w:val="clear" w:color="auto" w:fill="FFFFFF"/>
        </w:rPr>
        <w:t>a)常规X线</w:t>
      </w:r>
      <w:r>
        <w:rPr>
          <w:rFonts w:hint="eastAsia" w:ascii="宋体" w:hAnsi="宋体" w:eastAsia="宋体" w:cs="宋体"/>
          <w:i w:val="0"/>
          <w:iCs w:val="0"/>
          <w:caps w:val="0"/>
          <w:color w:val="0F1115"/>
          <w:spacing w:val="0"/>
          <w:sz w:val="24"/>
          <w:szCs w:val="24"/>
          <w:shd w:val="clear" w:color="auto" w:fill="FFFFFF"/>
        </w:rPr>
        <w:t>：主要用于评估晚期RA关节结构破坏，表现为关节周围软组织肿胀、骨质疏松、关节间隙狭窄、骨侵蚀、关节半脱位及强直等。X线对早期滑膜炎敏感度低，早期RA可无明显X线异常。</w:t>
      </w:r>
    </w:p>
    <w:p w14:paraId="4778B21B">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2" w:firstLineChars="200"/>
        <w:textAlignment w:val="auto"/>
        <w:rPr>
          <w:rFonts w:hint="eastAsia" w:ascii="宋体" w:hAnsi="宋体" w:eastAsia="宋体" w:cs="宋体"/>
          <w:i w:val="0"/>
          <w:iCs w:val="0"/>
          <w:caps w:val="0"/>
          <w:color w:val="0F1115"/>
          <w:spacing w:val="0"/>
          <w:sz w:val="24"/>
          <w:szCs w:val="24"/>
        </w:rPr>
      </w:pPr>
      <w:r>
        <w:rPr>
          <w:rStyle w:val="12"/>
          <w:rFonts w:hint="eastAsia" w:ascii="宋体" w:hAnsi="宋体" w:eastAsia="宋体" w:cs="宋体"/>
          <w:b/>
          <w:bCs/>
          <w:i w:val="0"/>
          <w:iCs w:val="0"/>
          <w:caps w:val="0"/>
          <w:color w:val="0F1115"/>
          <w:spacing w:val="0"/>
          <w:sz w:val="24"/>
          <w:szCs w:val="24"/>
          <w:shd w:val="clear" w:color="auto" w:fill="FFFFFF"/>
        </w:rPr>
        <w:t>b)肌骨超声（MSUS）</w:t>
      </w:r>
      <w:r>
        <w:rPr>
          <w:rFonts w:hint="eastAsia" w:ascii="宋体" w:hAnsi="宋体" w:eastAsia="宋体" w:cs="宋体"/>
          <w:i w:val="0"/>
          <w:iCs w:val="0"/>
          <w:caps w:val="0"/>
          <w:color w:val="0F1115"/>
          <w:spacing w:val="0"/>
          <w:sz w:val="24"/>
          <w:szCs w:val="24"/>
          <w:shd w:val="clear" w:color="auto" w:fill="FFFFFF"/>
        </w:rPr>
        <w:t>：在RA的早期诊断、鉴别诊断、疾病活动监测及治疗应答评估中具有重要价值。超声可敏感识别滑膜增厚、关节腔积液、腱鞘炎及滑膜血流信号（能量多普勒），后者与炎性活动水平密切相关。2025年专家综述系统阐述了MSUS在RA诊断中的应用，包括鉴别RA与其他关节炎、超声评分系统和质控措施、纵向监测策略以及最受益的患者人群</w:t>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begin"/>
      </w:r>
      <w:r>
        <w:rPr>
          <w:rFonts w:hint="eastAsia" w:ascii="宋体" w:hAnsi="宋体" w:eastAsia="宋体" w:cs="宋体"/>
          <w:i w:val="0"/>
          <w:iCs w:val="0"/>
          <w:caps w:val="0"/>
          <w:color w:val="3964FE"/>
          <w:spacing w:val="0"/>
          <w:sz w:val="24"/>
          <w:szCs w:val="24"/>
          <w:u w:val="none"/>
          <w:bdr w:val="single" w:color="auto" w:sz="8" w:space="0"/>
          <w:shd w:val="clear" w:color="auto" w:fill="FFFFFF"/>
        </w:rPr>
        <w:instrText xml:space="preserve"> HYPERLINK "https://pubmed.ncbi.nlm.nih.gov/40374410/" \t "https://chat.deepseek.com/a/chat/s/_blank" </w:instrText>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separate"/>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end"/>
      </w:r>
      <w:r>
        <w:rPr>
          <w:rFonts w:hint="eastAsia" w:ascii="宋体" w:hAnsi="宋体" w:eastAsia="宋体" w:cs="宋体"/>
          <w:i w:val="0"/>
          <w:iCs w:val="0"/>
          <w:caps w:val="0"/>
          <w:color w:val="0F1115"/>
          <w:spacing w:val="0"/>
          <w:sz w:val="24"/>
          <w:szCs w:val="24"/>
          <w:shd w:val="clear" w:color="auto" w:fill="FFFFFF"/>
        </w:rPr>
        <w:t>。</w:t>
      </w:r>
    </w:p>
    <w:p w14:paraId="09B972A2">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2" w:firstLineChars="200"/>
        <w:textAlignment w:val="auto"/>
        <w:rPr>
          <w:rFonts w:hint="eastAsia" w:ascii="宋体" w:hAnsi="宋体" w:eastAsia="宋体" w:cs="宋体"/>
          <w:i w:val="0"/>
          <w:iCs w:val="0"/>
          <w:caps w:val="0"/>
          <w:color w:val="0F1115"/>
          <w:spacing w:val="0"/>
          <w:sz w:val="24"/>
          <w:szCs w:val="24"/>
        </w:rPr>
      </w:pPr>
      <w:r>
        <w:rPr>
          <w:rStyle w:val="12"/>
          <w:rFonts w:hint="eastAsia" w:ascii="宋体" w:hAnsi="宋体" w:eastAsia="宋体" w:cs="宋体"/>
          <w:b/>
          <w:bCs/>
          <w:i w:val="0"/>
          <w:iCs w:val="0"/>
          <w:caps w:val="0"/>
          <w:color w:val="0F1115"/>
          <w:spacing w:val="0"/>
          <w:sz w:val="24"/>
          <w:szCs w:val="24"/>
          <w:shd w:val="clear" w:color="auto" w:fill="FFFFFF"/>
        </w:rPr>
        <w:t>c)磁共振成像（MRI）</w:t>
      </w:r>
      <w:r>
        <w:rPr>
          <w:rFonts w:hint="eastAsia" w:ascii="宋体" w:hAnsi="宋体" w:eastAsia="宋体" w:cs="宋体"/>
          <w:i w:val="0"/>
          <w:iCs w:val="0"/>
          <w:caps w:val="0"/>
          <w:color w:val="0F1115"/>
          <w:spacing w:val="0"/>
          <w:sz w:val="24"/>
          <w:szCs w:val="24"/>
          <w:shd w:val="clear" w:color="auto" w:fill="FFFFFF"/>
        </w:rPr>
        <w:t>：因对滑膜炎、骨髓水肿和骨侵蚀具有高敏感性，已成为RA临床和研究中评估炎症性关节炎的重要工具</w:t>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begin"/>
      </w:r>
      <w:r>
        <w:rPr>
          <w:rFonts w:hint="eastAsia" w:ascii="宋体" w:hAnsi="宋体" w:eastAsia="宋体" w:cs="宋体"/>
          <w:i w:val="0"/>
          <w:iCs w:val="0"/>
          <w:caps w:val="0"/>
          <w:color w:val="3964FE"/>
          <w:spacing w:val="0"/>
          <w:sz w:val="24"/>
          <w:szCs w:val="24"/>
          <w:u w:val="none"/>
          <w:bdr w:val="single" w:color="auto" w:sz="8" w:space="0"/>
          <w:shd w:val="clear" w:color="auto" w:fill="FFFFFF"/>
        </w:rPr>
        <w:instrText xml:space="preserve"> HYPERLINK "https://link.springer.com/article/10.1007/s00256-025-05037-7" \t "https://chat.deepseek.com/a/chat/s/_blank" </w:instrText>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separate"/>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end"/>
      </w:r>
      <w:r>
        <w:rPr>
          <w:rFonts w:hint="eastAsia" w:ascii="宋体" w:hAnsi="宋体" w:eastAsia="宋体" w:cs="宋体"/>
          <w:i w:val="0"/>
          <w:iCs w:val="0"/>
          <w:caps w:val="0"/>
          <w:color w:val="0F1115"/>
          <w:spacing w:val="0"/>
          <w:sz w:val="24"/>
          <w:szCs w:val="24"/>
          <w:shd w:val="clear" w:color="auto" w:fill="FFFFFF"/>
        </w:rPr>
        <w:t>。MRI可在常规X线出现改变前即检测到骨髓水肿和早期骨侵蚀病变，对临床前期RA和极早期RA的诊断具有独特优势。2025年专家综述分析了MRI在临床前期及早期RA诊断、疾病活动监测中的价值</w:t>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begin"/>
      </w:r>
      <w:r>
        <w:rPr>
          <w:rFonts w:hint="eastAsia" w:ascii="宋体" w:hAnsi="宋体" w:eastAsia="宋体" w:cs="宋体"/>
          <w:i w:val="0"/>
          <w:iCs w:val="0"/>
          <w:caps w:val="0"/>
          <w:color w:val="3964FE"/>
          <w:spacing w:val="0"/>
          <w:sz w:val="24"/>
          <w:szCs w:val="24"/>
          <w:u w:val="none"/>
          <w:bdr w:val="single" w:color="auto" w:sz="8" w:space="0"/>
          <w:shd w:val="clear" w:color="auto" w:fill="FFFFFF"/>
        </w:rPr>
        <w:instrText xml:space="preserve"> HYPERLINK "https://pubmed.ncbi.nlm.nih.gov/40374410/" \t "https://chat.deepseek.com/a/chat/s/_blank" </w:instrText>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separate"/>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end"/>
      </w:r>
      <w:r>
        <w:rPr>
          <w:rFonts w:hint="eastAsia" w:ascii="宋体" w:hAnsi="宋体" w:eastAsia="宋体" w:cs="宋体"/>
          <w:i w:val="0"/>
          <w:iCs w:val="0"/>
          <w:caps w:val="0"/>
          <w:color w:val="0F1115"/>
          <w:spacing w:val="0"/>
          <w:sz w:val="24"/>
          <w:szCs w:val="24"/>
          <w:shd w:val="clear" w:color="auto" w:fill="FFFFFF"/>
        </w:rPr>
        <w:t>。鼓励开展基于深度学习算法的AI辅助MRI评分机制和人工智能在RA诊断与监测中的应用。</w:t>
      </w:r>
    </w:p>
    <w:p w14:paraId="4845460C">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2" w:firstLineChars="200"/>
        <w:textAlignment w:val="auto"/>
        <w:rPr>
          <w:rFonts w:hint="eastAsia" w:ascii="宋体" w:hAnsi="宋体" w:eastAsia="宋体" w:cs="宋体"/>
          <w:i w:val="0"/>
          <w:iCs w:val="0"/>
          <w:caps w:val="0"/>
          <w:color w:val="0F1115"/>
          <w:spacing w:val="0"/>
          <w:sz w:val="24"/>
          <w:szCs w:val="24"/>
        </w:rPr>
      </w:pPr>
      <w:r>
        <w:rPr>
          <w:rStyle w:val="12"/>
          <w:rFonts w:hint="eastAsia" w:ascii="宋体" w:hAnsi="宋体" w:eastAsia="宋体" w:cs="宋体"/>
          <w:b/>
          <w:bCs/>
          <w:i w:val="0"/>
          <w:iCs w:val="0"/>
          <w:caps w:val="0"/>
          <w:color w:val="0F1115"/>
          <w:spacing w:val="0"/>
          <w:sz w:val="24"/>
          <w:szCs w:val="24"/>
          <w:shd w:val="clear" w:color="auto" w:fill="FFFFFF"/>
        </w:rPr>
        <w:t>d)CT和PET/CT</w:t>
      </w:r>
      <w:r>
        <w:rPr>
          <w:rFonts w:hint="eastAsia" w:ascii="宋体" w:hAnsi="宋体" w:eastAsia="宋体" w:cs="宋体"/>
          <w:i w:val="0"/>
          <w:iCs w:val="0"/>
          <w:caps w:val="0"/>
          <w:color w:val="0F1115"/>
          <w:spacing w:val="0"/>
          <w:sz w:val="24"/>
          <w:szCs w:val="24"/>
          <w:shd w:val="clear" w:color="auto" w:fill="FFFFFF"/>
        </w:rPr>
        <w:t>：CT可清晰显示RA骨侵蚀、关节破坏及脊柱病变；PET/CT可评估全身炎症负荷，在特殊病例中有一定应用价值。</w:t>
      </w:r>
    </w:p>
    <w:p w14:paraId="685D8598">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2" w:firstLineChars="200"/>
        <w:textAlignment w:val="auto"/>
        <w:rPr>
          <w:rFonts w:hint="eastAsia" w:ascii="宋体" w:hAnsi="宋体" w:eastAsia="宋体" w:cs="宋体"/>
          <w:i w:val="0"/>
          <w:iCs w:val="0"/>
          <w:caps w:val="0"/>
          <w:color w:val="0F1115"/>
          <w:spacing w:val="0"/>
          <w:sz w:val="24"/>
          <w:szCs w:val="24"/>
        </w:rPr>
      </w:pPr>
      <w:r>
        <w:rPr>
          <w:rStyle w:val="12"/>
          <w:rFonts w:hint="eastAsia" w:ascii="宋体" w:hAnsi="宋体" w:cs="宋体"/>
          <w:b/>
          <w:bCs/>
          <w:i w:val="0"/>
          <w:iCs w:val="0"/>
          <w:caps w:val="0"/>
          <w:color w:val="0F1115"/>
          <w:spacing w:val="0"/>
          <w:sz w:val="24"/>
          <w:szCs w:val="24"/>
          <w:shd w:val="clear" w:color="auto" w:fill="FFFFFF"/>
          <w:lang w:val="en-US" w:eastAsia="zh-CN"/>
        </w:rPr>
        <w:t>7.1</w:t>
      </w:r>
      <w:r>
        <w:rPr>
          <w:rStyle w:val="12"/>
          <w:rFonts w:hint="eastAsia" w:ascii="宋体" w:hAnsi="宋体" w:eastAsia="宋体" w:cs="宋体"/>
          <w:b/>
          <w:bCs/>
          <w:i w:val="0"/>
          <w:iCs w:val="0"/>
          <w:caps w:val="0"/>
          <w:color w:val="0F1115"/>
          <w:spacing w:val="0"/>
          <w:sz w:val="24"/>
          <w:szCs w:val="24"/>
          <w:shd w:val="clear" w:color="auto" w:fill="FFFFFF"/>
        </w:rPr>
        <w:t>.5 鉴别诊断</w:t>
      </w:r>
    </w:p>
    <w:p w14:paraId="39EAC5E8">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0" w:firstLineChars="200"/>
        <w:textAlignment w:val="auto"/>
        <w:rPr>
          <w:rFonts w:hint="eastAsia" w:ascii="宋体" w:hAnsi="宋体" w:eastAsia="宋体" w:cs="宋体"/>
          <w:i w:val="0"/>
          <w:iCs w:val="0"/>
          <w:caps w:val="0"/>
          <w:color w:val="0F1115"/>
          <w:spacing w:val="0"/>
          <w:sz w:val="24"/>
          <w:szCs w:val="24"/>
        </w:rPr>
      </w:pPr>
      <w:r>
        <w:rPr>
          <w:rFonts w:hint="eastAsia" w:ascii="宋体" w:hAnsi="宋体" w:eastAsia="宋体" w:cs="宋体"/>
          <w:i w:val="0"/>
          <w:iCs w:val="0"/>
          <w:caps w:val="0"/>
          <w:color w:val="0F1115"/>
          <w:spacing w:val="0"/>
          <w:sz w:val="24"/>
          <w:szCs w:val="24"/>
          <w:shd w:val="clear" w:color="auto" w:fill="FFFFFF"/>
        </w:rPr>
        <w:t>RA需与以下疾病进行鉴别</w:t>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begin"/>
      </w:r>
      <w:r>
        <w:rPr>
          <w:rFonts w:hint="eastAsia" w:ascii="宋体" w:hAnsi="宋体" w:eastAsia="宋体" w:cs="宋体"/>
          <w:i w:val="0"/>
          <w:iCs w:val="0"/>
          <w:caps w:val="0"/>
          <w:color w:val="3964FE"/>
          <w:spacing w:val="0"/>
          <w:sz w:val="24"/>
          <w:szCs w:val="24"/>
          <w:u w:val="none"/>
          <w:bdr w:val="single" w:color="auto" w:sz="8" w:space="0"/>
          <w:shd w:val="clear" w:color="auto" w:fill="FFFFFF"/>
        </w:rPr>
        <w:instrText xml:space="preserve"> HYPERLINK "https://www.xinglinpukang.com/detail/22449113.html" \t "https://chat.deepseek.com/a/chat/s/_blank" </w:instrText>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separate"/>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end"/>
      </w:r>
      <w:r>
        <w:rPr>
          <w:rFonts w:hint="eastAsia" w:ascii="宋体" w:hAnsi="宋体" w:eastAsia="宋体" w:cs="宋体"/>
          <w:i w:val="0"/>
          <w:iCs w:val="0"/>
          <w:caps w:val="0"/>
          <w:color w:val="0F1115"/>
          <w:spacing w:val="0"/>
          <w:sz w:val="24"/>
          <w:szCs w:val="24"/>
          <w:shd w:val="clear" w:color="auto" w:fill="FFFFFF"/>
        </w:rPr>
        <w:t>：</w:t>
      </w:r>
    </w:p>
    <w:p w14:paraId="2CD90C88">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2" w:firstLineChars="200"/>
        <w:textAlignment w:val="auto"/>
        <w:rPr>
          <w:rFonts w:hint="eastAsia" w:ascii="宋体" w:hAnsi="宋体" w:eastAsia="宋体" w:cs="宋体"/>
          <w:i w:val="0"/>
          <w:iCs w:val="0"/>
          <w:caps w:val="0"/>
          <w:color w:val="0F1115"/>
          <w:spacing w:val="0"/>
          <w:sz w:val="24"/>
          <w:szCs w:val="24"/>
        </w:rPr>
      </w:pPr>
      <w:r>
        <w:rPr>
          <w:rStyle w:val="12"/>
          <w:rFonts w:hint="eastAsia" w:ascii="宋体" w:hAnsi="宋体" w:eastAsia="宋体" w:cs="宋体"/>
          <w:b/>
          <w:bCs/>
          <w:i w:val="0"/>
          <w:iCs w:val="0"/>
          <w:caps w:val="0"/>
          <w:color w:val="0F1115"/>
          <w:spacing w:val="0"/>
          <w:sz w:val="24"/>
          <w:szCs w:val="24"/>
          <w:shd w:val="clear" w:color="auto" w:fill="FFFFFF"/>
        </w:rPr>
        <w:t>a)骨关节炎</w:t>
      </w:r>
    </w:p>
    <w:p w14:paraId="46591503">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0" w:firstLineChars="200"/>
        <w:textAlignment w:val="auto"/>
        <w:rPr>
          <w:rFonts w:hint="eastAsia" w:ascii="宋体" w:hAnsi="宋体" w:eastAsia="宋体" w:cs="宋体"/>
          <w:i w:val="0"/>
          <w:iCs w:val="0"/>
          <w:caps w:val="0"/>
          <w:color w:val="0F1115"/>
          <w:spacing w:val="0"/>
          <w:sz w:val="24"/>
          <w:szCs w:val="24"/>
        </w:rPr>
      </w:pPr>
      <w:r>
        <w:rPr>
          <w:rFonts w:hint="eastAsia" w:ascii="宋体" w:hAnsi="宋体" w:eastAsia="宋体" w:cs="宋体"/>
          <w:i w:val="0"/>
          <w:iCs w:val="0"/>
          <w:caps w:val="0"/>
          <w:color w:val="0F1115"/>
          <w:spacing w:val="0"/>
          <w:sz w:val="24"/>
          <w:szCs w:val="24"/>
          <w:shd w:val="clear" w:color="auto" w:fill="FFFFFF"/>
        </w:rPr>
        <w:t>骨关节炎多发生于中老年人，主要累及膝、髋等负重关节及手指远端指间关节，疼痛在活动后加重、休息可缓解，可出现赫伯登结节和布夏尔结节。RA特征为由近及远的近端指间关节、掌指关节及腕等对称性小关节受累，持续性滑膜炎、晨僵、RF和抗CCP抗体阳性，影像学以软组织增生为主而非增生性骨赘及关节间隙非对称性狭窄为主要表现。</w:t>
      </w:r>
    </w:p>
    <w:p w14:paraId="4BC6A434">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2" w:firstLineChars="200"/>
        <w:textAlignment w:val="auto"/>
        <w:rPr>
          <w:rFonts w:hint="eastAsia" w:ascii="宋体" w:hAnsi="宋体" w:eastAsia="宋体" w:cs="宋体"/>
          <w:i w:val="0"/>
          <w:iCs w:val="0"/>
          <w:caps w:val="0"/>
          <w:color w:val="0F1115"/>
          <w:spacing w:val="0"/>
          <w:sz w:val="24"/>
          <w:szCs w:val="24"/>
        </w:rPr>
      </w:pPr>
      <w:r>
        <w:rPr>
          <w:rStyle w:val="12"/>
          <w:rFonts w:hint="eastAsia" w:ascii="宋体" w:hAnsi="宋体" w:eastAsia="宋体" w:cs="宋体"/>
          <w:b/>
          <w:bCs/>
          <w:i w:val="0"/>
          <w:iCs w:val="0"/>
          <w:caps w:val="0"/>
          <w:color w:val="0F1115"/>
          <w:spacing w:val="0"/>
          <w:sz w:val="24"/>
          <w:szCs w:val="24"/>
          <w:shd w:val="clear" w:color="auto" w:fill="FFFFFF"/>
        </w:rPr>
        <w:t>b)强直性脊柱炎</w:t>
      </w:r>
    </w:p>
    <w:p w14:paraId="71DCE574">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0" w:firstLineChars="200"/>
        <w:textAlignment w:val="auto"/>
        <w:rPr>
          <w:rFonts w:hint="eastAsia" w:ascii="宋体" w:hAnsi="宋体" w:eastAsia="宋体" w:cs="宋体"/>
          <w:i w:val="0"/>
          <w:iCs w:val="0"/>
          <w:caps w:val="0"/>
          <w:color w:val="0F1115"/>
          <w:spacing w:val="0"/>
          <w:sz w:val="24"/>
          <w:szCs w:val="24"/>
        </w:rPr>
      </w:pPr>
      <w:r>
        <w:rPr>
          <w:rFonts w:hint="eastAsia" w:ascii="宋体" w:hAnsi="宋体" w:eastAsia="宋体" w:cs="宋体"/>
          <w:i w:val="0"/>
          <w:iCs w:val="0"/>
          <w:caps w:val="0"/>
          <w:color w:val="0F1115"/>
          <w:spacing w:val="0"/>
          <w:sz w:val="24"/>
          <w:szCs w:val="24"/>
          <w:shd w:val="clear" w:color="auto" w:fill="FFFFFF"/>
        </w:rPr>
        <w:t>强直性脊柱炎好发于青年男性，主要侵犯骶髂关节、脊柱等中轴关节，HLA-B27多为阳性，类风湿因子阴性。RA亦可累及颈椎，但极少侵犯骶髂关节和脊柱。</w:t>
      </w:r>
    </w:p>
    <w:p w14:paraId="5C443CDE">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2" w:firstLineChars="200"/>
        <w:textAlignment w:val="auto"/>
        <w:rPr>
          <w:rFonts w:hint="eastAsia" w:ascii="宋体" w:hAnsi="宋体" w:eastAsia="宋体" w:cs="宋体"/>
          <w:i w:val="0"/>
          <w:iCs w:val="0"/>
          <w:caps w:val="0"/>
          <w:color w:val="0F1115"/>
          <w:spacing w:val="0"/>
          <w:sz w:val="24"/>
          <w:szCs w:val="24"/>
        </w:rPr>
      </w:pPr>
      <w:r>
        <w:rPr>
          <w:rStyle w:val="12"/>
          <w:rFonts w:hint="eastAsia" w:ascii="宋体" w:hAnsi="宋体" w:eastAsia="宋体" w:cs="宋体"/>
          <w:b/>
          <w:bCs/>
          <w:i w:val="0"/>
          <w:iCs w:val="0"/>
          <w:caps w:val="0"/>
          <w:color w:val="0F1115"/>
          <w:spacing w:val="0"/>
          <w:sz w:val="24"/>
          <w:szCs w:val="24"/>
          <w:shd w:val="clear" w:color="auto" w:fill="FFFFFF"/>
        </w:rPr>
        <w:t>c)银屑病关节炎</w:t>
      </w:r>
    </w:p>
    <w:p w14:paraId="554B0B0C">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0" w:firstLineChars="200"/>
        <w:textAlignment w:val="auto"/>
        <w:rPr>
          <w:rFonts w:hint="eastAsia" w:ascii="宋体" w:hAnsi="宋体" w:eastAsia="宋体" w:cs="宋体"/>
          <w:i w:val="0"/>
          <w:iCs w:val="0"/>
          <w:caps w:val="0"/>
          <w:color w:val="0F1115"/>
          <w:spacing w:val="0"/>
          <w:sz w:val="24"/>
          <w:szCs w:val="24"/>
        </w:rPr>
      </w:pPr>
      <w:r>
        <w:rPr>
          <w:rFonts w:hint="eastAsia" w:ascii="宋体" w:hAnsi="宋体" w:eastAsia="宋体" w:cs="宋体"/>
          <w:i w:val="0"/>
          <w:iCs w:val="0"/>
          <w:caps w:val="0"/>
          <w:color w:val="0F1115"/>
          <w:spacing w:val="0"/>
          <w:sz w:val="24"/>
          <w:szCs w:val="24"/>
          <w:shd w:val="clear" w:color="auto" w:fill="FFFFFF"/>
        </w:rPr>
        <w:t>银屑病关节炎患者多有银屑病史，关节表现多样，可出现腊肠指趾，常伴甲病变（甲凹陷、增厚、剥离）。RA无银屑病史，关节病变以对称性小关节炎为主。</w:t>
      </w:r>
    </w:p>
    <w:p w14:paraId="227AF394">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2" w:firstLineChars="200"/>
        <w:textAlignment w:val="auto"/>
        <w:rPr>
          <w:rFonts w:hint="eastAsia" w:ascii="宋体" w:hAnsi="宋体" w:eastAsia="宋体" w:cs="宋体"/>
          <w:i w:val="0"/>
          <w:iCs w:val="0"/>
          <w:caps w:val="0"/>
          <w:color w:val="0F1115"/>
          <w:spacing w:val="0"/>
          <w:sz w:val="24"/>
          <w:szCs w:val="24"/>
        </w:rPr>
      </w:pPr>
      <w:r>
        <w:rPr>
          <w:rStyle w:val="12"/>
          <w:rFonts w:hint="eastAsia" w:ascii="宋体" w:hAnsi="宋体" w:eastAsia="宋体" w:cs="宋体"/>
          <w:b/>
          <w:bCs/>
          <w:i w:val="0"/>
          <w:iCs w:val="0"/>
          <w:caps w:val="0"/>
          <w:color w:val="0F1115"/>
          <w:spacing w:val="0"/>
          <w:sz w:val="24"/>
          <w:szCs w:val="24"/>
          <w:shd w:val="clear" w:color="auto" w:fill="FFFFFF"/>
        </w:rPr>
        <w:t>d)反应性关节炎</w:t>
      </w:r>
    </w:p>
    <w:p w14:paraId="727AC76C">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0" w:firstLineChars="200"/>
        <w:textAlignment w:val="auto"/>
        <w:rPr>
          <w:rFonts w:hint="eastAsia" w:ascii="宋体" w:hAnsi="宋体" w:eastAsia="宋体" w:cs="宋体"/>
          <w:i w:val="0"/>
          <w:iCs w:val="0"/>
          <w:caps w:val="0"/>
          <w:color w:val="0F1115"/>
          <w:spacing w:val="0"/>
          <w:sz w:val="24"/>
          <w:szCs w:val="24"/>
        </w:rPr>
      </w:pPr>
      <w:r>
        <w:rPr>
          <w:rFonts w:hint="eastAsia" w:ascii="宋体" w:hAnsi="宋体" w:eastAsia="宋体" w:cs="宋体"/>
          <w:i w:val="0"/>
          <w:iCs w:val="0"/>
          <w:caps w:val="0"/>
          <w:color w:val="0F1115"/>
          <w:spacing w:val="0"/>
          <w:sz w:val="24"/>
          <w:szCs w:val="24"/>
          <w:shd w:val="clear" w:color="auto" w:fill="FFFFFF"/>
        </w:rPr>
        <w:t>反应性关节炎常继发于肠道或泌尿生殖道感染之后，多为下肢单或少关节受累、非对称性关节肿胀，ESR轻度升高，通常类风湿因子、环瓜氨酸抗体、抗核抗体均阴性。</w:t>
      </w:r>
    </w:p>
    <w:p w14:paraId="3A89C20F">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2" w:firstLineChars="200"/>
        <w:textAlignment w:val="auto"/>
        <w:rPr>
          <w:rFonts w:hint="eastAsia" w:ascii="宋体" w:hAnsi="宋体" w:eastAsia="宋体" w:cs="宋体"/>
          <w:i w:val="0"/>
          <w:iCs w:val="0"/>
          <w:caps w:val="0"/>
          <w:color w:val="0F1115"/>
          <w:spacing w:val="0"/>
          <w:sz w:val="24"/>
          <w:szCs w:val="24"/>
        </w:rPr>
      </w:pPr>
      <w:r>
        <w:rPr>
          <w:rStyle w:val="12"/>
          <w:rFonts w:hint="eastAsia" w:ascii="宋体" w:hAnsi="宋体" w:eastAsia="宋体" w:cs="宋体"/>
          <w:b/>
          <w:bCs/>
          <w:i w:val="0"/>
          <w:iCs w:val="0"/>
          <w:caps w:val="0"/>
          <w:color w:val="0F1115"/>
          <w:spacing w:val="0"/>
          <w:sz w:val="24"/>
          <w:szCs w:val="24"/>
          <w:shd w:val="clear" w:color="auto" w:fill="FFFFFF"/>
        </w:rPr>
        <w:t>e)系统性红斑狼疮（SLE）</w:t>
      </w:r>
    </w:p>
    <w:p w14:paraId="6985E005">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0" w:firstLineChars="200"/>
        <w:textAlignment w:val="auto"/>
        <w:rPr>
          <w:rFonts w:hint="eastAsia" w:ascii="宋体" w:hAnsi="宋体" w:eastAsia="宋体" w:cs="宋体"/>
          <w:i w:val="0"/>
          <w:iCs w:val="0"/>
          <w:caps w:val="0"/>
          <w:color w:val="0F1115"/>
          <w:spacing w:val="0"/>
          <w:sz w:val="24"/>
          <w:szCs w:val="24"/>
        </w:rPr>
      </w:pPr>
      <w:r>
        <w:rPr>
          <w:rFonts w:hint="eastAsia" w:ascii="宋体" w:hAnsi="宋体" w:eastAsia="宋体" w:cs="宋体"/>
          <w:i w:val="0"/>
          <w:iCs w:val="0"/>
          <w:caps w:val="0"/>
          <w:color w:val="0F1115"/>
          <w:spacing w:val="0"/>
          <w:sz w:val="24"/>
          <w:szCs w:val="24"/>
          <w:shd w:val="clear" w:color="auto" w:fill="FFFFFF"/>
        </w:rPr>
        <w:t>SLE关节病变通常为非侵蚀性，一般无关节畸形，关节炎较少引起骨侵蚀，不遗留关节畸形，且往往伴有蝶形红斑、肾脏受累、血液系统异常等特征性多系统表现；RA关节病变则为侵蚀性，可遗留典型关节畸形。RA抗Sm抗体、抗ds-DNA抗体阴性，类风湿因子、抗CCP抗体阳性；SLE上述抗体阴性，而存在高滴度抗核抗体及抗ds-DNA抗体、抗Sm抗体等特异性抗体。</w:t>
      </w:r>
    </w:p>
    <w:p w14:paraId="41E5AEDE">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2" w:firstLineChars="200"/>
        <w:textAlignment w:val="auto"/>
        <w:rPr>
          <w:rFonts w:hint="eastAsia" w:ascii="宋体" w:hAnsi="宋体" w:eastAsia="宋体" w:cs="宋体"/>
          <w:i w:val="0"/>
          <w:iCs w:val="0"/>
          <w:caps w:val="0"/>
          <w:color w:val="0F1115"/>
          <w:spacing w:val="0"/>
          <w:sz w:val="24"/>
          <w:szCs w:val="24"/>
        </w:rPr>
      </w:pPr>
      <w:r>
        <w:rPr>
          <w:rStyle w:val="12"/>
          <w:rFonts w:hint="eastAsia" w:ascii="宋体" w:hAnsi="宋体" w:eastAsia="宋体" w:cs="宋体"/>
          <w:b/>
          <w:bCs/>
          <w:i w:val="0"/>
          <w:iCs w:val="0"/>
          <w:caps w:val="0"/>
          <w:color w:val="0F1115"/>
          <w:spacing w:val="0"/>
          <w:sz w:val="24"/>
          <w:szCs w:val="24"/>
          <w:shd w:val="clear" w:color="auto" w:fill="FFFFFF"/>
        </w:rPr>
        <w:t>f)痛风性关节炎</w:t>
      </w:r>
    </w:p>
    <w:p w14:paraId="62E2A644">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0" w:firstLineChars="200"/>
        <w:textAlignment w:val="auto"/>
        <w:rPr>
          <w:rFonts w:hint="eastAsia" w:ascii="宋体" w:hAnsi="宋体" w:eastAsia="宋体" w:cs="宋体"/>
          <w:i w:val="0"/>
          <w:iCs w:val="0"/>
          <w:caps w:val="0"/>
          <w:color w:val="0F1115"/>
          <w:spacing w:val="0"/>
          <w:sz w:val="24"/>
          <w:szCs w:val="24"/>
          <w:shd w:val="clear" w:color="auto" w:fill="FFFFFF"/>
        </w:rPr>
      </w:pPr>
      <w:r>
        <w:rPr>
          <w:rFonts w:hint="eastAsia" w:ascii="宋体" w:hAnsi="宋体" w:eastAsia="宋体" w:cs="宋体"/>
          <w:i w:val="0"/>
          <w:iCs w:val="0"/>
          <w:caps w:val="0"/>
          <w:color w:val="0F1115"/>
          <w:spacing w:val="0"/>
          <w:sz w:val="24"/>
          <w:szCs w:val="24"/>
          <w:shd w:val="clear" w:color="auto" w:fill="FFFFFF"/>
        </w:rPr>
        <w:t>痛风性关节炎起病急骤、疼痛剧烈，反复发作后可出现痛风石、关节骨质穿凿样缺损、尿酸盐结晶沉积。</w:t>
      </w:r>
    </w:p>
    <w:p w14:paraId="45812F35">
      <w:pPr>
        <w:pStyle w:val="9"/>
        <w:widowControl/>
        <w:shd w:val="clear" w:color="auto" w:fill="FFFFFF"/>
        <w:spacing w:before="120" w:beforeAutospacing="0" w:after="120" w:afterAutospacing="0" w:line="360" w:lineRule="auto"/>
        <w:ind w:firstLine="480" w:firstLineChars="200"/>
        <w:rPr>
          <w:rFonts w:hint="eastAsia" w:ascii="宋体" w:hAnsi="宋体" w:cs="宋体"/>
          <w:color w:val="0F1115"/>
          <w:shd w:val="clear" w:color="auto" w:fill="FFFFFF"/>
        </w:rPr>
      </w:pPr>
      <w:r>
        <w:rPr>
          <w:rFonts w:hint="eastAsia" w:ascii="宋体" w:hAnsi="宋体" w:cs="宋体"/>
          <w:color w:val="0F1115"/>
          <w:shd w:val="clear" w:color="auto" w:fill="FFFFFF"/>
        </w:rPr>
        <w:t>7.2中医诊断</w:t>
      </w:r>
    </w:p>
    <w:p w14:paraId="1DB6F6ED">
      <w:pPr>
        <w:pStyle w:val="2"/>
        <w:keepNext/>
        <w:keepLines/>
        <w:spacing w:before="10" w:beforeAutospacing="0" w:after="10" w:afterAutospacing="0" w:line="360" w:lineRule="auto"/>
        <w:ind w:firstLine="480" w:firstLineChars="200"/>
        <w:rPr>
          <w:rFonts w:hint="default" w:cs="宋体"/>
          <w:b w:val="0"/>
          <w:bCs w:val="0"/>
          <w:color w:val="0F1115"/>
          <w:kern w:val="0"/>
          <w:sz w:val="24"/>
          <w:szCs w:val="24"/>
          <w:shd w:val="clear" w:color="auto" w:fill="FFFFFF"/>
          <w:lang w:bidi="ar"/>
        </w:rPr>
      </w:pPr>
      <w:r>
        <w:rPr>
          <w:rFonts w:hint="default" w:cs="宋体"/>
          <w:b w:val="0"/>
          <w:bCs w:val="0"/>
          <w:color w:val="0F1115"/>
          <w:kern w:val="0"/>
          <w:sz w:val="24"/>
          <w:szCs w:val="24"/>
          <w:shd w:val="clear" w:color="auto" w:fill="FFFFFF"/>
          <w:lang w:bidi="ar"/>
        </w:rPr>
        <w:t>中医诊断应采用望、闻、问、切四诊合参，重点观察关节疼痛的部位、性质和程度，关节肿胀、局部寒热、晨僵及活动受限情况，并结合全身症状、舌象和脉象综合判断。在明确类风湿关节炎西医诊断的基础上，具有关节晨僵、对称性多关节肿痛及活动受限等表现者，可诊断为尪痹。</w:t>
      </w:r>
    </w:p>
    <w:p w14:paraId="2142A4E4">
      <w:pPr>
        <w:pStyle w:val="2"/>
        <w:keepNext/>
        <w:keepLines/>
        <w:spacing w:before="10" w:beforeAutospacing="0" w:after="10" w:afterAutospacing="0" w:line="360" w:lineRule="auto"/>
        <w:ind w:firstLine="480" w:firstLineChars="200"/>
        <w:rPr>
          <w:rFonts w:hint="default" w:cs="宋体"/>
          <w:b w:val="0"/>
          <w:bCs w:val="0"/>
          <w:color w:val="0F1115"/>
          <w:kern w:val="0"/>
          <w:sz w:val="24"/>
          <w:szCs w:val="24"/>
          <w:shd w:val="clear" w:color="auto" w:fill="FFFFFF"/>
          <w:lang w:bidi="ar"/>
        </w:rPr>
      </w:pPr>
      <w:r>
        <w:rPr>
          <w:rFonts w:hint="default" w:cs="宋体"/>
          <w:b w:val="0"/>
          <w:bCs w:val="0"/>
          <w:color w:val="0F1115"/>
          <w:kern w:val="0"/>
          <w:sz w:val="24"/>
          <w:szCs w:val="24"/>
          <w:shd w:val="clear" w:color="auto" w:fill="FFFFFF"/>
          <w:lang w:bidi="ar"/>
        </w:rPr>
        <w:t>辨证时应辨别病邪性质、病位深浅、寒热虚实及邪正盛衰。疾病初期或活动期多以风、寒、湿、热等邪气痹阻经络为主；病程迁延后常出现痰湿、瘀血阻络，或气血不足、肝肾亏虚等本虚标实表现。中医证候可随疾病活动程度、病程及治疗干预而动态变化，应结合主症、次症及舌脉进行综合判定，并根据证候演变及时调整诊疗方案。既往类风湿关节炎病证结合指南也强调，证候诊断应抓住主症，同一患者在不同阶段可出现单一证候或多个证候兼夹。</w:t>
      </w:r>
    </w:p>
    <w:p w14:paraId="0AF1F4C2">
      <w:pPr>
        <w:pStyle w:val="2"/>
        <w:keepNext/>
        <w:keepLines/>
        <w:pageBreakBefore w:val="0"/>
        <w:widowControl w:val="0"/>
        <w:kinsoku/>
        <w:wordWrap/>
        <w:overflowPunct/>
        <w:topLinePunct w:val="0"/>
        <w:autoSpaceDE/>
        <w:autoSpaceDN/>
        <w:bidi w:val="0"/>
        <w:adjustRightInd/>
        <w:snapToGrid/>
        <w:spacing w:before="10" w:beforeLines="0" w:beforeAutospacing="0" w:after="10" w:afterLines="0" w:afterAutospacing="0" w:line="360" w:lineRule="auto"/>
        <w:ind w:left="0" w:leftChars="0" w:firstLine="0" w:firstLineChars="0"/>
        <w:jc w:val="left"/>
        <w:textAlignment w:val="auto"/>
        <w:rPr>
          <w:rFonts w:hint="eastAsia" w:ascii="宋体" w:hAnsi="宋体" w:eastAsia="宋体" w:cs="宋体"/>
          <w:b/>
          <w:bCs/>
          <w:caps w:val="0"/>
          <w:color w:val="0F1115"/>
          <w:spacing w:val="0"/>
          <w:sz w:val="24"/>
          <w:szCs w:val="24"/>
        </w:rPr>
      </w:pPr>
      <w:r>
        <w:rPr>
          <w:rFonts w:hint="eastAsia" w:ascii="黑体" w:hAnsi="黑体" w:eastAsia="黑体" w:cs="黑体"/>
          <w:b/>
          <w:bCs w:val="0"/>
          <w:sz w:val="30"/>
          <w:szCs w:val="30"/>
          <w:lang w:val="en-US" w:eastAsia="zh-CN" w:bidi="ar-SA"/>
        </w:rPr>
        <w:t>8</w:t>
      </w:r>
      <w:r>
        <w:rPr>
          <w:rFonts w:hint="eastAsia" w:ascii="黑体" w:hAnsi="黑体" w:eastAsia="黑体" w:cs="黑体"/>
          <w:b/>
          <w:bCs w:val="0"/>
          <w:sz w:val="30"/>
          <w:szCs w:val="30"/>
          <w:lang w:bidi="ar-SA"/>
        </w:rPr>
        <w:t xml:space="preserve"> 治 疗</w:t>
      </w:r>
    </w:p>
    <w:p w14:paraId="3522FDCD">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2" w:firstLineChars="200"/>
        <w:textAlignment w:val="auto"/>
        <w:rPr>
          <w:rFonts w:hint="eastAsia" w:ascii="宋体" w:hAnsi="宋体" w:eastAsia="宋体" w:cs="宋体"/>
          <w:i w:val="0"/>
          <w:iCs w:val="0"/>
          <w:caps w:val="0"/>
          <w:color w:val="0F1115"/>
          <w:spacing w:val="0"/>
          <w:sz w:val="24"/>
          <w:szCs w:val="24"/>
        </w:rPr>
      </w:pPr>
      <w:r>
        <w:rPr>
          <w:rStyle w:val="12"/>
          <w:rFonts w:hint="eastAsia" w:ascii="宋体" w:hAnsi="宋体" w:cs="宋体"/>
          <w:b/>
          <w:bCs/>
          <w:i w:val="0"/>
          <w:iCs w:val="0"/>
          <w:caps w:val="0"/>
          <w:color w:val="0F1115"/>
          <w:spacing w:val="0"/>
          <w:sz w:val="24"/>
          <w:szCs w:val="24"/>
          <w:shd w:val="clear" w:color="auto" w:fill="FFFFFF"/>
          <w:lang w:val="en-US" w:eastAsia="zh-CN"/>
        </w:rPr>
        <w:t>8</w:t>
      </w:r>
      <w:r>
        <w:rPr>
          <w:rStyle w:val="12"/>
          <w:rFonts w:hint="eastAsia" w:ascii="宋体" w:hAnsi="宋体" w:eastAsia="宋体" w:cs="宋体"/>
          <w:b/>
          <w:bCs/>
          <w:i w:val="0"/>
          <w:iCs w:val="0"/>
          <w:caps w:val="0"/>
          <w:color w:val="0F1115"/>
          <w:spacing w:val="0"/>
          <w:sz w:val="24"/>
          <w:szCs w:val="24"/>
          <w:shd w:val="clear" w:color="auto" w:fill="FFFFFF"/>
        </w:rPr>
        <w:t>.</w:t>
      </w:r>
      <w:r>
        <w:rPr>
          <w:rStyle w:val="12"/>
          <w:rFonts w:hint="eastAsia" w:ascii="宋体" w:hAnsi="宋体" w:cs="宋体"/>
          <w:b/>
          <w:bCs/>
          <w:i w:val="0"/>
          <w:iCs w:val="0"/>
          <w:caps w:val="0"/>
          <w:color w:val="0F1115"/>
          <w:spacing w:val="0"/>
          <w:sz w:val="24"/>
          <w:szCs w:val="24"/>
          <w:shd w:val="clear" w:color="auto" w:fill="FFFFFF"/>
          <w:lang w:val="en-US" w:eastAsia="zh-CN"/>
        </w:rPr>
        <w:t>1</w:t>
      </w:r>
      <w:r>
        <w:rPr>
          <w:rStyle w:val="12"/>
          <w:rFonts w:hint="eastAsia" w:ascii="宋体" w:hAnsi="宋体" w:eastAsia="宋体" w:cs="宋体"/>
          <w:b/>
          <w:bCs/>
          <w:i w:val="0"/>
          <w:iCs w:val="0"/>
          <w:caps w:val="0"/>
          <w:color w:val="0F1115"/>
          <w:spacing w:val="0"/>
          <w:sz w:val="24"/>
          <w:szCs w:val="24"/>
          <w:shd w:val="clear" w:color="auto" w:fill="FFFFFF"/>
        </w:rPr>
        <w:t xml:space="preserve"> 西医治疗</w:t>
      </w:r>
    </w:p>
    <w:p w14:paraId="7D8F6A97">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2" w:firstLineChars="200"/>
        <w:textAlignment w:val="auto"/>
        <w:rPr>
          <w:rFonts w:hint="eastAsia" w:ascii="宋体" w:hAnsi="宋体" w:eastAsia="宋体" w:cs="宋体"/>
          <w:i w:val="0"/>
          <w:iCs w:val="0"/>
          <w:caps w:val="0"/>
          <w:color w:val="0F1115"/>
          <w:spacing w:val="0"/>
          <w:sz w:val="24"/>
          <w:szCs w:val="24"/>
        </w:rPr>
      </w:pPr>
      <w:r>
        <w:rPr>
          <w:rStyle w:val="12"/>
          <w:rFonts w:hint="eastAsia" w:ascii="宋体" w:hAnsi="宋体" w:cs="宋体"/>
          <w:b/>
          <w:bCs/>
          <w:i w:val="0"/>
          <w:iCs w:val="0"/>
          <w:caps w:val="0"/>
          <w:color w:val="0F1115"/>
          <w:spacing w:val="0"/>
          <w:sz w:val="24"/>
          <w:szCs w:val="24"/>
          <w:shd w:val="clear" w:color="auto" w:fill="FFFFFF"/>
          <w:lang w:val="en-US" w:eastAsia="zh-CN"/>
        </w:rPr>
        <w:t>8.1</w:t>
      </w:r>
      <w:r>
        <w:rPr>
          <w:rStyle w:val="12"/>
          <w:rFonts w:hint="eastAsia" w:ascii="宋体" w:hAnsi="宋体" w:eastAsia="宋体" w:cs="宋体"/>
          <w:b/>
          <w:bCs/>
          <w:i w:val="0"/>
          <w:iCs w:val="0"/>
          <w:caps w:val="0"/>
          <w:color w:val="0F1115"/>
          <w:spacing w:val="0"/>
          <w:sz w:val="24"/>
          <w:szCs w:val="24"/>
          <w:shd w:val="clear" w:color="auto" w:fill="FFFFFF"/>
        </w:rPr>
        <w:t>.1 传统合成改善病情抗风湿药</w:t>
      </w:r>
    </w:p>
    <w:p w14:paraId="04EF0AE3">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0" w:firstLineChars="200"/>
        <w:textAlignment w:val="auto"/>
        <w:rPr>
          <w:rFonts w:hint="eastAsia" w:ascii="宋体" w:hAnsi="宋体" w:eastAsia="宋体" w:cs="宋体"/>
          <w:i w:val="0"/>
          <w:iCs w:val="0"/>
          <w:caps w:val="0"/>
          <w:color w:val="0F1115"/>
          <w:spacing w:val="0"/>
          <w:sz w:val="24"/>
          <w:szCs w:val="24"/>
        </w:rPr>
      </w:pPr>
      <w:r>
        <w:rPr>
          <w:rFonts w:hint="eastAsia" w:ascii="宋体" w:hAnsi="宋体" w:eastAsia="宋体" w:cs="宋体"/>
          <w:i w:val="0"/>
          <w:iCs w:val="0"/>
          <w:caps w:val="0"/>
          <w:color w:val="0F1115"/>
          <w:spacing w:val="0"/>
          <w:sz w:val="24"/>
          <w:szCs w:val="24"/>
          <w:shd w:val="clear" w:color="auto" w:fill="FFFFFF"/>
        </w:rPr>
        <w:t>传统合成DMARDs（csDMARDs）是RA治疗的基础药物，应尽早启用，建议甲氨蝶呤单药作为初始治疗的首选药物（A）。禁忌或不耐受患者可选用来氟米特、柳氮磺吡啶等替代方案（见表D.1 传统合成DMARDs常用药物剂量与不良反应）。EULAR 2025指南明确指出初始治疗应用甲氨蝶呤联合短期糖皮质激素作为基础方案；对甲氨蝶呤存在禁忌证者可用来氟米特或柳氮磺吡啶替代。甲氨蝶呤的治疗优势体现在：（1）可显著降低关节肿胀压痛计数、CRP和ESR水平；（2）延缓疾病进展；(3)改善功能状态。通常甲氨蝶呤以10～15mg/周起始，逐步增加至20～25mg/周，同时补充叶酸（5mg/周）以减轻不良反应。甲氨蝶呤主要不良反应（肝功能异常、胃肠道反应、骨髓抑制、肺毒性等）可通过缓慢递增剂量、监测血常规及肝肾功能来进行管理。联合叶酸补充有助于减少口腔溃疡、胃肠道不适等不良反应。</w:t>
      </w:r>
    </w:p>
    <w:p w14:paraId="31C8361E">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0" w:firstLineChars="200"/>
        <w:textAlignment w:val="auto"/>
        <w:rPr>
          <w:rFonts w:hint="eastAsia" w:ascii="宋体" w:hAnsi="宋体" w:eastAsia="宋体" w:cs="宋体"/>
          <w:i w:val="0"/>
          <w:iCs w:val="0"/>
          <w:caps w:val="0"/>
          <w:color w:val="0F1115"/>
          <w:spacing w:val="0"/>
          <w:sz w:val="24"/>
          <w:szCs w:val="24"/>
        </w:rPr>
      </w:pPr>
      <w:r>
        <w:rPr>
          <w:rFonts w:hint="eastAsia" w:ascii="宋体" w:hAnsi="宋体" w:eastAsia="宋体" w:cs="宋体"/>
          <w:i w:val="0"/>
          <w:iCs w:val="0"/>
          <w:caps w:val="0"/>
          <w:color w:val="0F1115"/>
          <w:spacing w:val="0"/>
          <w:sz w:val="24"/>
          <w:szCs w:val="24"/>
          <w:shd w:val="clear" w:color="auto" w:fill="FFFFFF"/>
        </w:rPr>
        <w:t>其他选择措施包括：对甲氨蝶呤禁忌或不耐受者，初始治疗也可用来氟米特（10～20mg/d）、柳氮磺吡啶（1.5g起步至3g/d）和羟氯喹（200～400mg/d），其中来氟米特与甲氨蝶呤具有相近的临床疗效，而羟氯喹多用于轻症RA或作为增效治疗。</w:t>
      </w:r>
    </w:p>
    <w:p w14:paraId="64CF2722">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2" w:firstLineChars="200"/>
        <w:textAlignment w:val="auto"/>
        <w:rPr>
          <w:rFonts w:hint="eastAsia" w:ascii="宋体" w:hAnsi="宋体" w:eastAsia="宋体" w:cs="宋体"/>
          <w:i w:val="0"/>
          <w:iCs w:val="0"/>
          <w:caps w:val="0"/>
          <w:color w:val="0F1115"/>
          <w:spacing w:val="0"/>
          <w:sz w:val="24"/>
          <w:szCs w:val="24"/>
        </w:rPr>
      </w:pPr>
      <w:r>
        <w:rPr>
          <w:rStyle w:val="12"/>
          <w:rFonts w:hint="eastAsia" w:ascii="宋体" w:hAnsi="宋体" w:cs="宋体"/>
          <w:b/>
          <w:bCs/>
          <w:i w:val="0"/>
          <w:iCs w:val="0"/>
          <w:caps w:val="0"/>
          <w:color w:val="0F1115"/>
          <w:spacing w:val="0"/>
          <w:sz w:val="24"/>
          <w:szCs w:val="24"/>
          <w:shd w:val="clear" w:color="auto" w:fill="FFFFFF"/>
          <w:lang w:val="en-US" w:eastAsia="zh-CN"/>
        </w:rPr>
        <w:t>8.1</w:t>
      </w:r>
      <w:r>
        <w:rPr>
          <w:rStyle w:val="12"/>
          <w:rFonts w:hint="eastAsia" w:ascii="宋体" w:hAnsi="宋体" w:eastAsia="宋体" w:cs="宋体"/>
          <w:b/>
          <w:bCs/>
          <w:i w:val="0"/>
          <w:iCs w:val="0"/>
          <w:caps w:val="0"/>
          <w:color w:val="0F1115"/>
          <w:spacing w:val="0"/>
          <w:sz w:val="24"/>
          <w:szCs w:val="24"/>
          <w:shd w:val="clear" w:color="auto" w:fill="FFFFFF"/>
        </w:rPr>
        <w:t>.2 糖皮质激素</w:t>
      </w:r>
    </w:p>
    <w:p w14:paraId="7B79562F">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0" w:firstLineChars="200"/>
        <w:textAlignment w:val="auto"/>
        <w:rPr>
          <w:rFonts w:hint="eastAsia" w:ascii="宋体" w:hAnsi="宋体" w:eastAsia="宋体" w:cs="宋体"/>
          <w:i w:val="0"/>
          <w:iCs w:val="0"/>
          <w:caps w:val="0"/>
          <w:color w:val="0F1115"/>
          <w:spacing w:val="0"/>
          <w:sz w:val="24"/>
          <w:szCs w:val="24"/>
        </w:rPr>
      </w:pPr>
      <w:r>
        <w:rPr>
          <w:rFonts w:hint="eastAsia" w:ascii="宋体" w:hAnsi="宋体" w:eastAsia="宋体" w:cs="宋体"/>
          <w:i w:val="0"/>
          <w:iCs w:val="0"/>
          <w:caps w:val="0"/>
          <w:color w:val="0F1115"/>
          <w:spacing w:val="0"/>
          <w:sz w:val="24"/>
          <w:szCs w:val="24"/>
          <w:shd w:val="clear" w:color="auto" w:fill="FFFFFF"/>
        </w:rPr>
        <w:t>2025年EULAR指南建议可将短期糖皮质激素联合csDMARDs作为RA初始治疗的基础方案。且应将短期糖皮质激素限制在3个月内尽快减停（一般疗程≤3个月，日剂量控制在泼尼松当量≤15mg/d）。不推荐对已达到持续临床缓解的患者长期使用或保留任何形式糖皮质激素治疗。</w:t>
      </w:r>
    </w:p>
    <w:p w14:paraId="349DB0B3">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2" w:firstLineChars="200"/>
        <w:textAlignment w:val="auto"/>
        <w:rPr>
          <w:rFonts w:hint="eastAsia" w:ascii="宋体" w:hAnsi="宋体" w:eastAsia="宋体" w:cs="宋体"/>
          <w:i w:val="0"/>
          <w:iCs w:val="0"/>
          <w:caps w:val="0"/>
          <w:color w:val="0F1115"/>
          <w:spacing w:val="0"/>
          <w:sz w:val="24"/>
          <w:szCs w:val="24"/>
        </w:rPr>
      </w:pPr>
      <w:r>
        <w:rPr>
          <w:rStyle w:val="12"/>
          <w:rFonts w:hint="eastAsia" w:ascii="宋体" w:hAnsi="宋体" w:cs="宋体"/>
          <w:b/>
          <w:bCs/>
          <w:i w:val="0"/>
          <w:iCs w:val="0"/>
          <w:caps w:val="0"/>
          <w:color w:val="0F1115"/>
          <w:spacing w:val="0"/>
          <w:sz w:val="24"/>
          <w:szCs w:val="24"/>
          <w:shd w:val="clear" w:color="auto" w:fill="FFFFFF"/>
          <w:lang w:val="en-US" w:eastAsia="zh-CN"/>
        </w:rPr>
        <w:t>8.1</w:t>
      </w:r>
      <w:r>
        <w:rPr>
          <w:rStyle w:val="12"/>
          <w:rFonts w:hint="eastAsia" w:ascii="宋体" w:hAnsi="宋体" w:eastAsia="宋体" w:cs="宋体"/>
          <w:b/>
          <w:bCs/>
          <w:i w:val="0"/>
          <w:iCs w:val="0"/>
          <w:caps w:val="0"/>
          <w:color w:val="0F1115"/>
          <w:spacing w:val="0"/>
          <w:sz w:val="24"/>
          <w:szCs w:val="24"/>
          <w:shd w:val="clear" w:color="auto" w:fill="FFFFFF"/>
        </w:rPr>
        <w:t>.3 生物制剂DMARDs</w:t>
      </w:r>
    </w:p>
    <w:p w14:paraId="1131A4B2">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0" w:firstLineChars="200"/>
        <w:textAlignment w:val="auto"/>
        <w:rPr>
          <w:rFonts w:hint="eastAsia" w:ascii="宋体" w:hAnsi="宋体" w:eastAsia="宋体" w:cs="宋体"/>
          <w:i w:val="0"/>
          <w:iCs w:val="0"/>
          <w:caps w:val="0"/>
          <w:color w:val="0F1115"/>
          <w:spacing w:val="0"/>
          <w:sz w:val="24"/>
          <w:szCs w:val="24"/>
        </w:rPr>
      </w:pPr>
      <w:r>
        <w:rPr>
          <w:rFonts w:hint="eastAsia" w:ascii="宋体" w:hAnsi="宋体" w:eastAsia="宋体" w:cs="宋体"/>
          <w:i w:val="0"/>
          <w:iCs w:val="0"/>
          <w:caps w:val="0"/>
          <w:color w:val="0F1115"/>
          <w:spacing w:val="0"/>
          <w:sz w:val="24"/>
          <w:szCs w:val="24"/>
          <w:shd w:val="clear" w:color="auto" w:fill="FFFFFF"/>
        </w:rPr>
        <w:t>对csDMARDs初始应答不足的RA患者，EULAR2025指南推荐加用生物制剂DMARDs（可直接加用，无需再根据预后因素分层），其中包括肿瘤坏死因子-α抑制剂、白细胞介素-6受体抑制剂、共刺激调节剂和抗CD20单抗等（见表D.2 不同生物制剂DMARDs的靶点、适应症与用药推荐）。近年来，随着RA药物进品中国且医保的广泛覆盖，bDMARDs在中国RA患者中得到越来越广泛应用。（1）TNF抑制剂：依那西普、阿达木单抗、英夫利西单抗、戈利木单抗等属于最早获批治疗RA的生物制剂，能快速控制关节炎症，抑制骨侵蚀进展。（2）IL-6受体抑制剂：托珠单抗可直接阻断IL-6信号通路，在系统炎症控制尤其是高CRP水平的RA患者中具有优越的治疗效应。IL-6受体抑制剂对RF/anti-CCP高滴度RA、合并贫血或全身症状明显的RA患者尤为适宜。（3）共刺激调节剂：阿巴西普是CTLA-4-Ig融合蛋白，有效调节T细胞活化过程，主要用于csDMARDs及TNF抑制剂治疗失败的RA患者。（4）抗CD20单抗：利妥昔单抗主要用于TNF抑制剂和IL-6受体抑制剂应答不佳的难治性RA患者，尤其适用于甲氨蝶呤联合多种生物制剂疗效不佳者，且不增加严重感染的风险。</w:t>
      </w:r>
    </w:p>
    <w:p w14:paraId="6794A8B2">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2" w:firstLineChars="200"/>
        <w:textAlignment w:val="auto"/>
        <w:rPr>
          <w:rFonts w:hint="eastAsia" w:ascii="宋体" w:hAnsi="宋体" w:eastAsia="宋体" w:cs="宋体"/>
          <w:i w:val="0"/>
          <w:iCs w:val="0"/>
          <w:caps w:val="0"/>
          <w:color w:val="0F1115"/>
          <w:spacing w:val="0"/>
          <w:sz w:val="24"/>
          <w:szCs w:val="24"/>
        </w:rPr>
      </w:pPr>
      <w:r>
        <w:rPr>
          <w:rStyle w:val="12"/>
          <w:rFonts w:hint="eastAsia" w:ascii="宋体" w:hAnsi="宋体" w:cs="宋体"/>
          <w:b/>
          <w:bCs/>
          <w:i w:val="0"/>
          <w:iCs w:val="0"/>
          <w:caps w:val="0"/>
          <w:color w:val="0F1115"/>
          <w:spacing w:val="0"/>
          <w:sz w:val="24"/>
          <w:szCs w:val="24"/>
          <w:shd w:val="clear" w:color="auto" w:fill="FFFFFF"/>
          <w:lang w:val="en-US" w:eastAsia="zh-CN"/>
        </w:rPr>
        <w:t>8.1</w:t>
      </w:r>
      <w:r>
        <w:rPr>
          <w:rStyle w:val="12"/>
          <w:rFonts w:hint="eastAsia" w:ascii="宋体" w:hAnsi="宋体" w:eastAsia="宋体" w:cs="宋体"/>
          <w:b/>
          <w:bCs/>
          <w:i w:val="0"/>
          <w:iCs w:val="0"/>
          <w:caps w:val="0"/>
          <w:color w:val="0F1115"/>
          <w:spacing w:val="0"/>
          <w:sz w:val="24"/>
          <w:szCs w:val="24"/>
          <w:shd w:val="clear" w:color="auto" w:fill="FFFFFF"/>
        </w:rPr>
        <w:t>.4 靶向合成DMARDs</w:t>
      </w:r>
    </w:p>
    <w:p w14:paraId="0BA7F5BB">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0" w:firstLineChars="200"/>
        <w:textAlignment w:val="auto"/>
        <w:rPr>
          <w:rFonts w:hint="eastAsia" w:ascii="宋体" w:hAnsi="宋体" w:eastAsia="宋体" w:cs="宋体"/>
          <w:i w:val="0"/>
          <w:iCs w:val="0"/>
          <w:caps w:val="0"/>
          <w:color w:val="0F1115"/>
          <w:spacing w:val="0"/>
          <w:sz w:val="24"/>
          <w:szCs w:val="24"/>
        </w:rPr>
      </w:pPr>
      <w:r>
        <w:rPr>
          <w:rFonts w:hint="eastAsia" w:ascii="宋体" w:hAnsi="宋体" w:eastAsia="宋体" w:cs="宋体"/>
          <w:i w:val="0"/>
          <w:iCs w:val="0"/>
          <w:caps w:val="0"/>
          <w:color w:val="0F1115"/>
          <w:spacing w:val="0"/>
          <w:sz w:val="24"/>
          <w:szCs w:val="24"/>
          <w:shd w:val="clear" w:color="auto" w:fill="FFFFFF"/>
        </w:rPr>
        <w:t>JAK抑制剂通过抑制Janus激酶家族（JAK1、JAK2、JAK3、TYK2）阻断多种促炎细胞因子的细胞内信号传导，代表药物包括托法替布、巴瑞替尼、乌帕替尼等。2025年EULAR指南对JAK抑制剂进行了特定的风险分层，提醒存在淋巴瘤、恶性肿瘤、心肌梗死、静脉血栓栓塞等危险因素者应谨慎使用JAK抑制剂。因此在使用JAK抑制剂前须充分评估患者的心血管事件、凝血功能（DVT/PE病史）、恶性肿瘤风险及其他合并症，治疗过程中应严密监测体重变化、感染征象、血栓形成风险等，同时观察血脂水平及其他实验室参数。尽管存在安全性顾虑，JAK抑制剂在csDMARDs应答不佳、对生物制剂应答不佳或不耐受的RA患者中仍然展示出良好的有效性与优势。乌帕替尼</w:t>
      </w:r>
      <w:r>
        <w:rPr>
          <w:rFonts w:hint="eastAsia" w:ascii="宋体" w:hAnsi="宋体" w:cs="宋体"/>
          <w:i w:val="0"/>
          <w:iCs w:val="0"/>
          <w:caps w:val="0"/>
          <w:color w:val="0F1115"/>
          <w:spacing w:val="0"/>
          <w:sz w:val="24"/>
          <w:szCs w:val="24"/>
          <w:shd w:val="clear" w:color="auto" w:fill="FFFFFF"/>
          <w:lang w:val="en-US" w:eastAsia="zh-CN"/>
        </w:rPr>
        <w:t>15</w:t>
      </w:r>
      <w:r>
        <w:rPr>
          <w:rFonts w:hint="eastAsia" w:ascii="宋体" w:hAnsi="宋体" w:eastAsia="宋体" w:cs="宋体"/>
          <w:i w:val="0"/>
          <w:iCs w:val="0"/>
          <w:caps w:val="0"/>
          <w:color w:val="0F1115"/>
          <w:spacing w:val="0"/>
          <w:sz w:val="24"/>
          <w:szCs w:val="24"/>
          <w:shd w:val="clear" w:color="auto" w:fill="FFFFFF"/>
        </w:rPr>
        <w:t>mg/d在MTX-IR患者中的疗效显著优于MTX联合安慰剂组，且在ACR20/50应答率、DAS28-CRP改善等多重指标中表现优异。巴瑞替尼2mg或4mg/d联合csDMARDs治疗可显著提高ACR20应答、改善疾病活动指标、改善躯体功能和影像学进展。</w:t>
      </w:r>
    </w:p>
    <w:p w14:paraId="4825F246">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2" w:firstLineChars="200"/>
        <w:textAlignment w:val="auto"/>
        <w:rPr>
          <w:rFonts w:hint="eastAsia" w:ascii="宋体" w:hAnsi="宋体" w:eastAsia="宋体" w:cs="宋体"/>
          <w:i w:val="0"/>
          <w:iCs w:val="0"/>
          <w:caps w:val="0"/>
          <w:color w:val="0F1115"/>
          <w:spacing w:val="0"/>
          <w:sz w:val="24"/>
          <w:szCs w:val="24"/>
        </w:rPr>
      </w:pPr>
      <w:r>
        <w:rPr>
          <w:rStyle w:val="12"/>
          <w:rFonts w:hint="eastAsia" w:ascii="宋体" w:hAnsi="宋体" w:cs="宋体"/>
          <w:b/>
          <w:bCs/>
          <w:i w:val="0"/>
          <w:iCs w:val="0"/>
          <w:caps w:val="0"/>
          <w:color w:val="0F1115"/>
          <w:spacing w:val="0"/>
          <w:sz w:val="24"/>
          <w:szCs w:val="24"/>
          <w:shd w:val="clear" w:color="auto" w:fill="FFFFFF"/>
          <w:lang w:val="en-US" w:eastAsia="zh-CN"/>
        </w:rPr>
        <w:t>8.1</w:t>
      </w:r>
      <w:r>
        <w:rPr>
          <w:rStyle w:val="12"/>
          <w:rFonts w:hint="eastAsia" w:ascii="宋体" w:hAnsi="宋体" w:eastAsia="宋体" w:cs="宋体"/>
          <w:b/>
          <w:bCs/>
          <w:i w:val="0"/>
          <w:iCs w:val="0"/>
          <w:caps w:val="0"/>
          <w:color w:val="0F1115"/>
          <w:spacing w:val="0"/>
          <w:sz w:val="24"/>
          <w:szCs w:val="24"/>
          <w:shd w:val="clear" w:color="auto" w:fill="FFFFFF"/>
        </w:rPr>
        <w:t>.5 联合治疗策略</w:t>
      </w:r>
    </w:p>
    <w:p w14:paraId="18587B0D">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0" w:firstLineChars="200"/>
        <w:textAlignment w:val="auto"/>
        <w:rPr>
          <w:rFonts w:hint="eastAsia" w:ascii="宋体" w:hAnsi="宋体" w:eastAsia="宋体" w:cs="宋体"/>
          <w:i w:val="0"/>
          <w:iCs w:val="0"/>
          <w:caps w:val="0"/>
          <w:color w:val="0F1115"/>
          <w:spacing w:val="0"/>
          <w:sz w:val="24"/>
          <w:szCs w:val="24"/>
        </w:rPr>
      </w:pPr>
      <w:r>
        <w:rPr>
          <w:rFonts w:hint="eastAsia" w:ascii="宋体" w:hAnsi="宋体" w:eastAsia="宋体" w:cs="宋体"/>
          <w:i w:val="0"/>
          <w:iCs w:val="0"/>
          <w:caps w:val="0"/>
          <w:color w:val="0F1115"/>
          <w:spacing w:val="0"/>
          <w:sz w:val="24"/>
          <w:szCs w:val="24"/>
          <w:shd w:val="clear" w:color="auto" w:fill="FFFFFF"/>
        </w:rPr>
        <w:t>2025年欧洲指南更新中，联合治疗策略发生重大且由分层向简化的演进：早期RA患者使用csDMARDs联合短期糖皮质激素作为基础方案；若csDMARDs策略未达标（目标为持续缓解或低疾病活动度），应直接加用b/tsDMARDs，无需再进行预后危险因素分层（如抗体滴度、关节肿胀计数、侵蚀性病程）。联合治疗期间需加强监测。经系统csDMARDs及b/tsDMARDs充分治疗后仍未达标或不耐受者，可定义为D2T RA，可行多学科团队讨论，结合患者意愿与合并症情况，再次评估药物安全性，探索联合使用不同机制药物，或进入临床试验阶段（新型生物制剂、细胞治疗等）。</w:t>
      </w:r>
    </w:p>
    <w:p w14:paraId="3157D411">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2" w:firstLineChars="200"/>
        <w:textAlignment w:val="auto"/>
        <w:rPr>
          <w:rFonts w:hint="eastAsia" w:ascii="宋体" w:hAnsi="宋体" w:eastAsia="宋体" w:cs="宋体"/>
          <w:i w:val="0"/>
          <w:iCs w:val="0"/>
          <w:caps w:val="0"/>
          <w:color w:val="0F1115"/>
          <w:spacing w:val="0"/>
          <w:sz w:val="24"/>
          <w:szCs w:val="24"/>
        </w:rPr>
      </w:pPr>
      <w:r>
        <w:rPr>
          <w:rStyle w:val="12"/>
          <w:rFonts w:hint="eastAsia" w:ascii="宋体" w:hAnsi="宋体" w:cs="宋体"/>
          <w:b/>
          <w:bCs/>
          <w:i w:val="0"/>
          <w:iCs w:val="0"/>
          <w:caps w:val="0"/>
          <w:color w:val="0F1115"/>
          <w:spacing w:val="0"/>
          <w:sz w:val="24"/>
          <w:szCs w:val="24"/>
          <w:shd w:val="clear" w:color="auto" w:fill="FFFFFF"/>
          <w:lang w:val="en-US" w:eastAsia="zh-CN"/>
        </w:rPr>
        <w:t>8.1.6</w:t>
      </w:r>
      <w:r>
        <w:rPr>
          <w:rStyle w:val="12"/>
          <w:rFonts w:hint="eastAsia" w:ascii="宋体" w:hAnsi="宋体" w:eastAsia="宋体" w:cs="宋体"/>
          <w:b/>
          <w:bCs/>
          <w:i w:val="0"/>
          <w:iCs w:val="0"/>
          <w:caps w:val="0"/>
          <w:color w:val="0F1115"/>
          <w:spacing w:val="0"/>
          <w:sz w:val="24"/>
          <w:szCs w:val="24"/>
          <w:shd w:val="clear" w:color="auto" w:fill="FFFFFF"/>
        </w:rPr>
        <w:t xml:space="preserve"> 难治性RA的管理</w:t>
      </w:r>
    </w:p>
    <w:p w14:paraId="171728E3">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0" w:firstLineChars="200"/>
        <w:textAlignment w:val="auto"/>
        <w:rPr>
          <w:rFonts w:hint="eastAsia" w:ascii="宋体" w:hAnsi="宋体" w:eastAsia="宋体" w:cs="宋体"/>
          <w:i w:val="0"/>
          <w:iCs w:val="0"/>
          <w:caps w:val="0"/>
          <w:color w:val="0F1115"/>
          <w:spacing w:val="0"/>
          <w:sz w:val="24"/>
          <w:szCs w:val="24"/>
        </w:rPr>
      </w:pPr>
      <w:r>
        <w:rPr>
          <w:rFonts w:hint="eastAsia" w:ascii="宋体" w:hAnsi="宋体" w:eastAsia="宋体" w:cs="宋体"/>
          <w:i w:val="0"/>
          <w:iCs w:val="0"/>
          <w:caps w:val="0"/>
          <w:color w:val="0F1115"/>
          <w:spacing w:val="0"/>
          <w:sz w:val="24"/>
          <w:szCs w:val="24"/>
          <w:shd w:val="clear" w:color="auto" w:fill="FFFFFF"/>
        </w:rPr>
        <w:t>难治性RA（D2T RA）的定义应满足以下三条标准：①经EULAR推荐的方案治疗后疾病仍持续活动（根据EULAR标准，经至少两种不同作用机制的b/tsDMARDs联合csDMARDs治疗后疾病仍持续中高活动度）。②或经充分治疗后存在致治疗策略升级受限的症状与并发症（如感染风险、肝功能损害、药物不耐受、顽固性疼痛等）；③风湿病专科医师确认疾病管理存在困难（如复发和缓解交替、药物应答不完全等）。难治性RA的管理措施包括：重新评估疾病活动性及结构损伤（ESR/CRP、X线、超声或MRI），排除合并感染或纤维肌痛等非活动性因素；分析用药史及治疗应答不充分的可能原因（药物浓度低、抗药物抗体、药效学抵抗、医患不依从等）；启动多学科团队（风湿免疫科、骨科、康复科、精神心理科、药剂科等）综合管理，制定个体化转诊与治疗升级策略。D2T RA治疗方案需兼顾关节保护和综合干预，可尝试IL-6受体抑制剂或JAK抑制剂联合MTX、利妥昔单抗联合MTX、阿巴西普联合MTX、联合小分子靶向抑制剂及实验性方法（免疫吸附、高剂量化疗等）。但目前仍未有确定的最佳D2T RA通用方案，治疗决策应权衡b/tsDMARDs作用机制差异并寻求精细个体化治疗。</w:t>
      </w:r>
    </w:p>
    <w:p w14:paraId="7E4F08B7">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2" w:firstLineChars="200"/>
        <w:textAlignment w:val="auto"/>
        <w:rPr>
          <w:rFonts w:hint="eastAsia" w:ascii="宋体" w:hAnsi="宋体" w:eastAsia="宋体" w:cs="宋体"/>
          <w:i w:val="0"/>
          <w:iCs w:val="0"/>
          <w:caps w:val="0"/>
          <w:color w:val="0F1115"/>
          <w:spacing w:val="0"/>
          <w:sz w:val="24"/>
          <w:szCs w:val="24"/>
        </w:rPr>
      </w:pPr>
      <w:r>
        <w:rPr>
          <w:rStyle w:val="12"/>
          <w:rFonts w:hint="eastAsia" w:ascii="宋体" w:hAnsi="宋体" w:cs="宋体"/>
          <w:b/>
          <w:bCs/>
          <w:i w:val="0"/>
          <w:iCs w:val="0"/>
          <w:caps w:val="0"/>
          <w:color w:val="0F1115"/>
          <w:spacing w:val="0"/>
          <w:sz w:val="24"/>
          <w:szCs w:val="24"/>
          <w:shd w:val="clear" w:color="auto" w:fill="FFFFFF"/>
          <w:lang w:val="en-US" w:eastAsia="zh-CN"/>
        </w:rPr>
        <w:t>8</w:t>
      </w:r>
      <w:r>
        <w:rPr>
          <w:rStyle w:val="12"/>
          <w:rFonts w:hint="eastAsia" w:ascii="宋体" w:hAnsi="宋体" w:eastAsia="宋体" w:cs="宋体"/>
          <w:b/>
          <w:bCs/>
          <w:i w:val="0"/>
          <w:iCs w:val="0"/>
          <w:caps w:val="0"/>
          <w:color w:val="0F1115"/>
          <w:spacing w:val="0"/>
          <w:sz w:val="24"/>
          <w:szCs w:val="24"/>
          <w:shd w:val="clear" w:color="auto" w:fill="FFFFFF"/>
        </w:rPr>
        <w:t>.</w:t>
      </w:r>
      <w:r>
        <w:rPr>
          <w:rStyle w:val="12"/>
          <w:rFonts w:hint="eastAsia" w:ascii="宋体" w:hAnsi="宋体" w:cs="宋体"/>
          <w:b/>
          <w:bCs/>
          <w:i w:val="0"/>
          <w:iCs w:val="0"/>
          <w:caps w:val="0"/>
          <w:color w:val="0F1115"/>
          <w:spacing w:val="0"/>
          <w:sz w:val="24"/>
          <w:szCs w:val="24"/>
          <w:shd w:val="clear" w:color="auto" w:fill="FFFFFF"/>
          <w:lang w:val="en-US" w:eastAsia="zh-CN"/>
        </w:rPr>
        <w:t>2</w:t>
      </w:r>
      <w:r>
        <w:rPr>
          <w:rStyle w:val="12"/>
          <w:rFonts w:hint="eastAsia" w:ascii="宋体" w:hAnsi="宋体" w:eastAsia="宋体" w:cs="宋体"/>
          <w:b/>
          <w:bCs/>
          <w:i w:val="0"/>
          <w:iCs w:val="0"/>
          <w:caps w:val="0"/>
          <w:color w:val="0F1115"/>
          <w:spacing w:val="0"/>
          <w:sz w:val="24"/>
          <w:szCs w:val="24"/>
          <w:shd w:val="clear" w:color="auto" w:fill="FFFFFF"/>
        </w:rPr>
        <w:t xml:space="preserve"> 中医辨证论治</w:t>
      </w:r>
    </w:p>
    <w:p w14:paraId="19C74C7C">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0" w:firstLineChars="200"/>
        <w:textAlignment w:val="auto"/>
        <w:rPr>
          <w:rFonts w:hint="eastAsia" w:ascii="宋体" w:hAnsi="宋体" w:eastAsia="宋体" w:cs="宋体"/>
          <w:i w:val="0"/>
          <w:iCs w:val="0"/>
          <w:caps w:val="0"/>
          <w:color w:val="0F1115"/>
          <w:spacing w:val="0"/>
          <w:sz w:val="24"/>
          <w:szCs w:val="24"/>
        </w:rPr>
      </w:pPr>
      <w:r>
        <w:rPr>
          <w:rFonts w:hint="eastAsia" w:ascii="宋体" w:hAnsi="宋体" w:eastAsia="宋体" w:cs="宋体"/>
          <w:i w:val="0"/>
          <w:iCs w:val="0"/>
          <w:caps w:val="0"/>
          <w:color w:val="0F1115"/>
          <w:spacing w:val="0"/>
          <w:sz w:val="24"/>
          <w:szCs w:val="24"/>
          <w:shd w:val="clear" w:color="auto" w:fill="FFFFFF"/>
        </w:rPr>
        <w:t>RA属中医“痹证”“历节病”“顽痹”“尪痹”等范畴，其病机本质为本虚标实，标实为风寒湿热痰瘀痹阻经络，本虚为气血阴阳脏腑亏虚。RA病程中证素演变活跃，活动期以湿热痹阻、寒湿痹阻、寒热错杂为主，缓解期见痰瘀痹阻、肝肾亏虚与气血不足之象，治疗强调辨病与辨证结合、分期与分证结合，根据疾病活动度变化（DAS28-ESR、CRP,以及DAS28使用CDAI等评分工具）动态调整中医方案。</w:t>
      </w:r>
    </w:p>
    <w:p w14:paraId="66550B9F">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2" w:firstLineChars="200"/>
        <w:textAlignment w:val="auto"/>
        <w:rPr>
          <w:rFonts w:hint="eastAsia" w:ascii="宋体" w:hAnsi="宋体" w:eastAsia="宋体" w:cs="宋体"/>
          <w:i w:val="0"/>
          <w:iCs w:val="0"/>
          <w:caps w:val="0"/>
          <w:color w:val="0F1115"/>
          <w:spacing w:val="0"/>
          <w:sz w:val="24"/>
          <w:szCs w:val="24"/>
        </w:rPr>
      </w:pPr>
      <w:r>
        <w:rPr>
          <w:rStyle w:val="12"/>
          <w:rFonts w:hint="eastAsia" w:ascii="宋体" w:hAnsi="宋体" w:cs="宋体"/>
          <w:b/>
          <w:bCs/>
          <w:i w:val="0"/>
          <w:iCs w:val="0"/>
          <w:caps w:val="0"/>
          <w:color w:val="0F1115"/>
          <w:spacing w:val="0"/>
          <w:sz w:val="24"/>
          <w:szCs w:val="24"/>
          <w:shd w:val="clear" w:color="auto" w:fill="FFFFFF"/>
          <w:lang w:val="en-US" w:eastAsia="zh-CN"/>
        </w:rPr>
        <w:t>8.2</w:t>
      </w:r>
      <w:r>
        <w:rPr>
          <w:rStyle w:val="12"/>
          <w:rFonts w:hint="eastAsia" w:ascii="宋体" w:hAnsi="宋体" w:eastAsia="宋体" w:cs="宋体"/>
          <w:b/>
          <w:bCs/>
          <w:i w:val="0"/>
          <w:iCs w:val="0"/>
          <w:caps w:val="0"/>
          <w:color w:val="0F1115"/>
          <w:spacing w:val="0"/>
          <w:sz w:val="24"/>
          <w:szCs w:val="24"/>
          <w:shd w:val="clear" w:color="auto" w:fill="FFFFFF"/>
        </w:rPr>
        <w:t>.1 活动期</w:t>
      </w:r>
    </w:p>
    <w:p w14:paraId="5C66C6EB">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2" w:firstLineChars="200"/>
        <w:textAlignment w:val="auto"/>
        <w:rPr>
          <w:rFonts w:hint="default" w:ascii="宋体" w:hAnsi="宋体" w:eastAsia="宋体" w:cs="宋体"/>
          <w:i w:val="0"/>
          <w:iCs w:val="0"/>
          <w:caps w:val="0"/>
          <w:color w:val="0F1115"/>
          <w:spacing w:val="0"/>
          <w:sz w:val="24"/>
          <w:szCs w:val="24"/>
          <w:lang w:val="en-US" w:eastAsia="zh-CN"/>
        </w:rPr>
      </w:pPr>
      <w:r>
        <w:rPr>
          <w:rStyle w:val="12"/>
          <w:rFonts w:hint="eastAsia" w:ascii="宋体" w:hAnsi="宋体" w:cs="宋体"/>
          <w:b/>
          <w:bCs/>
          <w:i w:val="0"/>
          <w:iCs w:val="0"/>
          <w:caps w:val="0"/>
          <w:color w:val="0F1115"/>
          <w:spacing w:val="0"/>
          <w:sz w:val="24"/>
          <w:szCs w:val="24"/>
          <w:shd w:val="clear" w:color="auto" w:fill="FFFFFF"/>
          <w:lang w:val="en-US" w:eastAsia="zh-CN"/>
        </w:rPr>
        <w:t>8.2.</w:t>
      </w:r>
      <w:r>
        <w:rPr>
          <w:rStyle w:val="12"/>
          <w:rFonts w:hint="eastAsia" w:ascii="宋体" w:hAnsi="宋体" w:eastAsia="宋体" w:cs="宋体"/>
          <w:b/>
          <w:bCs/>
          <w:i w:val="0"/>
          <w:iCs w:val="0"/>
          <w:caps w:val="0"/>
          <w:color w:val="0F1115"/>
          <w:spacing w:val="0"/>
          <w:sz w:val="24"/>
          <w:szCs w:val="24"/>
          <w:shd w:val="clear" w:color="auto" w:fill="FFFFFF"/>
        </w:rPr>
        <w:t>1.1 湿热蕴结证</w:t>
      </w:r>
      <w:r>
        <w:rPr>
          <w:rStyle w:val="12"/>
          <w:rFonts w:hint="eastAsia" w:ascii="宋体" w:hAnsi="宋体" w:cs="宋体"/>
          <w:b/>
          <w:bCs/>
          <w:i w:val="0"/>
          <w:iCs w:val="0"/>
          <w:caps w:val="0"/>
          <w:color w:val="0F1115"/>
          <w:spacing w:val="0"/>
          <w:sz w:val="24"/>
          <w:szCs w:val="24"/>
          <w:shd w:val="clear" w:color="auto" w:fill="FFFFFF"/>
          <w:lang w:val="en-US" w:eastAsia="zh-CN"/>
        </w:rPr>
        <w:t xml:space="preserve"> </w:t>
      </w:r>
      <w:r>
        <w:rPr>
          <w:rStyle w:val="12"/>
          <w:rFonts w:hint="eastAsia" w:ascii="宋体" w:hAnsi="宋体" w:cs="宋体"/>
          <w:b/>
          <w:bCs/>
          <w:i w:val="0"/>
          <w:iCs w:val="0"/>
          <w:caps w:val="0"/>
          <w:color w:val="FF0000"/>
          <w:spacing w:val="0"/>
          <w:sz w:val="24"/>
          <w:szCs w:val="24"/>
          <w:shd w:val="clear" w:color="auto" w:fill="FFFFFF"/>
          <w:lang w:val="en-US" w:eastAsia="zh-CN"/>
        </w:rPr>
        <w:t xml:space="preserve"> </w:t>
      </w:r>
    </w:p>
    <w:p w14:paraId="15680539">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0" w:firstLineChars="200"/>
        <w:textAlignment w:val="auto"/>
        <w:rPr>
          <w:rFonts w:hint="eastAsia" w:ascii="宋体" w:hAnsi="宋体" w:eastAsia="宋体" w:cs="宋体"/>
          <w:i w:val="0"/>
          <w:iCs w:val="0"/>
          <w:caps w:val="0"/>
          <w:color w:val="0F1115"/>
          <w:spacing w:val="0"/>
          <w:sz w:val="24"/>
          <w:szCs w:val="24"/>
        </w:rPr>
      </w:pPr>
      <w:r>
        <w:rPr>
          <w:rFonts w:hint="eastAsia" w:ascii="宋体" w:hAnsi="宋体" w:eastAsia="宋体" w:cs="宋体"/>
          <w:i w:val="0"/>
          <w:iCs w:val="0"/>
          <w:caps w:val="0"/>
          <w:color w:val="0F1115"/>
          <w:spacing w:val="0"/>
          <w:sz w:val="24"/>
          <w:szCs w:val="24"/>
          <w:shd w:val="clear" w:color="auto" w:fill="FFFFFF"/>
        </w:rPr>
        <w:t>治法：清热利湿，宣痹通络。</w:t>
      </w:r>
      <w:r>
        <w:rPr>
          <w:rFonts w:hint="eastAsia" w:ascii="宋体" w:hAnsi="宋体" w:cs="宋体"/>
          <w:i w:val="0"/>
          <w:iCs w:val="0"/>
          <w:caps w:val="0"/>
          <w:color w:val="0F1115"/>
          <w:spacing w:val="0"/>
          <w:sz w:val="24"/>
          <w:szCs w:val="24"/>
          <w:shd w:val="clear" w:color="auto" w:fill="FFFFFF"/>
          <w:lang w:eastAsia="zh-CN"/>
        </w:rPr>
        <w:t>推荐处方</w:t>
      </w:r>
      <w:r>
        <w:rPr>
          <w:rFonts w:hint="eastAsia" w:ascii="宋体" w:hAnsi="宋体" w:eastAsia="宋体" w:cs="宋体"/>
          <w:i w:val="0"/>
          <w:iCs w:val="0"/>
          <w:caps w:val="0"/>
          <w:color w:val="0F1115"/>
          <w:spacing w:val="0"/>
          <w:sz w:val="24"/>
          <w:szCs w:val="24"/>
          <w:shd w:val="clear" w:color="auto" w:fill="FFFFFF"/>
        </w:rPr>
        <w:t>：四妙丸合宣痹汤加减。方药：苍术，黄柏，薏苡仁，川牛膝，防己，土茯苓，泽泻，金银花，蒲公英。加减：关节肿甚者加车前草、猪苓；热盛者加板蓝根、虎杖、生石膏；热灼伤阴者加石斛、牡丹皮；疼痛剧烈者酌加制川乌（先煎）、蕲蛇；上肢、颈部关节痛加桑枝、葛根；下肢关节痛加牛膝。中西医结合要点：DAS28＞5.1中重度活动的RA患者，或CRP、ESR显著升高伴多关节炎表现者呈湿热蕴结证，在应用csDMARD及短期GC的基础上，中药以四妙丸加味协同清热利湿，减轻炎症反应，提高达标率。本型是RA最常见的活动期证型，临床常规治疗早期csDMARD联合短期糖皮质激素，中药在改善临床症状、降低CRP水平方面具有正向效应，治疗期间注意甲氨蝶呤的安全监测。</w:t>
      </w:r>
    </w:p>
    <w:p w14:paraId="280730C5">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2" w:firstLineChars="200"/>
        <w:textAlignment w:val="auto"/>
        <w:rPr>
          <w:rFonts w:hint="eastAsia" w:ascii="宋体" w:hAnsi="宋体" w:eastAsia="宋体" w:cs="宋体"/>
          <w:i w:val="0"/>
          <w:iCs w:val="0"/>
          <w:caps w:val="0"/>
          <w:color w:val="0F1115"/>
          <w:spacing w:val="0"/>
          <w:sz w:val="24"/>
          <w:szCs w:val="24"/>
        </w:rPr>
      </w:pPr>
      <w:r>
        <w:rPr>
          <w:rStyle w:val="12"/>
          <w:rFonts w:hint="eastAsia" w:ascii="宋体" w:hAnsi="宋体" w:cs="宋体"/>
          <w:b/>
          <w:bCs/>
          <w:i w:val="0"/>
          <w:iCs w:val="0"/>
          <w:caps w:val="0"/>
          <w:color w:val="0F1115"/>
          <w:spacing w:val="0"/>
          <w:sz w:val="24"/>
          <w:szCs w:val="24"/>
          <w:shd w:val="clear" w:color="auto" w:fill="FFFFFF"/>
          <w:lang w:val="en-US" w:eastAsia="zh-CN"/>
        </w:rPr>
        <w:t>8.1.</w:t>
      </w:r>
      <w:r>
        <w:rPr>
          <w:rStyle w:val="12"/>
          <w:rFonts w:hint="eastAsia" w:ascii="宋体" w:hAnsi="宋体" w:eastAsia="宋体" w:cs="宋体"/>
          <w:b/>
          <w:bCs/>
          <w:i w:val="0"/>
          <w:iCs w:val="0"/>
          <w:caps w:val="0"/>
          <w:color w:val="0F1115"/>
          <w:spacing w:val="0"/>
          <w:sz w:val="24"/>
          <w:szCs w:val="24"/>
          <w:shd w:val="clear" w:color="auto" w:fill="FFFFFF"/>
        </w:rPr>
        <w:t>1.2 寒湿阻络证</w:t>
      </w:r>
    </w:p>
    <w:p w14:paraId="11649E82">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0" w:firstLineChars="200"/>
        <w:textAlignment w:val="auto"/>
        <w:rPr>
          <w:rFonts w:hint="eastAsia" w:ascii="宋体" w:hAnsi="宋体" w:eastAsia="宋体" w:cs="宋体"/>
          <w:i w:val="0"/>
          <w:iCs w:val="0"/>
          <w:caps w:val="0"/>
          <w:color w:val="0F1115"/>
          <w:spacing w:val="0"/>
          <w:sz w:val="24"/>
          <w:szCs w:val="24"/>
        </w:rPr>
      </w:pPr>
      <w:r>
        <w:rPr>
          <w:rFonts w:hint="eastAsia" w:ascii="宋体" w:hAnsi="宋体" w:eastAsia="宋体" w:cs="宋体"/>
          <w:i w:val="0"/>
          <w:iCs w:val="0"/>
          <w:caps w:val="0"/>
          <w:color w:val="0F1115"/>
          <w:spacing w:val="0"/>
          <w:sz w:val="24"/>
          <w:szCs w:val="24"/>
          <w:shd w:val="clear" w:color="auto" w:fill="FFFFFF"/>
        </w:rPr>
        <w:t>治法：祛风散寒，除湿通络。</w:t>
      </w:r>
      <w:r>
        <w:rPr>
          <w:rFonts w:hint="eastAsia" w:ascii="宋体" w:hAnsi="宋体" w:cs="宋体"/>
          <w:i w:val="0"/>
          <w:iCs w:val="0"/>
          <w:caps w:val="0"/>
          <w:color w:val="0F1115"/>
          <w:spacing w:val="0"/>
          <w:sz w:val="24"/>
          <w:szCs w:val="24"/>
          <w:shd w:val="clear" w:color="auto" w:fill="FFFFFF"/>
          <w:lang w:eastAsia="zh-CN"/>
        </w:rPr>
        <w:t>推荐处方</w:t>
      </w:r>
      <w:r>
        <w:rPr>
          <w:rFonts w:hint="eastAsia" w:ascii="宋体" w:hAnsi="宋体" w:eastAsia="宋体" w:cs="宋体"/>
          <w:i w:val="0"/>
          <w:iCs w:val="0"/>
          <w:caps w:val="0"/>
          <w:color w:val="0F1115"/>
          <w:spacing w:val="0"/>
          <w:sz w:val="24"/>
          <w:szCs w:val="24"/>
          <w:shd w:val="clear" w:color="auto" w:fill="FFFFFF"/>
        </w:rPr>
        <w:t>：蠲痹汤加减。方药：羌活，独活，海风藤，桂枝，秦艽，当归，川芎，桑枝，乳香，防己。加减：风盛者加防风、白芷；寒盛者加附子（先煎）、细辛；湿盛者加萆薢、薏苡仁。中西医结合要点：对于DAS28评分3.2～5.1的低至中度活动RA，伴随畏寒怕冷、遇寒加重、喜暖、畏风等寒象表现者选用桂枝汤、麻黄附子细辛汤或桂枝白芍药知母汤加减，佐以蠲痹温阳，以改善关节疼痛及晨僵症状。本证宜联合温针灸（取穴足三里、关元以温经助阳）、中药熏蒸或烫熨疗法。</w:t>
      </w:r>
    </w:p>
    <w:p w14:paraId="180A88E0">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2" w:firstLineChars="200"/>
        <w:textAlignment w:val="auto"/>
        <w:rPr>
          <w:rFonts w:hint="eastAsia" w:ascii="宋体" w:hAnsi="宋体" w:eastAsia="宋体" w:cs="宋体"/>
          <w:i w:val="0"/>
          <w:iCs w:val="0"/>
          <w:caps w:val="0"/>
          <w:color w:val="0F1115"/>
          <w:spacing w:val="0"/>
          <w:sz w:val="24"/>
          <w:szCs w:val="24"/>
        </w:rPr>
      </w:pPr>
      <w:r>
        <w:rPr>
          <w:rStyle w:val="12"/>
          <w:rFonts w:hint="eastAsia" w:ascii="宋体" w:hAnsi="宋体" w:cs="宋体"/>
          <w:b/>
          <w:bCs/>
          <w:i w:val="0"/>
          <w:iCs w:val="0"/>
          <w:caps w:val="0"/>
          <w:color w:val="0F1115"/>
          <w:spacing w:val="0"/>
          <w:sz w:val="24"/>
          <w:szCs w:val="24"/>
          <w:shd w:val="clear" w:color="auto" w:fill="FFFFFF"/>
          <w:lang w:val="en-US" w:eastAsia="zh-CN"/>
        </w:rPr>
        <w:t>8.1.</w:t>
      </w:r>
      <w:r>
        <w:rPr>
          <w:rStyle w:val="12"/>
          <w:rFonts w:hint="eastAsia" w:ascii="宋体" w:hAnsi="宋体" w:eastAsia="宋体" w:cs="宋体"/>
          <w:b/>
          <w:bCs/>
          <w:i w:val="0"/>
          <w:iCs w:val="0"/>
          <w:caps w:val="0"/>
          <w:color w:val="0F1115"/>
          <w:spacing w:val="0"/>
          <w:sz w:val="24"/>
          <w:szCs w:val="24"/>
          <w:shd w:val="clear" w:color="auto" w:fill="FFFFFF"/>
        </w:rPr>
        <w:t>1.3 寒热错杂证</w:t>
      </w:r>
    </w:p>
    <w:p w14:paraId="75510A69">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0" w:firstLineChars="200"/>
        <w:textAlignment w:val="auto"/>
        <w:rPr>
          <w:rFonts w:hint="eastAsia" w:ascii="宋体" w:hAnsi="宋体" w:eastAsia="宋体" w:cs="宋体"/>
          <w:i w:val="0"/>
          <w:iCs w:val="0"/>
          <w:caps w:val="0"/>
          <w:color w:val="0F1115"/>
          <w:spacing w:val="0"/>
          <w:sz w:val="24"/>
          <w:szCs w:val="24"/>
        </w:rPr>
      </w:pPr>
      <w:r>
        <w:rPr>
          <w:rFonts w:hint="eastAsia" w:ascii="宋体" w:hAnsi="宋体" w:eastAsia="宋体" w:cs="宋体"/>
          <w:i w:val="0"/>
          <w:iCs w:val="0"/>
          <w:caps w:val="0"/>
          <w:color w:val="0F1115"/>
          <w:spacing w:val="0"/>
          <w:sz w:val="24"/>
          <w:szCs w:val="24"/>
          <w:shd w:val="clear" w:color="auto" w:fill="FFFFFF"/>
        </w:rPr>
        <w:t>治法：温经散寒，祛风清热，除湿通络。</w:t>
      </w:r>
      <w:r>
        <w:rPr>
          <w:rFonts w:hint="eastAsia" w:ascii="宋体" w:hAnsi="宋体" w:cs="宋体"/>
          <w:i w:val="0"/>
          <w:iCs w:val="0"/>
          <w:caps w:val="0"/>
          <w:color w:val="0F1115"/>
          <w:spacing w:val="0"/>
          <w:sz w:val="24"/>
          <w:szCs w:val="24"/>
          <w:shd w:val="clear" w:color="auto" w:fill="FFFFFF"/>
          <w:lang w:eastAsia="zh-CN"/>
        </w:rPr>
        <w:t>推荐处方</w:t>
      </w:r>
      <w:r>
        <w:rPr>
          <w:rFonts w:hint="eastAsia" w:ascii="宋体" w:hAnsi="宋体" w:eastAsia="宋体" w:cs="宋体"/>
          <w:i w:val="0"/>
          <w:iCs w:val="0"/>
          <w:caps w:val="0"/>
          <w:color w:val="0F1115"/>
          <w:spacing w:val="0"/>
          <w:sz w:val="24"/>
          <w:szCs w:val="24"/>
          <w:shd w:val="clear" w:color="auto" w:fill="FFFFFF"/>
        </w:rPr>
        <w:t>：桂枝芍药知母汤加减。方药：麻黄，桂枝，防风，知母，赤芍，防己，土茯苓，威灵仙，独活，川芎，细辛，甘草。加减：寒重热轻者重用麻黄、桂枝，加熟附子；热重于寒者加牡丹皮、生石膏、金银花；阴虚发热者加青蒿。中西医结合要点：对于RA经csDMARDs治疗后部分炎症减轻但仍有残留症状或CS减量困难的“半活动－半稳定”患者，或伴有RF/抗CCP抗体阳性但CRP间歇性升高者，表现寒热并见，辨证属寒热错杂，治需温清并举。宜选用桂枝芍药知母汤为底方，灵活加减，配合MTX或其他csDMARD、生物制剂综合分层。</w:t>
      </w:r>
    </w:p>
    <w:p w14:paraId="740E8CEB">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2" w:firstLineChars="200"/>
        <w:textAlignment w:val="auto"/>
        <w:rPr>
          <w:rFonts w:hint="eastAsia" w:ascii="宋体" w:hAnsi="宋体" w:eastAsia="宋体" w:cs="宋体"/>
          <w:i w:val="0"/>
          <w:iCs w:val="0"/>
          <w:caps w:val="0"/>
          <w:color w:val="0F1115"/>
          <w:spacing w:val="0"/>
          <w:sz w:val="24"/>
          <w:szCs w:val="24"/>
        </w:rPr>
      </w:pPr>
      <w:r>
        <w:rPr>
          <w:rStyle w:val="12"/>
          <w:rFonts w:hint="eastAsia" w:ascii="宋体" w:hAnsi="宋体" w:cs="宋体"/>
          <w:b/>
          <w:bCs/>
          <w:i w:val="0"/>
          <w:iCs w:val="0"/>
          <w:caps w:val="0"/>
          <w:color w:val="0F1115"/>
          <w:spacing w:val="0"/>
          <w:sz w:val="24"/>
          <w:szCs w:val="24"/>
          <w:shd w:val="clear" w:color="auto" w:fill="FFFFFF"/>
          <w:lang w:val="en-US" w:eastAsia="zh-CN"/>
        </w:rPr>
        <w:t>8.2</w:t>
      </w:r>
      <w:r>
        <w:rPr>
          <w:rStyle w:val="12"/>
          <w:rFonts w:hint="eastAsia" w:ascii="宋体" w:hAnsi="宋体" w:eastAsia="宋体" w:cs="宋体"/>
          <w:b/>
          <w:bCs/>
          <w:i w:val="0"/>
          <w:iCs w:val="0"/>
          <w:caps w:val="0"/>
          <w:color w:val="0F1115"/>
          <w:spacing w:val="0"/>
          <w:sz w:val="24"/>
          <w:szCs w:val="24"/>
          <w:shd w:val="clear" w:color="auto" w:fill="FFFFFF"/>
        </w:rPr>
        <w:t>.2 缓解期</w:t>
      </w:r>
    </w:p>
    <w:p w14:paraId="4FDBF0DE">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0" w:firstLineChars="200"/>
        <w:textAlignment w:val="auto"/>
        <w:rPr>
          <w:rFonts w:hint="eastAsia" w:ascii="宋体" w:hAnsi="宋体" w:eastAsia="宋体" w:cs="宋体"/>
          <w:i w:val="0"/>
          <w:iCs w:val="0"/>
          <w:caps w:val="0"/>
          <w:color w:val="0F1115"/>
          <w:spacing w:val="0"/>
          <w:sz w:val="24"/>
          <w:szCs w:val="24"/>
        </w:rPr>
      </w:pPr>
      <w:r>
        <w:rPr>
          <w:rFonts w:hint="eastAsia" w:ascii="宋体" w:hAnsi="宋体" w:eastAsia="宋体" w:cs="宋体"/>
          <w:i w:val="0"/>
          <w:iCs w:val="0"/>
          <w:caps w:val="0"/>
          <w:color w:val="0F1115"/>
          <w:spacing w:val="0"/>
          <w:sz w:val="24"/>
          <w:szCs w:val="24"/>
          <w:shd w:val="clear" w:color="auto" w:fill="FFFFFF"/>
        </w:rPr>
        <w:t>缓解期（DAS28≤3.2或CDAI≤10，或SDAI≤11）以正虚邪恋为主，治宜扶正祛邪，培补肝肾，益气养血，兼祛风湿、化痰浊、活血通络。</w:t>
      </w:r>
    </w:p>
    <w:p w14:paraId="5C3D6D72">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2" w:firstLineChars="200"/>
        <w:textAlignment w:val="auto"/>
        <w:rPr>
          <w:rFonts w:hint="eastAsia" w:ascii="宋体" w:hAnsi="宋体" w:eastAsia="宋体" w:cs="宋体"/>
          <w:i w:val="0"/>
          <w:iCs w:val="0"/>
          <w:caps w:val="0"/>
          <w:color w:val="0F1115"/>
          <w:spacing w:val="0"/>
          <w:sz w:val="24"/>
          <w:szCs w:val="24"/>
        </w:rPr>
      </w:pPr>
      <w:r>
        <w:rPr>
          <w:rStyle w:val="12"/>
          <w:rFonts w:hint="eastAsia" w:ascii="宋体" w:hAnsi="宋体" w:cs="宋体"/>
          <w:b/>
          <w:bCs/>
          <w:i w:val="0"/>
          <w:iCs w:val="0"/>
          <w:caps w:val="0"/>
          <w:color w:val="0F1115"/>
          <w:spacing w:val="0"/>
          <w:sz w:val="24"/>
          <w:szCs w:val="24"/>
          <w:shd w:val="clear" w:color="auto" w:fill="FFFFFF"/>
          <w:lang w:val="en-US" w:eastAsia="zh-CN"/>
        </w:rPr>
        <w:t>8.2.</w:t>
      </w:r>
      <w:r>
        <w:rPr>
          <w:rStyle w:val="12"/>
          <w:rFonts w:hint="eastAsia" w:ascii="宋体" w:hAnsi="宋体" w:eastAsia="宋体" w:cs="宋体"/>
          <w:b/>
          <w:bCs/>
          <w:i w:val="0"/>
          <w:iCs w:val="0"/>
          <w:caps w:val="0"/>
          <w:color w:val="0F1115"/>
          <w:spacing w:val="0"/>
          <w:sz w:val="24"/>
          <w:szCs w:val="24"/>
          <w:shd w:val="clear" w:color="auto" w:fill="FFFFFF"/>
        </w:rPr>
        <w:t>2.1 痰瘀痹阻证</w:t>
      </w:r>
    </w:p>
    <w:p w14:paraId="7DAB6E4F">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0" w:firstLineChars="200"/>
        <w:textAlignment w:val="auto"/>
        <w:rPr>
          <w:rFonts w:hint="eastAsia" w:ascii="宋体" w:hAnsi="宋体" w:eastAsia="宋体" w:cs="宋体"/>
          <w:i w:val="0"/>
          <w:iCs w:val="0"/>
          <w:caps w:val="0"/>
          <w:color w:val="0F1115"/>
          <w:spacing w:val="0"/>
          <w:sz w:val="24"/>
          <w:szCs w:val="24"/>
        </w:rPr>
      </w:pPr>
      <w:r>
        <w:rPr>
          <w:rFonts w:hint="eastAsia" w:ascii="宋体" w:hAnsi="宋体" w:eastAsia="宋体" w:cs="宋体"/>
          <w:i w:val="0"/>
          <w:iCs w:val="0"/>
          <w:caps w:val="0"/>
          <w:color w:val="0F1115"/>
          <w:spacing w:val="0"/>
          <w:sz w:val="24"/>
          <w:szCs w:val="24"/>
          <w:shd w:val="clear" w:color="auto" w:fill="FFFFFF"/>
        </w:rPr>
        <w:t>治法：化痰祛瘀，搜风通络。</w:t>
      </w:r>
      <w:r>
        <w:rPr>
          <w:rFonts w:hint="eastAsia" w:ascii="宋体" w:hAnsi="宋体" w:cs="宋体"/>
          <w:i w:val="0"/>
          <w:iCs w:val="0"/>
          <w:caps w:val="0"/>
          <w:color w:val="0F1115"/>
          <w:spacing w:val="0"/>
          <w:sz w:val="24"/>
          <w:szCs w:val="24"/>
          <w:shd w:val="clear" w:color="auto" w:fill="FFFFFF"/>
          <w:lang w:eastAsia="zh-CN"/>
        </w:rPr>
        <w:t>推荐处方</w:t>
      </w:r>
      <w:r>
        <w:rPr>
          <w:rFonts w:hint="eastAsia" w:ascii="宋体" w:hAnsi="宋体" w:eastAsia="宋体" w:cs="宋体"/>
          <w:i w:val="0"/>
          <w:iCs w:val="0"/>
          <w:caps w:val="0"/>
          <w:color w:val="0F1115"/>
          <w:spacing w:val="0"/>
          <w:sz w:val="24"/>
          <w:szCs w:val="24"/>
          <w:shd w:val="clear" w:color="auto" w:fill="FFFFFF"/>
        </w:rPr>
        <w:t>：桃红饮加减。方药：桃仁，红花，川芎，当归，威灵仙，地龙，穿山甲，白芥子，土鳖虫，僵蚕。加减：痰瘀痹阻损伤正气而神疲乏力、面色不华者加黄芪、党参；痰瘀化热者加忍冬藤、牡丹皮；肢凉畏风者加麻黄、桂枝、细辛。中西医结合要点：此型多见于中晚期RA，已有影像学关节侵蚀和功能受限表现，虽经生物制剂和csDMARD联合治疗后炎症指标可控制，但关节畸形和滑膜增生难以逆转，以化痰祛瘀联合改善循环、功能康复训练为核心，中药治疗优先，复方丹参注射液、川芎嗪等活血化瘀药物有临床辅助价值，超短波及中频物理治疗亦有益于改善循环与关节功能。</w:t>
      </w:r>
    </w:p>
    <w:p w14:paraId="42B5F011">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2" w:firstLineChars="200"/>
        <w:textAlignment w:val="auto"/>
        <w:rPr>
          <w:rFonts w:hint="eastAsia" w:ascii="宋体" w:hAnsi="宋体" w:eastAsia="宋体" w:cs="宋体"/>
          <w:i w:val="0"/>
          <w:iCs w:val="0"/>
          <w:caps w:val="0"/>
          <w:color w:val="0F1115"/>
          <w:spacing w:val="0"/>
          <w:sz w:val="24"/>
          <w:szCs w:val="24"/>
        </w:rPr>
      </w:pPr>
      <w:r>
        <w:rPr>
          <w:rStyle w:val="12"/>
          <w:rFonts w:hint="eastAsia" w:ascii="宋体" w:hAnsi="宋体" w:cs="宋体"/>
          <w:b/>
          <w:bCs/>
          <w:i w:val="0"/>
          <w:iCs w:val="0"/>
          <w:caps w:val="0"/>
          <w:color w:val="0F1115"/>
          <w:spacing w:val="0"/>
          <w:sz w:val="24"/>
          <w:szCs w:val="24"/>
          <w:shd w:val="clear" w:color="auto" w:fill="FFFFFF"/>
          <w:lang w:val="en-US" w:eastAsia="zh-CN"/>
        </w:rPr>
        <w:t>8.2.</w:t>
      </w:r>
      <w:r>
        <w:rPr>
          <w:rStyle w:val="12"/>
          <w:rFonts w:hint="eastAsia" w:ascii="宋体" w:hAnsi="宋体" w:eastAsia="宋体" w:cs="宋体"/>
          <w:b/>
          <w:bCs/>
          <w:i w:val="0"/>
          <w:iCs w:val="0"/>
          <w:caps w:val="0"/>
          <w:color w:val="0F1115"/>
          <w:spacing w:val="0"/>
          <w:sz w:val="24"/>
          <w:szCs w:val="24"/>
          <w:shd w:val="clear" w:color="auto" w:fill="FFFFFF"/>
        </w:rPr>
        <w:t>2.2 肝肾亏虚、气血不足证</w:t>
      </w:r>
    </w:p>
    <w:p w14:paraId="6C78F011">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0" w:firstLineChars="200"/>
        <w:textAlignment w:val="auto"/>
        <w:rPr>
          <w:rFonts w:hint="eastAsia" w:ascii="宋体" w:hAnsi="宋体" w:eastAsia="宋体" w:cs="宋体"/>
          <w:i w:val="0"/>
          <w:iCs w:val="0"/>
          <w:caps w:val="0"/>
          <w:color w:val="0F1115"/>
          <w:spacing w:val="0"/>
          <w:sz w:val="24"/>
          <w:szCs w:val="24"/>
        </w:rPr>
      </w:pPr>
      <w:r>
        <w:rPr>
          <w:rFonts w:hint="eastAsia" w:ascii="宋体" w:hAnsi="宋体" w:eastAsia="宋体" w:cs="宋体"/>
          <w:i w:val="0"/>
          <w:iCs w:val="0"/>
          <w:caps w:val="0"/>
          <w:color w:val="0F1115"/>
          <w:spacing w:val="0"/>
          <w:sz w:val="24"/>
          <w:szCs w:val="24"/>
          <w:shd w:val="clear" w:color="auto" w:fill="FFFFFF"/>
        </w:rPr>
        <w:t>治法：益肝肾，补气血，蠲痹通络（以补为主）。</w:t>
      </w:r>
      <w:r>
        <w:rPr>
          <w:rFonts w:hint="eastAsia" w:ascii="宋体" w:hAnsi="宋体" w:cs="宋体"/>
          <w:i w:val="0"/>
          <w:iCs w:val="0"/>
          <w:caps w:val="0"/>
          <w:color w:val="0F1115"/>
          <w:spacing w:val="0"/>
          <w:sz w:val="24"/>
          <w:szCs w:val="24"/>
          <w:shd w:val="clear" w:color="auto" w:fill="FFFFFF"/>
          <w:lang w:eastAsia="zh-CN"/>
        </w:rPr>
        <w:t>推荐处方</w:t>
      </w:r>
      <w:r>
        <w:rPr>
          <w:rFonts w:hint="eastAsia" w:ascii="宋体" w:hAnsi="宋体" w:eastAsia="宋体" w:cs="宋体"/>
          <w:i w:val="0"/>
          <w:iCs w:val="0"/>
          <w:caps w:val="0"/>
          <w:color w:val="0F1115"/>
          <w:spacing w:val="0"/>
          <w:sz w:val="24"/>
          <w:szCs w:val="24"/>
          <w:shd w:val="clear" w:color="auto" w:fill="FFFFFF"/>
        </w:rPr>
        <w:t>：独活寄生汤加减。方药：独活，桑寄生，秦艽，防风，细辛，肉桂，杜仲，熟地黄，怀牛膝，当归，白芍，党参，黄芪，茯苓，甘草。加减：肝肾阴虚明显者加枸杞子、龟板胶（烊冲）；肝肾阳虚明显者加菟丝子、熟附子；血虚甚者加阿胶（烊冲）、龙眼肉；气虚甚者党参易生晒参；兼瘀血者加桃仁、红花；肢体顽麻者加地龙、土鳖虫、全蝎。中西医结合要点：本证多见于RA慢性期，生物制剂和csDMARD达标治疗后缓解达标后生活质量差者占相当比例，治以独活寄生汤联合关节康复及功能锻炼（太极拳、八段锦），改善体力、增强免疫、减少复发；推荐联合维D钙剂、氨基葡萄糖软骨素等辅助治疗。部分老年RA患者MTX不宜长期使用高剂量，可用来氟米特或柳氮磺吡啶联用中医补益肝肾方剂，随访血象及肝肾功能。</w:t>
      </w:r>
    </w:p>
    <w:p w14:paraId="06368CCC">
      <w:pPr>
        <w:pStyle w:val="2"/>
        <w:keepNext/>
        <w:keepLines/>
        <w:pageBreakBefore w:val="0"/>
        <w:widowControl w:val="0"/>
        <w:kinsoku/>
        <w:wordWrap/>
        <w:overflowPunct/>
        <w:topLinePunct w:val="0"/>
        <w:autoSpaceDE/>
        <w:autoSpaceDN/>
        <w:bidi w:val="0"/>
        <w:adjustRightInd/>
        <w:snapToGrid/>
        <w:spacing w:before="10" w:beforeLines="0" w:beforeAutospacing="0" w:after="10" w:afterLines="0" w:afterAutospacing="0" w:line="360" w:lineRule="auto"/>
        <w:ind w:left="0" w:leftChars="0" w:firstLine="482" w:firstLineChars="200"/>
        <w:jc w:val="left"/>
        <w:textAlignment w:val="auto"/>
        <w:rPr>
          <w:rFonts w:hint="default" w:ascii="宋体" w:hAnsi="宋体" w:eastAsia="宋体" w:cs="宋体"/>
          <w:i w:val="0"/>
          <w:iCs w:val="0"/>
          <w:caps w:val="0"/>
          <w:color w:val="0F1115"/>
          <w:spacing w:val="0"/>
          <w:sz w:val="24"/>
          <w:szCs w:val="24"/>
          <w:lang w:val="en-US" w:eastAsia="zh-CN"/>
        </w:rPr>
      </w:pPr>
      <w:r>
        <w:rPr>
          <w:rStyle w:val="12"/>
          <w:rFonts w:hint="eastAsia" w:cs="宋体"/>
          <w:b/>
          <w:bCs/>
          <w:i w:val="0"/>
          <w:iCs w:val="0"/>
          <w:caps w:val="0"/>
          <w:color w:val="0F1115"/>
          <w:spacing w:val="0"/>
          <w:sz w:val="24"/>
          <w:szCs w:val="24"/>
          <w:shd w:val="clear" w:color="auto" w:fill="FFFFFF"/>
          <w:lang w:val="en-US" w:eastAsia="zh-CN"/>
        </w:rPr>
        <w:t>8</w:t>
      </w:r>
      <w:r>
        <w:rPr>
          <w:rStyle w:val="12"/>
          <w:rFonts w:hint="eastAsia" w:ascii="宋体" w:hAnsi="宋体" w:eastAsia="宋体" w:cs="宋体"/>
          <w:b/>
          <w:bCs/>
          <w:i w:val="0"/>
          <w:iCs w:val="0"/>
          <w:caps w:val="0"/>
          <w:color w:val="0F1115"/>
          <w:spacing w:val="0"/>
          <w:sz w:val="24"/>
          <w:szCs w:val="24"/>
          <w:shd w:val="clear" w:color="auto" w:fill="FFFFFF"/>
        </w:rPr>
        <w:t>.3 外治疗法</w:t>
      </w:r>
      <w:r>
        <w:rPr>
          <w:rStyle w:val="12"/>
          <w:rFonts w:hint="eastAsia" w:ascii="宋体" w:hAnsi="宋体" w:cs="宋体"/>
          <w:b/>
          <w:bCs/>
          <w:i w:val="0"/>
          <w:iCs w:val="0"/>
          <w:caps w:val="0"/>
          <w:color w:val="0F1115"/>
          <w:spacing w:val="0"/>
          <w:sz w:val="24"/>
          <w:szCs w:val="24"/>
          <w:shd w:val="clear" w:color="auto" w:fill="FFFFFF"/>
          <w:lang w:val="en-US" w:eastAsia="zh-CN"/>
        </w:rPr>
        <w:t xml:space="preserve"> </w:t>
      </w:r>
    </w:p>
    <w:p w14:paraId="3259C813">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2" w:firstLineChars="200"/>
        <w:textAlignment w:val="auto"/>
        <w:rPr>
          <w:rFonts w:hint="eastAsia" w:ascii="宋体" w:hAnsi="宋体" w:eastAsia="宋体" w:cs="宋体"/>
          <w:i w:val="0"/>
          <w:iCs w:val="0"/>
          <w:caps w:val="0"/>
          <w:color w:val="0F1115"/>
          <w:spacing w:val="0"/>
          <w:sz w:val="24"/>
          <w:szCs w:val="24"/>
        </w:rPr>
      </w:pPr>
      <w:r>
        <w:rPr>
          <w:rStyle w:val="12"/>
          <w:rFonts w:hint="eastAsia" w:ascii="宋体" w:hAnsi="宋体" w:cs="宋体"/>
          <w:b/>
          <w:bCs/>
          <w:i w:val="0"/>
          <w:iCs w:val="0"/>
          <w:caps w:val="0"/>
          <w:color w:val="0F1115"/>
          <w:spacing w:val="0"/>
          <w:sz w:val="24"/>
          <w:szCs w:val="24"/>
          <w:shd w:val="clear" w:color="auto" w:fill="FFFFFF"/>
          <w:lang w:val="en-US" w:eastAsia="zh-CN"/>
        </w:rPr>
        <w:t>8</w:t>
      </w:r>
      <w:r>
        <w:rPr>
          <w:rStyle w:val="12"/>
          <w:rFonts w:hint="eastAsia" w:ascii="宋体" w:hAnsi="宋体" w:eastAsia="宋体" w:cs="宋体"/>
          <w:b/>
          <w:bCs/>
          <w:i w:val="0"/>
          <w:iCs w:val="0"/>
          <w:caps w:val="0"/>
          <w:color w:val="0F1115"/>
          <w:spacing w:val="0"/>
          <w:sz w:val="24"/>
          <w:szCs w:val="24"/>
          <w:shd w:val="clear" w:color="auto" w:fill="FFFFFF"/>
        </w:rPr>
        <w:t>.3.1 针刺疗法</w:t>
      </w:r>
    </w:p>
    <w:p w14:paraId="6B137EB3">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0" w:firstLineChars="200"/>
        <w:textAlignment w:val="auto"/>
        <w:rPr>
          <w:rFonts w:hint="eastAsia" w:ascii="宋体" w:hAnsi="宋体" w:eastAsia="宋体" w:cs="宋体"/>
          <w:i w:val="0"/>
          <w:iCs w:val="0"/>
          <w:caps w:val="0"/>
          <w:color w:val="0F1115"/>
          <w:spacing w:val="0"/>
          <w:sz w:val="24"/>
          <w:szCs w:val="24"/>
        </w:rPr>
      </w:pPr>
      <w:r>
        <w:rPr>
          <w:rFonts w:hint="eastAsia" w:ascii="宋体" w:hAnsi="宋体" w:eastAsia="宋体" w:cs="宋体"/>
          <w:i w:val="0"/>
          <w:iCs w:val="0"/>
          <w:caps w:val="0"/>
          <w:color w:val="0F1115"/>
          <w:spacing w:val="0"/>
          <w:sz w:val="24"/>
          <w:szCs w:val="24"/>
          <w:shd w:val="clear" w:color="auto" w:fill="FFFFFF"/>
        </w:rPr>
        <w:t>依据“虚则补之，实则泻之，热则疾之，寒则留之”的针刺总则，常规选用局部取穴与循经取穴相合，包括肩髃、曲池、合谷、阳溪、外关、髀关、梁丘、犊鼻、膝眼、足三里、阳陵泉、三阴交、解溪、丘墟等。急性活动期以泄法为主，配合三棱针点刺放血，减少关节红肿热痛；寒湿痹证以灸法（温针灸）为主，配关元、气海或隔附子饼灸以温经除湿。常用针刺</w:t>
      </w:r>
      <w:r>
        <w:rPr>
          <w:rFonts w:hint="eastAsia" w:ascii="宋体" w:hAnsi="宋体" w:cs="宋体"/>
          <w:i w:val="0"/>
          <w:iCs w:val="0"/>
          <w:caps w:val="0"/>
          <w:color w:val="0F1115"/>
          <w:spacing w:val="0"/>
          <w:sz w:val="24"/>
          <w:szCs w:val="24"/>
          <w:shd w:val="clear" w:color="auto" w:fill="FFFFFF"/>
          <w:lang w:eastAsia="zh-CN"/>
        </w:rPr>
        <w:t>推荐处方</w:t>
      </w:r>
      <w:r>
        <w:rPr>
          <w:rFonts w:hint="eastAsia" w:ascii="宋体" w:hAnsi="宋体" w:eastAsia="宋体" w:cs="宋体"/>
          <w:i w:val="0"/>
          <w:iCs w:val="0"/>
          <w:caps w:val="0"/>
          <w:color w:val="0F1115"/>
          <w:spacing w:val="0"/>
          <w:sz w:val="24"/>
          <w:szCs w:val="24"/>
          <w:shd w:val="clear" w:color="auto" w:fill="FFFFFF"/>
        </w:rPr>
        <w:t>：关节痛甚者配血海、膈俞以活血；肿痛明显者配阴陵泉、丰隆、三阴交以利湿化痰，配大椎、曲池以泄热；配合电针疏密波加强镇痛效应；每周治疗3次，10～15次为1个疗程。</w:t>
      </w:r>
    </w:p>
    <w:p w14:paraId="2C893C6C">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2" w:firstLineChars="200"/>
        <w:textAlignment w:val="auto"/>
        <w:rPr>
          <w:rFonts w:hint="eastAsia" w:ascii="宋体" w:hAnsi="宋体" w:eastAsia="宋体" w:cs="宋体"/>
          <w:i w:val="0"/>
          <w:iCs w:val="0"/>
          <w:caps w:val="0"/>
          <w:color w:val="0F1115"/>
          <w:spacing w:val="0"/>
          <w:sz w:val="24"/>
          <w:szCs w:val="24"/>
        </w:rPr>
      </w:pPr>
      <w:r>
        <w:rPr>
          <w:rStyle w:val="12"/>
          <w:rFonts w:hint="eastAsia" w:ascii="宋体" w:hAnsi="宋体" w:cs="宋体"/>
          <w:b/>
          <w:bCs/>
          <w:i w:val="0"/>
          <w:iCs w:val="0"/>
          <w:caps w:val="0"/>
          <w:color w:val="0F1115"/>
          <w:spacing w:val="0"/>
          <w:sz w:val="24"/>
          <w:szCs w:val="24"/>
          <w:shd w:val="clear" w:color="auto" w:fill="FFFFFF"/>
          <w:lang w:val="en-US" w:eastAsia="zh-CN"/>
        </w:rPr>
        <w:t>8.</w:t>
      </w:r>
      <w:r>
        <w:rPr>
          <w:rStyle w:val="12"/>
          <w:rFonts w:hint="eastAsia" w:ascii="宋体" w:hAnsi="宋体" w:eastAsia="宋体" w:cs="宋体"/>
          <w:b/>
          <w:bCs/>
          <w:i w:val="0"/>
          <w:iCs w:val="0"/>
          <w:caps w:val="0"/>
          <w:color w:val="0F1115"/>
          <w:spacing w:val="0"/>
          <w:sz w:val="24"/>
          <w:szCs w:val="24"/>
          <w:shd w:val="clear" w:color="auto" w:fill="FFFFFF"/>
        </w:rPr>
        <w:t>3.2 推拿与关节功能锻炼</w:t>
      </w:r>
    </w:p>
    <w:p w14:paraId="0AF9F291">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0" w:firstLineChars="200"/>
        <w:textAlignment w:val="auto"/>
        <w:rPr>
          <w:rFonts w:hint="eastAsia" w:ascii="宋体" w:hAnsi="宋体" w:eastAsia="宋体" w:cs="宋体"/>
          <w:i w:val="0"/>
          <w:iCs w:val="0"/>
          <w:caps w:val="0"/>
          <w:color w:val="0F1115"/>
          <w:spacing w:val="0"/>
          <w:sz w:val="24"/>
          <w:szCs w:val="24"/>
        </w:rPr>
      </w:pPr>
      <w:r>
        <w:rPr>
          <w:rFonts w:hint="eastAsia" w:ascii="宋体" w:hAnsi="宋体" w:eastAsia="宋体" w:cs="宋体"/>
          <w:i w:val="0"/>
          <w:iCs w:val="0"/>
          <w:caps w:val="0"/>
          <w:color w:val="0F1115"/>
          <w:spacing w:val="0"/>
          <w:sz w:val="24"/>
          <w:szCs w:val="24"/>
          <w:shd w:val="clear" w:color="auto" w:fill="FFFFFF"/>
        </w:rPr>
        <w:t>推拿治疗采用按揉法、弹拨法、㨰法放松肌肉，配合被动运动循序渐进，使用揉捻牵抖等手法维持关节活动度。病程早期鼓励患者在非急性期进行规律手指、腕、肘、肩、膝、踝关节活动的主动运动，合并关节功能障碍者采用作业治疗指导日常生活。推拿宜隔日1次，手法由轻到重、由近及远；伴骨侵蚀明显、滑膜炎严重者避免暴力被动牵拉活动，以免造成关节损伤。</w:t>
      </w:r>
    </w:p>
    <w:p w14:paraId="45F39B11">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2" w:firstLineChars="200"/>
        <w:textAlignment w:val="auto"/>
        <w:rPr>
          <w:rFonts w:hint="eastAsia" w:ascii="宋体" w:hAnsi="宋体" w:eastAsia="宋体" w:cs="宋体"/>
          <w:i w:val="0"/>
          <w:iCs w:val="0"/>
          <w:caps w:val="0"/>
          <w:color w:val="0F1115"/>
          <w:spacing w:val="0"/>
          <w:sz w:val="24"/>
          <w:szCs w:val="24"/>
        </w:rPr>
      </w:pPr>
      <w:r>
        <w:rPr>
          <w:rStyle w:val="12"/>
          <w:rFonts w:hint="eastAsia" w:ascii="宋体" w:hAnsi="宋体" w:cs="宋体"/>
          <w:b/>
          <w:bCs/>
          <w:i w:val="0"/>
          <w:iCs w:val="0"/>
          <w:caps w:val="0"/>
          <w:color w:val="0F1115"/>
          <w:spacing w:val="0"/>
          <w:sz w:val="24"/>
          <w:szCs w:val="24"/>
          <w:shd w:val="clear" w:color="auto" w:fill="FFFFFF"/>
          <w:lang w:val="en-US" w:eastAsia="zh-CN"/>
        </w:rPr>
        <w:t>8</w:t>
      </w:r>
      <w:r>
        <w:rPr>
          <w:rStyle w:val="12"/>
          <w:rFonts w:hint="eastAsia" w:ascii="宋体" w:hAnsi="宋体" w:eastAsia="宋体" w:cs="宋体"/>
          <w:b/>
          <w:bCs/>
          <w:i w:val="0"/>
          <w:iCs w:val="0"/>
          <w:caps w:val="0"/>
          <w:color w:val="0F1115"/>
          <w:spacing w:val="0"/>
          <w:sz w:val="24"/>
          <w:szCs w:val="24"/>
          <w:shd w:val="clear" w:color="auto" w:fill="FFFFFF"/>
        </w:rPr>
        <w:t>.3.3 药浴与熏洗疗法</w:t>
      </w:r>
    </w:p>
    <w:p w14:paraId="03513D9B">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0" w:firstLineChars="200"/>
        <w:textAlignment w:val="auto"/>
        <w:rPr>
          <w:rFonts w:hint="eastAsia" w:ascii="宋体" w:hAnsi="宋体" w:eastAsia="宋体" w:cs="宋体"/>
          <w:i w:val="0"/>
          <w:iCs w:val="0"/>
          <w:caps w:val="0"/>
          <w:color w:val="0F1115"/>
          <w:spacing w:val="0"/>
          <w:sz w:val="24"/>
          <w:szCs w:val="24"/>
        </w:rPr>
      </w:pPr>
      <w:r>
        <w:rPr>
          <w:rFonts w:hint="eastAsia" w:ascii="宋体" w:hAnsi="宋体" w:eastAsia="宋体" w:cs="宋体"/>
          <w:i w:val="0"/>
          <w:iCs w:val="0"/>
          <w:caps w:val="0"/>
          <w:color w:val="0F1115"/>
          <w:spacing w:val="0"/>
          <w:sz w:val="24"/>
          <w:szCs w:val="24"/>
          <w:shd w:val="clear" w:color="auto" w:fill="FFFFFF"/>
        </w:rPr>
        <w:t>常用祛风散寒蠲痹药浴方（蠲痹沐方）：生川乌，生草乌，生马钱子，酒白芍，透骨草，细辛，莪术，制乳没，制南星，威灵仙，桑寄生，仙灵脾，皂角刺。以上药研末装袋，加热水浴浸泡肢体关节（40～42℃，20min/次，隔日1次）。湿热痹阻证推荐黄柏、苦参、浮萍、地肤子、蛇床子水煎外洗患处。注意防止皮肤过敏或破溃、防止烫伤。上述外用药均应在专业医师指导下使用。</w:t>
      </w:r>
    </w:p>
    <w:p w14:paraId="3FDA72AC">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2" w:firstLineChars="200"/>
        <w:textAlignment w:val="auto"/>
        <w:rPr>
          <w:rFonts w:hint="eastAsia" w:ascii="宋体" w:hAnsi="宋体" w:eastAsia="宋体" w:cs="宋体"/>
          <w:i w:val="0"/>
          <w:iCs w:val="0"/>
          <w:caps w:val="0"/>
          <w:color w:val="0F1115"/>
          <w:spacing w:val="0"/>
          <w:sz w:val="24"/>
          <w:szCs w:val="24"/>
        </w:rPr>
      </w:pPr>
      <w:r>
        <w:rPr>
          <w:rStyle w:val="12"/>
          <w:rFonts w:hint="eastAsia" w:ascii="宋体" w:hAnsi="宋体" w:cs="宋体"/>
          <w:b/>
          <w:bCs/>
          <w:i w:val="0"/>
          <w:iCs w:val="0"/>
          <w:caps w:val="0"/>
          <w:color w:val="0F1115"/>
          <w:spacing w:val="0"/>
          <w:sz w:val="24"/>
          <w:szCs w:val="24"/>
          <w:shd w:val="clear" w:color="auto" w:fill="FFFFFF"/>
          <w:lang w:val="en-US" w:eastAsia="zh-CN"/>
        </w:rPr>
        <w:t>8</w:t>
      </w:r>
      <w:r>
        <w:rPr>
          <w:rStyle w:val="12"/>
          <w:rFonts w:hint="eastAsia" w:ascii="宋体" w:hAnsi="宋体" w:eastAsia="宋体" w:cs="宋体"/>
          <w:b/>
          <w:bCs/>
          <w:i w:val="0"/>
          <w:iCs w:val="0"/>
          <w:caps w:val="0"/>
          <w:color w:val="0F1115"/>
          <w:spacing w:val="0"/>
          <w:sz w:val="24"/>
          <w:szCs w:val="24"/>
          <w:shd w:val="clear" w:color="auto" w:fill="FFFFFF"/>
        </w:rPr>
        <w:t>.3.4 艾灸疗法</w:t>
      </w:r>
    </w:p>
    <w:p w14:paraId="3167371F">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0" w:firstLineChars="200"/>
        <w:textAlignment w:val="auto"/>
        <w:rPr>
          <w:rFonts w:hint="eastAsia" w:ascii="宋体" w:hAnsi="宋体" w:eastAsia="宋体" w:cs="宋体"/>
          <w:i w:val="0"/>
          <w:iCs w:val="0"/>
          <w:caps w:val="0"/>
          <w:color w:val="0F1115"/>
          <w:spacing w:val="0"/>
          <w:sz w:val="24"/>
          <w:szCs w:val="24"/>
        </w:rPr>
      </w:pPr>
      <w:r>
        <w:rPr>
          <w:rFonts w:hint="eastAsia" w:ascii="宋体" w:hAnsi="宋体" w:eastAsia="宋体" w:cs="宋体"/>
          <w:i w:val="0"/>
          <w:iCs w:val="0"/>
          <w:caps w:val="0"/>
          <w:color w:val="0F1115"/>
          <w:spacing w:val="0"/>
          <w:sz w:val="24"/>
          <w:szCs w:val="24"/>
          <w:shd w:val="clear" w:color="auto" w:fill="FFFFFF"/>
        </w:rPr>
        <w:t>寒湿痹阻型RA可选主穴关元、气海、足三里、三阴交、肾俞，每穴每次温和灸15～20min，每日1次，10次为一个疗程，以温经通络、散寒除湿；慢性久病气血亏虚者配合督脉艾灸、隔附子饼灸增强补虚扶正效应。艾灸时注意悬起高度和局部温度，严防烫伤，如产生小水泡预防感染，配烫伤膏外涂清疮。</w:t>
      </w:r>
    </w:p>
    <w:p w14:paraId="745B333B">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2" w:firstLineChars="200"/>
        <w:textAlignment w:val="auto"/>
        <w:rPr>
          <w:rFonts w:hint="eastAsia" w:ascii="宋体" w:hAnsi="宋体" w:eastAsia="宋体" w:cs="宋体"/>
          <w:i w:val="0"/>
          <w:iCs w:val="0"/>
          <w:caps w:val="0"/>
          <w:color w:val="0F1115"/>
          <w:spacing w:val="0"/>
          <w:sz w:val="24"/>
          <w:szCs w:val="24"/>
        </w:rPr>
      </w:pPr>
      <w:r>
        <w:rPr>
          <w:rStyle w:val="12"/>
          <w:rFonts w:hint="eastAsia" w:ascii="宋体" w:hAnsi="宋体" w:cs="宋体"/>
          <w:b/>
          <w:bCs/>
          <w:i w:val="0"/>
          <w:iCs w:val="0"/>
          <w:caps w:val="0"/>
          <w:color w:val="0F1115"/>
          <w:spacing w:val="0"/>
          <w:sz w:val="24"/>
          <w:szCs w:val="24"/>
          <w:shd w:val="clear" w:color="auto" w:fill="FFFFFF"/>
          <w:lang w:val="en-US" w:eastAsia="zh-CN"/>
        </w:rPr>
        <w:t>8</w:t>
      </w:r>
      <w:r>
        <w:rPr>
          <w:rStyle w:val="12"/>
          <w:rFonts w:hint="eastAsia" w:ascii="宋体" w:hAnsi="宋体" w:eastAsia="宋体" w:cs="宋体"/>
          <w:b/>
          <w:bCs/>
          <w:i w:val="0"/>
          <w:iCs w:val="0"/>
          <w:caps w:val="0"/>
          <w:color w:val="0F1115"/>
          <w:spacing w:val="0"/>
          <w:sz w:val="24"/>
          <w:szCs w:val="24"/>
          <w:shd w:val="clear" w:color="auto" w:fill="FFFFFF"/>
        </w:rPr>
        <w:t>.3.5 中药塌渍与离子导入</w:t>
      </w:r>
    </w:p>
    <w:p w14:paraId="7DF8669E">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0" w:firstLineChars="200"/>
        <w:textAlignment w:val="auto"/>
        <w:rPr>
          <w:rFonts w:hint="eastAsia" w:ascii="宋体" w:hAnsi="宋体" w:eastAsia="宋体" w:cs="宋体"/>
          <w:i w:val="0"/>
          <w:iCs w:val="0"/>
          <w:caps w:val="0"/>
          <w:color w:val="0F1115"/>
          <w:spacing w:val="0"/>
          <w:sz w:val="24"/>
          <w:szCs w:val="24"/>
        </w:rPr>
      </w:pPr>
      <w:r>
        <w:rPr>
          <w:rFonts w:hint="eastAsia" w:ascii="宋体" w:hAnsi="宋体" w:eastAsia="宋体" w:cs="宋体"/>
          <w:i w:val="0"/>
          <w:iCs w:val="0"/>
          <w:caps w:val="0"/>
          <w:color w:val="0F1115"/>
          <w:spacing w:val="0"/>
          <w:sz w:val="24"/>
          <w:szCs w:val="24"/>
          <w:shd w:val="clear" w:color="auto" w:fill="FFFFFF"/>
        </w:rPr>
        <w:t>中药塌渍：黄连、黄柏、金银花、蒲公英、冰片等清热利湿活血药煎煮浸湿纱布湿敷肿痛关节（药物温度38～40℃，每次20min，每日1次）。离子导入：选择中药提取液（如雷公藤多苷、川芎嗪、丹参注射液等）通过直流电场导入关节区域，电流密度0.05～0.1mA/cm²，改善局部循环和炎症。</w:t>
      </w:r>
    </w:p>
    <w:p w14:paraId="6555B58D">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2" w:firstLineChars="200"/>
        <w:textAlignment w:val="auto"/>
        <w:rPr>
          <w:rFonts w:hint="eastAsia" w:ascii="宋体" w:hAnsi="宋体" w:eastAsia="宋体" w:cs="宋体"/>
          <w:i w:val="0"/>
          <w:iCs w:val="0"/>
          <w:caps w:val="0"/>
          <w:color w:val="0F1115"/>
          <w:spacing w:val="0"/>
          <w:sz w:val="24"/>
          <w:szCs w:val="24"/>
        </w:rPr>
      </w:pPr>
      <w:r>
        <w:rPr>
          <w:rStyle w:val="12"/>
          <w:rFonts w:hint="eastAsia" w:ascii="宋体" w:hAnsi="宋体" w:eastAsia="宋体" w:cs="宋体"/>
          <w:b/>
          <w:bCs/>
          <w:i w:val="0"/>
          <w:iCs w:val="0"/>
          <w:caps w:val="0"/>
          <w:color w:val="0F1115"/>
          <w:spacing w:val="0"/>
          <w:sz w:val="24"/>
          <w:szCs w:val="24"/>
          <w:shd w:val="clear" w:color="auto" w:fill="FFFFFF"/>
        </w:rPr>
        <w:t>8.</w:t>
      </w:r>
      <w:r>
        <w:rPr>
          <w:rStyle w:val="12"/>
          <w:rFonts w:hint="eastAsia" w:ascii="宋体" w:hAnsi="宋体" w:cs="宋体"/>
          <w:b/>
          <w:bCs/>
          <w:i w:val="0"/>
          <w:iCs w:val="0"/>
          <w:caps w:val="0"/>
          <w:color w:val="0F1115"/>
          <w:spacing w:val="0"/>
          <w:sz w:val="24"/>
          <w:szCs w:val="24"/>
          <w:shd w:val="clear" w:color="auto" w:fill="FFFFFF"/>
          <w:lang w:val="en-US" w:eastAsia="zh-CN"/>
        </w:rPr>
        <w:t>4</w:t>
      </w:r>
      <w:r>
        <w:rPr>
          <w:rStyle w:val="12"/>
          <w:rFonts w:hint="eastAsia" w:ascii="宋体" w:hAnsi="宋体" w:eastAsia="宋体" w:cs="宋体"/>
          <w:b/>
          <w:bCs/>
          <w:i w:val="0"/>
          <w:iCs w:val="0"/>
          <w:caps w:val="0"/>
          <w:color w:val="0F1115"/>
          <w:spacing w:val="0"/>
          <w:sz w:val="24"/>
          <w:szCs w:val="24"/>
          <w:shd w:val="clear" w:color="auto" w:fill="FFFFFF"/>
        </w:rPr>
        <w:t xml:space="preserve"> 营养与饮食管理</w:t>
      </w:r>
    </w:p>
    <w:p w14:paraId="5AD76265">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2" w:firstLineChars="200"/>
        <w:textAlignment w:val="auto"/>
        <w:rPr>
          <w:rFonts w:hint="eastAsia" w:ascii="宋体" w:hAnsi="宋体" w:eastAsia="宋体" w:cs="宋体"/>
          <w:i w:val="0"/>
          <w:iCs w:val="0"/>
          <w:caps w:val="0"/>
          <w:color w:val="0F1115"/>
          <w:spacing w:val="0"/>
          <w:sz w:val="24"/>
          <w:szCs w:val="24"/>
        </w:rPr>
      </w:pPr>
      <w:r>
        <w:rPr>
          <w:rStyle w:val="12"/>
          <w:rFonts w:hint="eastAsia" w:ascii="宋体" w:hAnsi="宋体" w:eastAsia="宋体" w:cs="宋体"/>
          <w:b/>
          <w:bCs/>
          <w:i w:val="0"/>
          <w:iCs w:val="0"/>
          <w:caps w:val="0"/>
          <w:color w:val="0F1115"/>
          <w:spacing w:val="0"/>
          <w:sz w:val="24"/>
          <w:szCs w:val="24"/>
          <w:shd w:val="clear" w:color="auto" w:fill="FFFFFF"/>
        </w:rPr>
        <w:t>8.</w:t>
      </w:r>
      <w:r>
        <w:rPr>
          <w:rStyle w:val="12"/>
          <w:rFonts w:hint="eastAsia" w:ascii="宋体" w:hAnsi="宋体" w:cs="宋体"/>
          <w:b/>
          <w:bCs/>
          <w:i w:val="0"/>
          <w:iCs w:val="0"/>
          <w:caps w:val="0"/>
          <w:color w:val="0F1115"/>
          <w:spacing w:val="0"/>
          <w:sz w:val="24"/>
          <w:szCs w:val="24"/>
          <w:shd w:val="clear" w:color="auto" w:fill="FFFFFF"/>
          <w:lang w:val="en-US" w:eastAsia="zh-CN"/>
        </w:rPr>
        <w:t>4</w:t>
      </w:r>
      <w:r>
        <w:rPr>
          <w:rStyle w:val="12"/>
          <w:rFonts w:hint="eastAsia" w:ascii="宋体" w:hAnsi="宋体" w:eastAsia="宋体" w:cs="宋体"/>
          <w:b/>
          <w:bCs/>
          <w:i w:val="0"/>
          <w:iCs w:val="0"/>
          <w:caps w:val="0"/>
          <w:color w:val="0F1115"/>
          <w:spacing w:val="0"/>
          <w:sz w:val="24"/>
          <w:szCs w:val="24"/>
          <w:shd w:val="clear" w:color="auto" w:fill="FFFFFF"/>
        </w:rPr>
        <w:t>.1 抗炎膳食模式</w:t>
      </w:r>
    </w:p>
    <w:p w14:paraId="5583B23B">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0" w:firstLineChars="200"/>
        <w:textAlignment w:val="auto"/>
        <w:rPr>
          <w:rFonts w:hint="eastAsia" w:ascii="宋体" w:hAnsi="宋体" w:eastAsia="宋体" w:cs="宋体"/>
          <w:i w:val="0"/>
          <w:iCs w:val="0"/>
          <w:caps w:val="0"/>
          <w:color w:val="0F1115"/>
          <w:spacing w:val="0"/>
          <w:sz w:val="24"/>
          <w:szCs w:val="24"/>
        </w:rPr>
      </w:pPr>
      <w:r>
        <w:rPr>
          <w:rFonts w:hint="eastAsia" w:ascii="宋体" w:hAnsi="宋体" w:eastAsia="宋体" w:cs="宋体"/>
          <w:i w:val="0"/>
          <w:iCs w:val="0"/>
          <w:caps w:val="0"/>
          <w:color w:val="0F1115"/>
          <w:spacing w:val="0"/>
          <w:sz w:val="24"/>
          <w:szCs w:val="24"/>
          <w:shd w:val="clear" w:color="auto" w:fill="FFFFFF"/>
        </w:rPr>
        <w:t>地中海饮食富含单不饱和脂肪酸、多酚类和抗氧化剂，通过调节肠道免疫稳态发挥抗炎作用</w:t>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begin"/>
      </w:r>
      <w:r>
        <w:rPr>
          <w:rFonts w:hint="eastAsia" w:ascii="宋体" w:hAnsi="宋体" w:eastAsia="宋体" w:cs="宋体"/>
          <w:i w:val="0"/>
          <w:iCs w:val="0"/>
          <w:caps w:val="0"/>
          <w:color w:val="3964FE"/>
          <w:spacing w:val="0"/>
          <w:sz w:val="24"/>
          <w:szCs w:val="24"/>
          <w:u w:val="none"/>
          <w:bdr w:val="single" w:color="auto" w:sz="8" w:space="0"/>
          <w:shd w:val="clear" w:color="auto" w:fill="FFFFFF"/>
        </w:rPr>
        <w:instrText xml:space="preserve"> HYPERLINK "https://www.ebiotrade.com/newsf/2025-7/20250727081339982.htm" \t "https://chat.deepseek.com/a/chat/s/_blank" </w:instrText>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separate"/>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end"/>
      </w:r>
      <w:r>
        <w:rPr>
          <w:rFonts w:hint="eastAsia" w:ascii="宋体" w:hAnsi="宋体" w:eastAsia="宋体" w:cs="宋体"/>
          <w:i w:val="0"/>
          <w:iCs w:val="0"/>
          <w:caps w:val="0"/>
          <w:color w:val="0F1115"/>
          <w:spacing w:val="0"/>
          <w:sz w:val="24"/>
          <w:szCs w:val="24"/>
          <w:shd w:val="clear" w:color="auto" w:fill="FFFFFF"/>
        </w:rPr>
        <w:t>。地中海饮食是RA患者首推的膳食模式，强调多摄入新鲜蔬菜、水果、全谷物、豆类和坚果，以橄榄油为主要脂肪来源，适量摄入鱼类（特别是富含Omega-3的深海鱼，每周≥2次）和禽肉，限制红肉及加工肉制品。Omega-3多不饱和脂肪酸推荐每日≥2g（优先来自深海鱼类，其次可选择鱼油补充剂），对RA患者的关节症状和炎症指标有改善作用</w:t>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begin"/>
      </w:r>
      <w:r>
        <w:rPr>
          <w:rFonts w:hint="eastAsia" w:ascii="宋体" w:hAnsi="宋体" w:eastAsia="宋体" w:cs="宋体"/>
          <w:i w:val="0"/>
          <w:iCs w:val="0"/>
          <w:caps w:val="0"/>
          <w:color w:val="3964FE"/>
          <w:spacing w:val="0"/>
          <w:sz w:val="24"/>
          <w:szCs w:val="24"/>
          <w:u w:val="none"/>
          <w:bdr w:val="single" w:color="auto" w:sz="8" w:space="0"/>
          <w:shd w:val="clear" w:color="auto" w:fill="FFFFFF"/>
        </w:rPr>
        <w:instrText xml:space="preserve"> HYPERLINK "https://www.mjrheum.org/el_GR/current-issue/showreferences792/june-2020-supp/newsid792/639/showfulltext792/dec-2020" \t "https://chat.deepseek.com/a/chat/s/_blank" </w:instrText>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separate"/>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end"/>
      </w:r>
      <w:r>
        <w:rPr>
          <w:rFonts w:hint="eastAsia" w:ascii="宋体" w:hAnsi="宋体" w:eastAsia="宋体" w:cs="宋体"/>
          <w:i w:val="0"/>
          <w:iCs w:val="0"/>
          <w:caps w:val="0"/>
          <w:color w:val="0F1115"/>
          <w:spacing w:val="0"/>
          <w:sz w:val="24"/>
          <w:szCs w:val="24"/>
          <w:shd w:val="clear" w:color="auto" w:fill="FFFFFF"/>
        </w:rPr>
        <w:t>。维生素D补充（800</w:t>
      </w:r>
      <w:r>
        <w:rPr>
          <w:rFonts w:hint="eastAsia" w:ascii="宋体" w:hAnsi="宋体" w:cs="宋体"/>
          <w:i w:val="0"/>
          <w:iCs w:val="0"/>
          <w:caps w:val="0"/>
          <w:color w:val="0F1115"/>
          <w:spacing w:val="0"/>
          <w:sz w:val="24"/>
          <w:szCs w:val="24"/>
          <w:shd w:val="clear" w:color="auto" w:fill="FFFFFF"/>
          <w:lang w:eastAsia="zh-CN"/>
        </w:rPr>
        <w:t>～</w:t>
      </w:r>
      <w:r>
        <w:rPr>
          <w:rFonts w:hint="eastAsia" w:ascii="宋体" w:hAnsi="宋体" w:eastAsia="宋体" w:cs="宋体"/>
          <w:i w:val="0"/>
          <w:iCs w:val="0"/>
          <w:caps w:val="0"/>
          <w:color w:val="0F1115"/>
          <w:spacing w:val="0"/>
          <w:sz w:val="24"/>
          <w:szCs w:val="24"/>
          <w:shd w:val="clear" w:color="auto" w:fill="FFFFFF"/>
        </w:rPr>
        <w:t>2000IU/d）有助于维持骨骼健康和调节免疫，流行病学证据提示充足的维生素D水平与较低的RA疾病活动度相关。2025年更新伞形综述（纳入52篇系统综述）显示，对于RA患者应建议处方运动，而膳食干预的证据尚需更高质量的研究验证</w:t>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begin"/>
      </w:r>
      <w:r>
        <w:rPr>
          <w:rFonts w:hint="eastAsia" w:ascii="宋体" w:hAnsi="宋体" w:eastAsia="宋体" w:cs="宋体"/>
          <w:i w:val="0"/>
          <w:iCs w:val="0"/>
          <w:caps w:val="0"/>
          <w:color w:val="3964FE"/>
          <w:spacing w:val="0"/>
          <w:sz w:val="24"/>
          <w:szCs w:val="24"/>
          <w:u w:val="none"/>
          <w:bdr w:val="single" w:color="auto" w:sz="8" w:space="0"/>
          <w:shd w:val="clear" w:color="auto" w:fill="FFFFFF"/>
        </w:rPr>
        <w:instrText xml:space="preserve"> HYPERLINK "https://researchers.westernsydney.edu.au/en/publications/the-effectiveness-and-safety-of-lifestyle-medicine-and-integrativ/" \l "main-content" \t "https://chat.deepseek.com/a/chat/s/_blank" </w:instrText>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separate"/>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end"/>
      </w:r>
      <w:r>
        <w:rPr>
          <w:rFonts w:hint="eastAsia" w:ascii="宋体" w:hAnsi="宋体" w:eastAsia="宋体" w:cs="宋体"/>
          <w:i w:val="0"/>
          <w:iCs w:val="0"/>
          <w:caps w:val="0"/>
          <w:color w:val="0F1115"/>
          <w:spacing w:val="0"/>
          <w:sz w:val="24"/>
          <w:szCs w:val="24"/>
          <w:shd w:val="clear" w:color="auto" w:fill="FFFFFF"/>
        </w:rPr>
        <w:t>。</w:t>
      </w:r>
    </w:p>
    <w:p w14:paraId="6C41DCEF">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2" w:firstLineChars="200"/>
        <w:textAlignment w:val="auto"/>
        <w:rPr>
          <w:rFonts w:hint="eastAsia" w:ascii="宋体" w:hAnsi="宋体" w:eastAsia="宋体" w:cs="宋体"/>
          <w:i w:val="0"/>
          <w:iCs w:val="0"/>
          <w:caps w:val="0"/>
          <w:color w:val="0F1115"/>
          <w:spacing w:val="0"/>
          <w:sz w:val="24"/>
          <w:szCs w:val="24"/>
        </w:rPr>
      </w:pPr>
      <w:r>
        <w:rPr>
          <w:rStyle w:val="12"/>
          <w:rFonts w:hint="eastAsia" w:ascii="宋体" w:hAnsi="宋体" w:eastAsia="宋体" w:cs="宋体"/>
          <w:b/>
          <w:bCs/>
          <w:i w:val="0"/>
          <w:iCs w:val="0"/>
          <w:caps w:val="0"/>
          <w:color w:val="0F1115"/>
          <w:spacing w:val="0"/>
          <w:sz w:val="24"/>
          <w:szCs w:val="24"/>
          <w:shd w:val="clear" w:color="auto" w:fill="FFFFFF"/>
        </w:rPr>
        <w:t>8.</w:t>
      </w:r>
      <w:r>
        <w:rPr>
          <w:rStyle w:val="12"/>
          <w:rFonts w:hint="eastAsia" w:ascii="宋体" w:hAnsi="宋体" w:cs="宋体"/>
          <w:b/>
          <w:bCs/>
          <w:i w:val="0"/>
          <w:iCs w:val="0"/>
          <w:caps w:val="0"/>
          <w:color w:val="0F1115"/>
          <w:spacing w:val="0"/>
          <w:sz w:val="24"/>
          <w:szCs w:val="24"/>
          <w:shd w:val="clear" w:color="auto" w:fill="FFFFFF"/>
          <w:lang w:val="en-US" w:eastAsia="zh-CN"/>
        </w:rPr>
        <w:t>4</w:t>
      </w:r>
      <w:r>
        <w:rPr>
          <w:rStyle w:val="12"/>
          <w:rFonts w:hint="eastAsia" w:ascii="宋体" w:hAnsi="宋体" w:eastAsia="宋体" w:cs="宋体"/>
          <w:b/>
          <w:bCs/>
          <w:i w:val="0"/>
          <w:iCs w:val="0"/>
          <w:caps w:val="0"/>
          <w:color w:val="0F1115"/>
          <w:spacing w:val="0"/>
          <w:sz w:val="24"/>
          <w:szCs w:val="24"/>
          <w:shd w:val="clear" w:color="auto" w:fill="FFFFFF"/>
        </w:rPr>
        <w:t>.2 饮食禁忌与辨证施食</w:t>
      </w:r>
    </w:p>
    <w:p w14:paraId="5DC45A43">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0" w:firstLineChars="200"/>
        <w:textAlignment w:val="auto"/>
        <w:rPr>
          <w:rFonts w:hint="eastAsia" w:ascii="宋体" w:hAnsi="宋体" w:eastAsia="宋体" w:cs="宋体"/>
          <w:i w:val="0"/>
          <w:iCs w:val="0"/>
          <w:caps w:val="0"/>
          <w:color w:val="0F1115"/>
          <w:spacing w:val="0"/>
          <w:sz w:val="24"/>
          <w:szCs w:val="24"/>
        </w:rPr>
      </w:pPr>
      <w:r>
        <w:rPr>
          <w:rFonts w:hint="eastAsia" w:ascii="宋体" w:hAnsi="宋体" w:eastAsia="宋体" w:cs="宋体"/>
          <w:i w:val="0"/>
          <w:iCs w:val="0"/>
          <w:caps w:val="0"/>
          <w:color w:val="0F1115"/>
          <w:spacing w:val="0"/>
          <w:sz w:val="24"/>
          <w:szCs w:val="24"/>
          <w:shd w:val="clear" w:color="auto" w:fill="FFFFFF"/>
        </w:rPr>
        <w:t>应减少摄入添加糖、高饱和脂肪、高盐及超加工食品。高脂、高盐、高糖饮食与RA发病风险增加相关，而新鲜蔬菜、水果、鱼类和豆制品可辅助降低炎症反应</w:t>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begin"/>
      </w:r>
      <w:r>
        <w:rPr>
          <w:rFonts w:hint="eastAsia" w:ascii="宋体" w:hAnsi="宋体" w:eastAsia="宋体" w:cs="宋体"/>
          <w:i w:val="0"/>
          <w:iCs w:val="0"/>
          <w:caps w:val="0"/>
          <w:color w:val="3964FE"/>
          <w:spacing w:val="0"/>
          <w:sz w:val="24"/>
          <w:szCs w:val="24"/>
          <w:u w:val="none"/>
          <w:bdr w:val="single" w:color="auto" w:sz="8" w:space="0"/>
          <w:shd w:val="clear" w:color="auto" w:fill="FFFFFF"/>
        </w:rPr>
        <w:instrText xml:space="preserve"> HYPERLINK "https://szb.ahnews.com.cn/ncb/pad/con/202507/15/c1095384.html" \t "https://chat.deepseek.com/a/chat/s/_blank" </w:instrText>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separate"/>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end"/>
      </w:r>
      <w:r>
        <w:rPr>
          <w:rFonts w:hint="eastAsia" w:ascii="宋体" w:hAnsi="宋体" w:eastAsia="宋体" w:cs="宋体"/>
          <w:i w:val="0"/>
          <w:iCs w:val="0"/>
          <w:caps w:val="0"/>
          <w:color w:val="0F1115"/>
          <w:spacing w:val="0"/>
          <w:sz w:val="24"/>
          <w:szCs w:val="24"/>
          <w:shd w:val="clear" w:color="auto" w:fill="FFFFFF"/>
        </w:rPr>
        <w:t>。酒精摄入应严格控制在安全限量之内。在RA分类管理过程中需注意，合并肾损害的RA患者（24小时尿蛋白≥0.5g，eGFR＜60mL/min·1.73m²）应限制蛋白摄入（0.6</w:t>
      </w:r>
      <w:r>
        <w:rPr>
          <w:rFonts w:hint="eastAsia" w:ascii="宋体" w:hAnsi="宋体" w:cs="宋体"/>
          <w:i w:val="0"/>
          <w:iCs w:val="0"/>
          <w:caps w:val="0"/>
          <w:color w:val="0F1115"/>
          <w:spacing w:val="0"/>
          <w:sz w:val="24"/>
          <w:szCs w:val="24"/>
          <w:shd w:val="clear" w:color="auto" w:fill="FFFFFF"/>
          <w:lang w:eastAsia="zh-CN"/>
        </w:rPr>
        <w:t>～</w:t>
      </w:r>
      <w:r>
        <w:rPr>
          <w:rFonts w:hint="eastAsia" w:ascii="宋体" w:hAnsi="宋体" w:eastAsia="宋体" w:cs="宋体"/>
          <w:i w:val="0"/>
          <w:iCs w:val="0"/>
          <w:caps w:val="0"/>
          <w:color w:val="0F1115"/>
          <w:spacing w:val="0"/>
          <w:sz w:val="24"/>
          <w:szCs w:val="24"/>
          <w:shd w:val="clear" w:color="auto" w:fill="FFFFFF"/>
        </w:rPr>
        <w:t>0.8g/kg·d，以优质蛋白为主），同时限制钠盐（＜2g/d）和磷摄入。合并心血管疾病或高血脂的RA患者还应限制饱和脂肪和胆固醇摄入。合并消化系统症状者（如使用MTX、NSAIDs等导致的消化道反应）以少食多餐、清淡易消化为原则。针对不同中医证型，饮食调整应有所不同：湿热痹阻证者宜清淡饮食，可予薏苡仁粥、绿豆汤以清热利湿；寒湿痹阻证者可加生姜、胡椒粉、暖胃汤水；肝肾亏虚证者宜食黑豆、核桃、枸杞、山药等补益肝肾之品</w:t>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begin"/>
      </w:r>
      <w:r>
        <w:rPr>
          <w:rFonts w:hint="eastAsia" w:ascii="宋体" w:hAnsi="宋体" w:eastAsia="宋体" w:cs="宋体"/>
          <w:i w:val="0"/>
          <w:iCs w:val="0"/>
          <w:caps w:val="0"/>
          <w:color w:val="3964FE"/>
          <w:spacing w:val="0"/>
          <w:sz w:val="24"/>
          <w:szCs w:val="24"/>
          <w:u w:val="none"/>
          <w:bdr w:val="single" w:color="auto" w:sz="8" w:space="0"/>
          <w:shd w:val="clear" w:color="auto" w:fill="FFFFFF"/>
        </w:rPr>
        <w:instrText xml:space="preserve"> HYPERLINK "https://szb.ahnews.com.cn/ncb/pad/con/202507/15/c1095384.html" \t "https://chat.deepseek.com/a/chat/s/_blank" </w:instrText>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separate"/>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end"/>
      </w:r>
      <w:r>
        <w:rPr>
          <w:rFonts w:hint="eastAsia" w:ascii="宋体" w:hAnsi="宋体" w:eastAsia="宋体" w:cs="宋体"/>
          <w:i w:val="0"/>
          <w:iCs w:val="0"/>
          <w:caps w:val="0"/>
          <w:color w:val="0F1115"/>
          <w:spacing w:val="0"/>
          <w:sz w:val="24"/>
          <w:szCs w:val="24"/>
          <w:shd w:val="clear" w:color="auto" w:fill="FFFFFF"/>
        </w:rPr>
        <w:t>。中医食疗与西医营养原则本同末异，应有机结合。风湿免疫科医师应与临床营养师协作进行评估并定期监测营养状态（每6</w:t>
      </w:r>
      <w:r>
        <w:rPr>
          <w:rFonts w:hint="eastAsia" w:ascii="宋体" w:hAnsi="宋体" w:cs="宋体"/>
          <w:i w:val="0"/>
          <w:iCs w:val="0"/>
          <w:caps w:val="0"/>
          <w:color w:val="0F1115"/>
          <w:spacing w:val="0"/>
          <w:sz w:val="24"/>
          <w:szCs w:val="24"/>
          <w:shd w:val="clear" w:color="auto" w:fill="FFFFFF"/>
          <w:lang w:eastAsia="zh-CN"/>
        </w:rPr>
        <w:t>～</w:t>
      </w:r>
      <w:r>
        <w:rPr>
          <w:rFonts w:hint="eastAsia" w:ascii="宋体" w:hAnsi="宋体" w:eastAsia="宋体" w:cs="宋体"/>
          <w:i w:val="0"/>
          <w:iCs w:val="0"/>
          <w:caps w:val="0"/>
          <w:color w:val="0F1115"/>
          <w:spacing w:val="0"/>
          <w:sz w:val="24"/>
          <w:szCs w:val="24"/>
          <w:shd w:val="clear" w:color="auto" w:fill="FFFFFF"/>
        </w:rPr>
        <w:t>12月复查血清白蛋白、前白蛋白、维生素D水平等），并在必要时调整膳食方案。</w:t>
      </w:r>
    </w:p>
    <w:p w14:paraId="6E2B58F6">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2" w:firstLineChars="200"/>
        <w:textAlignment w:val="auto"/>
        <w:rPr>
          <w:rFonts w:hint="eastAsia" w:ascii="宋体" w:hAnsi="宋体" w:eastAsia="宋体" w:cs="宋体"/>
          <w:i w:val="0"/>
          <w:iCs w:val="0"/>
          <w:caps w:val="0"/>
          <w:color w:val="0F1115"/>
          <w:spacing w:val="0"/>
          <w:sz w:val="24"/>
          <w:szCs w:val="24"/>
        </w:rPr>
      </w:pPr>
      <w:r>
        <w:rPr>
          <w:rStyle w:val="12"/>
          <w:rFonts w:hint="eastAsia" w:ascii="宋体" w:hAnsi="宋体" w:eastAsia="宋体" w:cs="宋体"/>
          <w:b/>
          <w:bCs/>
          <w:i w:val="0"/>
          <w:iCs w:val="0"/>
          <w:caps w:val="0"/>
          <w:color w:val="0F1115"/>
          <w:spacing w:val="0"/>
          <w:sz w:val="24"/>
          <w:szCs w:val="24"/>
          <w:shd w:val="clear" w:color="auto" w:fill="FFFFFF"/>
        </w:rPr>
        <w:t>8.</w:t>
      </w:r>
      <w:r>
        <w:rPr>
          <w:rStyle w:val="12"/>
          <w:rFonts w:hint="eastAsia" w:ascii="宋体" w:hAnsi="宋体" w:cs="宋体"/>
          <w:b/>
          <w:bCs/>
          <w:i w:val="0"/>
          <w:iCs w:val="0"/>
          <w:caps w:val="0"/>
          <w:color w:val="0F1115"/>
          <w:spacing w:val="0"/>
          <w:sz w:val="24"/>
          <w:szCs w:val="24"/>
          <w:shd w:val="clear" w:color="auto" w:fill="FFFFFF"/>
          <w:lang w:val="en-US" w:eastAsia="zh-CN"/>
        </w:rPr>
        <w:t>5</w:t>
      </w:r>
      <w:r>
        <w:rPr>
          <w:rStyle w:val="12"/>
          <w:rFonts w:hint="eastAsia" w:ascii="宋体" w:hAnsi="宋体" w:eastAsia="宋体" w:cs="宋体"/>
          <w:b/>
          <w:bCs/>
          <w:i w:val="0"/>
          <w:iCs w:val="0"/>
          <w:caps w:val="0"/>
          <w:color w:val="0F1115"/>
          <w:spacing w:val="0"/>
          <w:sz w:val="24"/>
          <w:szCs w:val="24"/>
          <w:shd w:val="clear" w:color="auto" w:fill="FFFFFF"/>
        </w:rPr>
        <w:t xml:space="preserve"> 运动与康复锻炼处方</w:t>
      </w:r>
    </w:p>
    <w:p w14:paraId="641A3816">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2" w:firstLineChars="200"/>
        <w:textAlignment w:val="auto"/>
        <w:rPr>
          <w:rFonts w:hint="eastAsia" w:ascii="宋体" w:hAnsi="宋体" w:eastAsia="宋体" w:cs="宋体"/>
          <w:i w:val="0"/>
          <w:iCs w:val="0"/>
          <w:caps w:val="0"/>
          <w:color w:val="0F1115"/>
          <w:spacing w:val="0"/>
          <w:sz w:val="24"/>
          <w:szCs w:val="24"/>
        </w:rPr>
      </w:pPr>
      <w:r>
        <w:rPr>
          <w:rStyle w:val="12"/>
          <w:rFonts w:hint="eastAsia" w:ascii="宋体" w:hAnsi="宋体" w:eastAsia="宋体" w:cs="宋体"/>
          <w:b/>
          <w:bCs/>
          <w:i w:val="0"/>
          <w:iCs w:val="0"/>
          <w:caps w:val="0"/>
          <w:color w:val="0F1115"/>
          <w:spacing w:val="0"/>
          <w:sz w:val="24"/>
          <w:szCs w:val="24"/>
          <w:shd w:val="clear" w:color="auto" w:fill="FFFFFF"/>
        </w:rPr>
        <w:t>8.</w:t>
      </w:r>
      <w:r>
        <w:rPr>
          <w:rStyle w:val="12"/>
          <w:rFonts w:hint="eastAsia" w:ascii="宋体" w:hAnsi="宋体" w:cs="宋体"/>
          <w:b/>
          <w:bCs/>
          <w:i w:val="0"/>
          <w:iCs w:val="0"/>
          <w:caps w:val="0"/>
          <w:color w:val="0F1115"/>
          <w:spacing w:val="0"/>
          <w:sz w:val="24"/>
          <w:szCs w:val="24"/>
          <w:shd w:val="clear" w:color="auto" w:fill="FFFFFF"/>
          <w:lang w:val="en-US" w:eastAsia="zh-CN"/>
        </w:rPr>
        <w:t>5</w:t>
      </w:r>
      <w:r>
        <w:rPr>
          <w:rStyle w:val="12"/>
          <w:rFonts w:hint="eastAsia" w:ascii="宋体" w:hAnsi="宋体" w:eastAsia="宋体" w:cs="宋体"/>
          <w:b/>
          <w:bCs/>
          <w:i w:val="0"/>
          <w:iCs w:val="0"/>
          <w:caps w:val="0"/>
          <w:color w:val="0F1115"/>
          <w:spacing w:val="0"/>
          <w:sz w:val="24"/>
          <w:szCs w:val="24"/>
          <w:shd w:val="clear" w:color="auto" w:fill="FFFFFF"/>
        </w:rPr>
        <w:t>.1 基本原则</w:t>
      </w:r>
    </w:p>
    <w:p w14:paraId="21D3E7C2">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0" w:firstLineChars="200"/>
        <w:textAlignment w:val="auto"/>
        <w:rPr>
          <w:rFonts w:hint="eastAsia" w:ascii="宋体" w:hAnsi="宋体" w:eastAsia="宋体" w:cs="宋体"/>
          <w:i w:val="0"/>
          <w:iCs w:val="0"/>
          <w:caps w:val="0"/>
          <w:color w:val="0F1115"/>
          <w:spacing w:val="0"/>
          <w:sz w:val="24"/>
          <w:szCs w:val="24"/>
        </w:rPr>
      </w:pPr>
      <w:r>
        <w:rPr>
          <w:rFonts w:hint="eastAsia" w:ascii="宋体" w:hAnsi="宋体" w:eastAsia="宋体" w:cs="宋体"/>
          <w:i w:val="0"/>
          <w:iCs w:val="0"/>
          <w:caps w:val="0"/>
          <w:color w:val="0F1115"/>
          <w:spacing w:val="0"/>
          <w:sz w:val="24"/>
          <w:szCs w:val="24"/>
          <w:shd w:val="clear" w:color="auto" w:fill="FFFFFF"/>
        </w:rPr>
        <w:t>2025年EULAR发布了炎症性关节炎和骨关节炎患者身体活动的更新建议，提出4项总体原则和11项具体建议。总体原则强调：规律体力活动（PA）与减少久坐行为对IA和OA患者的健康相关生活质量至关重要；适度减少久坐行为能为IA和OA患者带来健康益处，且独立于其体力活动水平；促进体力活动需医疗服务提供者与患者共同决策，兼顾患者偏好、能力与可用资源</w:t>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begin"/>
      </w:r>
      <w:r>
        <w:rPr>
          <w:rFonts w:hint="eastAsia" w:ascii="宋体" w:hAnsi="宋体" w:eastAsia="宋体" w:cs="宋体"/>
          <w:i w:val="0"/>
          <w:iCs w:val="0"/>
          <w:caps w:val="0"/>
          <w:color w:val="3964FE"/>
          <w:spacing w:val="0"/>
          <w:sz w:val="24"/>
          <w:szCs w:val="24"/>
          <w:u w:val="none"/>
          <w:bdr w:val="single" w:color="auto" w:sz="8" w:space="0"/>
          <w:shd w:val="clear" w:color="auto" w:fill="FFFFFF"/>
        </w:rPr>
        <w:instrText xml:space="preserve"> HYPERLINK "https://m.medlive.cn/cms/research/227489" \t "https://chat.deepseek.com/a/chat/s/_blank" </w:instrText>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separate"/>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end"/>
      </w:r>
      <w:r>
        <w:rPr>
          <w:rFonts w:hint="eastAsia" w:ascii="宋体" w:hAnsi="宋体" w:eastAsia="宋体" w:cs="宋体"/>
          <w:i w:val="0"/>
          <w:iCs w:val="0"/>
          <w:caps w:val="0"/>
          <w:color w:val="0F1115"/>
          <w:spacing w:val="0"/>
          <w:sz w:val="24"/>
          <w:szCs w:val="24"/>
          <w:shd w:val="clear" w:color="auto" w:fill="FFFFFF"/>
        </w:rPr>
        <w:t>。具体建议中明确将“推动符合一般性体力活动建议的运动（含减少久坐行为）作为IA和OA患者疾病全程标准治疗的有机组成部分”列为首位</w:t>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begin"/>
      </w:r>
      <w:r>
        <w:rPr>
          <w:rFonts w:hint="eastAsia" w:ascii="宋体" w:hAnsi="宋体" w:eastAsia="宋体" w:cs="宋体"/>
          <w:i w:val="0"/>
          <w:iCs w:val="0"/>
          <w:caps w:val="0"/>
          <w:color w:val="3964FE"/>
          <w:spacing w:val="0"/>
          <w:sz w:val="24"/>
          <w:szCs w:val="24"/>
          <w:u w:val="none"/>
          <w:bdr w:val="single" w:color="auto" w:sz="8" w:space="0"/>
          <w:shd w:val="clear" w:color="auto" w:fill="FFFFFF"/>
        </w:rPr>
        <w:instrText xml:space="preserve"> HYPERLINK "https://m.medlive.cn/cms/research/227489" \t "https://chat.deepseek.com/a/chat/s/_blank" </w:instrText>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separate"/>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end"/>
      </w:r>
      <w:r>
        <w:rPr>
          <w:rFonts w:hint="eastAsia" w:ascii="宋体" w:hAnsi="宋体" w:eastAsia="宋体" w:cs="宋体"/>
          <w:i w:val="0"/>
          <w:iCs w:val="0"/>
          <w:caps w:val="0"/>
          <w:color w:val="0F1115"/>
          <w:spacing w:val="0"/>
          <w:sz w:val="24"/>
          <w:szCs w:val="24"/>
          <w:shd w:val="clear" w:color="auto" w:fill="FFFFFF"/>
        </w:rPr>
        <w:t>。所有参与RA患者管理的医疗服务提供者均须承担起促进体力活动的责任，而不仅限于物理治疗师或运动专家</w:t>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begin"/>
      </w:r>
      <w:r>
        <w:rPr>
          <w:rFonts w:hint="eastAsia" w:ascii="宋体" w:hAnsi="宋体" w:eastAsia="宋体" w:cs="宋体"/>
          <w:i w:val="0"/>
          <w:iCs w:val="0"/>
          <w:caps w:val="0"/>
          <w:color w:val="3964FE"/>
          <w:spacing w:val="0"/>
          <w:sz w:val="24"/>
          <w:szCs w:val="24"/>
          <w:u w:val="none"/>
          <w:bdr w:val="single" w:color="auto" w:sz="8" w:space="0"/>
          <w:shd w:val="clear" w:color="auto" w:fill="FFFFFF"/>
        </w:rPr>
        <w:instrText xml:space="preserve"> HYPERLINK "https://rheumnow.com/news/eular-recommendations-physical-activity-arthritis?utm_content=buffer32e66&amp;utm_medium=social&amp;utm_source=twitter.com&amp;utm_campaign=buffer" \t "https://chat.deepseek.com/a/chat/s/_blank" </w:instrText>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separate"/>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end"/>
      </w:r>
      <w:r>
        <w:rPr>
          <w:rFonts w:hint="eastAsia" w:ascii="宋体" w:hAnsi="宋体" w:eastAsia="宋体" w:cs="宋体"/>
          <w:i w:val="0"/>
          <w:iCs w:val="0"/>
          <w:caps w:val="0"/>
          <w:color w:val="0F1115"/>
          <w:spacing w:val="0"/>
          <w:sz w:val="24"/>
          <w:szCs w:val="24"/>
          <w:shd w:val="clear" w:color="auto" w:fill="FFFFFF"/>
        </w:rPr>
        <w:t>。</w:t>
      </w:r>
    </w:p>
    <w:p w14:paraId="19157F28">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0" w:firstLineChars="200"/>
        <w:textAlignment w:val="auto"/>
        <w:rPr>
          <w:rFonts w:hint="eastAsia" w:ascii="宋体" w:hAnsi="宋体" w:eastAsia="宋体" w:cs="宋体"/>
          <w:i w:val="0"/>
          <w:iCs w:val="0"/>
          <w:caps w:val="0"/>
          <w:color w:val="0F1115"/>
          <w:spacing w:val="0"/>
          <w:sz w:val="24"/>
          <w:szCs w:val="24"/>
        </w:rPr>
      </w:pPr>
      <w:r>
        <w:rPr>
          <w:rFonts w:hint="eastAsia" w:ascii="宋体" w:hAnsi="宋体" w:eastAsia="宋体" w:cs="宋体"/>
          <w:i w:val="0"/>
          <w:iCs w:val="0"/>
          <w:caps w:val="0"/>
          <w:color w:val="0F1115"/>
          <w:spacing w:val="0"/>
          <w:sz w:val="24"/>
          <w:szCs w:val="24"/>
          <w:shd w:val="clear" w:color="auto" w:fill="FFFFFF"/>
        </w:rPr>
        <w:t>RA的活动量处方推荐为：每周累计至少150分钟中等强度有氧运动，或75分钟高强度有氧活动，或等量组合，同时每周进行2次及以上力量训练</w:t>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begin"/>
      </w:r>
      <w:r>
        <w:rPr>
          <w:rFonts w:hint="eastAsia" w:ascii="宋体" w:hAnsi="宋体" w:eastAsia="宋体" w:cs="宋体"/>
          <w:i w:val="0"/>
          <w:iCs w:val="0"/>
          <w:caps w:val="0"/>
          <w:color w:val="3964FE"/>
          <w:spacing w:val="0"/>
          <w:sz w:val="24"/>
          <w:szCs w:val="24"/>
          <w:u w:val="none"/>
          <w:bdr w:val="single" w:color="auto" w:sz="8" w:space="0"/>
          <w:shd w:val="clear" w:color="auto" w:fill="FFFFFF"/>
        </w:rPr>
        <w:instrText xml:space="preserve"> HYPERLINK "https://rheumnow.com/news/eular-recommendations-physical-activity-arthritis?utm_content=buffer32e66&amp;utm_medium=social&amp;utm_source=twitter.com&amp;utm_campaign=buffer" \t "https://chat.deepseek.com/a/chat/s/_blank" </w:instrText>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separate"/>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end"/>
      </w:r>
      <w:r>
        <w:rPr>
          <w:rFonts w:hint="eastAsia" w:ascii="宋体" w:hAnsi="宋体" w:eastAsia="宋体" w:cs="宋体"/>
          <w:i w:val="0"/>
          <w:iCs w:val="0"/>
          <w:caps w:val="0"/>
          <w:color w:val="0F1115"/>
          <w:spacing w:val="0"/>
          <w:sz w:val="24"/>
          <w:szCs w:val="24"/>
          <w:shd w:val="clear" w:color="auto" w:fill="FFFFFF"/>
        </w:rPr>
        <w:t>。同时强调必须处理久坐行为：即使已达标活动量，患者仍需干预长时间久坐问题</w:t>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begin"/>
      </w:r>
      <w:r>
        <w:rPr>
          <w:rFonts w:hint="eastAsia" w:ascii="宋体" w:hAnsi="宋体" w:eastAsia="宋体" w:cs="宋体"/>
          <w:i w:val="0"/>
          <w:iCs w:val="0"/>
          <w:caps w:val="0"/>
          <w:color w:val="3964FE"/>
          <w:spacing w:val="0"/>
          <w:sz w:val="24"/>
          <w:szCs w:val="24"/>
          <w:u w:val="none"/>
          <w:bdr w:val="single" w:color="auto" w:sz="8" w:space="0"/>
          <w:shd w:val="clear" w:color="auto" w:fill="FFFFFF"/>
        </w:rPr>
        <w:instrText xml:space="preserve"> HYPERLINK "https://rheumnow.com/news/eular-recommendations-physical-activity-arthritis?utm_content=buffer32e66&amp;utm_medium=social&amp;utm_source=twitter.com&amp;utm_campaign=buffer" \t "https://chat.deepseek.com/a/chat/s/_blank" </w:instrText>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separate"/>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end"/>
      </w:r>
      <w:r>
        <w:rPr>
          <w:rFonts w:hint="eastAsia" w:ascii="宋体" w:hAnsi="宋体" w:eastAsia="宋体" w:cs="宋体"/>
          <w:i w:val="0"/>
          <w:iCs w:val="0"/>
          <w:caps w:val="0"/>
          <w:color w:val="0F1115"/>
          <w:spacing w:val="0"/>
          <w:sz w:val="24"/>
          <w:szCs w:val="24"/>
          <w:shd w:val="clear" w:color="auto" w:fill="FFFFFF"/>
        </w:rPr>
        <w:t>。短时间间歇活动可有效降低运动门槛，尤其适合有疼痛、疲劳或功能受限的患者</w:t>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begin"/>
      </w:r>
      <w:r>
        <w:rPr>
          <w:rFonts w:hint="eastAsia" w:ascii="宋体" w:hAnsi="宋体" w:eastAsia="宋体" w:cs="宋体"/>
          <w:i w:val="0"/>
          <w:iCs w:val="0"/>
          <w:caps w:val="0"/>
          <w:color w:val="3964FE"/>
          <w:spacing w:val="0"/>
          <w:sz w:val="24"/>
          <w:szCs w:val="24"/>
          <w:u w:val="none"/>
          <w:bdr w:val="single" w:color="auto" w:sz="8" w:space="0"/>
          <w:shd w:val="clear" w:color="auto" w:fill="FFFFFF"/>
        </w:rPr>
        <w:instrText xml:space="preserve"> HYPERLINK "https://rheumnow.com/news/eular-recommendations-physical-activity-arthritis?utm_content=buffer32e66&amp;utm_medium=social&amp;utm_source=twitter.com&amp;utm_campaign=buffer" \t "https://chat.deepseek.com/a/chat/s/_blank" </w:instrText>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separate"/>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end"/>
      </w:r>
      <w:r>
        <w:rPr>
          <w:rFonts w:hint="eastAsia" w:ascii="宋体" w:hAnsi="宋体" w:eastAsia="宋体" w:cs="宋体"/>
          <w:i w:val="0"/>
          <w:iCs w:val="0"/>
          <w:caps w:val="0"/>
          <w:color w:val="0F1115"/>
          <w:spacing w:val="0"/>
          <w:sz w:val="24"/>
          <w:szCs w:val="24"/>
          <w:shd w:val="clear" w:color="auto" w:fill="FFFFFF"/>
        </w:rPr>
        <w:t>。</w:t>
      </w:r>
    </w:p>
    <w:p w14:paraId="5EAF1B4F">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2" w:firstLineChars="200"/>
        <w:textAlignment w:val="auto"/>
        <w:rPr>
          <w:rFonts w:hint="eastAsia" w:ascii="宋体" w:hAnsi="宋体" w:eastAsia="宋体" w:cs="宋体"/>
          <w:i w:val="0"/>
          <w:iCs w:val="0"/>
          <w:caps w:val="0"/>
          <w:color w:val="0F1115"/>
          <w:spacing w:val="0"/>
          <w:sz w:val="24"/>
          <w:szCs w:val="24"/>
        </w:rPr>
      </w:pPr>
      <w:r>
        <w:rPr>
          <w:rStyle w:val="12"/>
          <w:rFonts w:hint="eastAsia" w:ascii="宋体" w:hAnsi="宋体" w:eastAsia="宋体" w:cs="宋体"/>
          <w:b/>
          <w:bCs/>
          <w:i w:val="0"/>
          <w:iCs w:val="0"/>
          <w:caps w:val="0"/>
          <w:color w:val="0F1115"/>
          <w:spacing w:val="0"/>
          <w:sz w:val="24"/>
          <w:szCs w:val="24"/>
          <w:shd w:val="clear" w:color="auto" w:fill="FFFFFF"/>
        </w:rPr>
        <w:t>8.</w:t>
      </w:r>
      <w:r>
        <w:rPr>
          <w:rStyle w:val="12"/>
          <w:rFonts w:hint="eastAsia" w:ascii="宋体" w:hAnsi="宋体" w:cs="宋体"/>
          <w:b/>
          <w:bCs/>
          <w:i w:val="0"/>
          <w:iCs w:val="0"/>
          <w:caps w:val="0"/>
          <w:color w:val="0F1115"/>
          <w:spacing w:val="0"/>
          <w:sz w:val="24"/>
          <w:szCs w:val="24"/>
          <w:shd w:val="clear" w:color="auto" w:fill="FFFFFF"/>
          <w:lang w:val="en-US" w:eastAsia="zh-CN"/>
        </w:rPr>
        <w:t>5</w:t>
      </w:r>
      <w:r>
        <w:rPr>
          <w:rStyle w:val="12"/>
          <w:rFonts w:hint="eastAsia" w:ascii="宋体" w:hAnsi="宋体" w:eastAsia="宋体" w:cs="宋体"/>
          <w:b/>
          <w:bCs/>
          <w:i w:val="0"/>
          <w:iCs w:val="0"/>
          <w:caps w:val="0"/>
          <w:color w:val="0F1115"/>
          <w:spacing w:val="0"/>
          <w:sz w:val="24"/>
          <w:szCs w:val="24"/>
          <w:shd w:val="clear" w:color="auto" w:fill="FFFFFF"/>
        </w:rPr>
        <w:t>.2 分期运动建议</w:t>
      </w:r>
    </w:p>
    <w:p w14:paraId="05ABA291">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2" w:firstLineChars="200"/>
        <w:textAlignment w:val="auto"/>
        <w:rPr>
          <w:rFonts w:hint="eastAsia" w:ascii="宋体" w:hAnsi="宋体" w:eastAsia="宋体" w:cs="宋体"/>
          <w:i w:val="0"/>
          <w:iCs w:val="0"/>
          <w:caps w:val="0"/>
          <w:color w:val="0F1115"/>
          <w:spacing w:val="0"/>
          <w:sz w:val="24"/>
          <w:szCs w:val="24"/>
        </w:rPr>
      </w:pPr>
      <w:r>
        <w:rPr>
          <w:rStyle w:val="12"/>
          <w:rFonts w:hint="eastAsia" w:ascii="宋体" w:hAnsi="宋体" w:eastAsia="宋体" w:cs="宋体"/>
          <w:b/>
          <w:bCs/>
          <w:i w:val="0"/>
          <w:iCs w:val="0"/>
          <w:caps w:val="0"/>
          <w:color w:val="0F1115"/>
          <w:spacing w:val="0"/>
          <w:sz w:val="24"/>
          <w:szCs w:val="24"/>
          <w:shd w:val="clear" w:color="auto" w:fill="FFFFFF"/>
        </w:rPr>
        <w:t>a) 急性活动期（DAS28＞5.1）</w:t>
      </w:r>
    </w:p>
    <w:p w14:paraId="3842A0D0">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0" w:firstLineChars="200"/>
        <w:textAlignment w:val="auto"/>
        <w:rPr>
          <w:rFonts w:hint="eastAsia" w:ascii="宋体" w:hAnsi="宋体" w:eastAsia="宋体" w:cs="宋体"/>
          <w:i w:val="0"/>
          <w:iCs w:val="0"/>
          <w:caps w:val="0"/>
          <w:color w:val="0F1115"/>
          <w:spacing w:val="0"/>
          <w:sz w:val="24"/>
          <w:szCs w:val="24"/>
        </w:rPr>
      </w:pPr>
      <w:r>
        <w:rPr>
          <w:rFonts w:hint="eastAsia" w:ascii="宋体" w:hAnsi="宋体" w:eastAsia="宋体" w:cs="宋体"/>
          <w:i w:val="0"/>
          <w:iCs w:val="0"/>
          <w:caps w:val="0"/>
          <w:color w:val="0F1115"/>
          <w:spacing w:val="0"/>
          <w:sz w:val="24"/>
          <w:szCs w:val="24"/>
          <w:shd w:val="clear" w:color="auto" w:fill="FFFFFF"/>
        </w:rPr>
        <w:t>以休息为主，关节肿痛严重时可短期制动，根据疼痛程度适度进行关节被动活动（每日1</w:t>
      </w:r>
      <w:r>
        <w:rPr>
          <w:rFonts w:hint="eastAsia" w:ascii="宋体" w:hAnsi="宋体" w:cs="宋体"/>
          <w:i w:val="0"/>
          <w:iCs w:val="0"/>
          <w:caps w:val="0"/>
          <w:color w:val="0F1115"/>
          <w:spacing w:val="0"/>
          <w:sz w:val="24"/>
          <w:szCs w:val="24"/>
          <w:shd w:val="clear" w:color="auto" w:fill="FFFFFF"/>
          <w:lang w:val="en-US" w:eastAsia="zh-CN"/>
        </w:rPr>
        <w:t>-</w:t>
      </w:r>
      <w:r>
        <w:rPr>
          <w:rFonts w:hint="eastAsia" w:ascii="宋体" w:hAnsi="宋体" w:eastAsia="宋体" w:cs="宋体"/>
          <w:i w:val="0"/>
          <w:iCs w:val="0"/>
          <w:caps w:val="0"/>
          <w:color w:val="0F1115"/>
          <w:spacing w:val="0"/>
          <w:sz w:val="24"/>
          <w:szCs w:val="24"/>
          <w:shd w:val="clear" w:color="auto" w:fill="FFFFFF"/>
        </w:rPr>
        <w:t>2次，每次5</w:t>
      </w:r>
      <w:r>
        <w:rPr>
          <w:rFonts w:hint="eastAsia" w:ascii="宋体" w:hAnsi="宋体" w:cs="宋体"/>
          <w:i w:val="0"/>
          <w:iCs w:val="0"/>
          <w:caps w:val="0"/>
          <w:color w:val="0F1115"/>
          <w:spacing w:val="0"/>
          <w:sz w:val="24"/>
          <w:szCs w:val="24"/>
          <w:shd w:val="clear" w:color="auto" w:fill="FFFFFF"/>
          <w:lang w:eastAsia="zh-CN"/>
        </w:rPr>
        <w:t>～</w:t>
      </w:r>
      <w:r>
        <w:rPr>
          <w:rFonts w:hint="eastAsia" w:ascii="宋体" w:hAnsi="宋体" w:eastAsia="宋体" w:cs="宋体"/>
          <w:i w:val="0"/>
          <w:iCs w:val="0"/>
          <w:caps w:val="0"/>
          <w:color w:val="0F1115"/>
          <w:spacing w:val="0"/>
          <w:sz w:val="24"/>
          <w:szCs w:val="24"/>
          <w:shd w:val="clear" w:color="auto" w:fill="FFFFFF"/>
        </w:rPr>
        <w:t>10分钟），防止关节挛缩和深静脉血栓形成。待炎症得到有效控制后进入下一阶段。</w:t>
      </w:r>
    </w:p>
    <w:p w14:paraId="6105032D">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2" w:firstLineChars="200"/>
        <w:textAlignment w:val="auto"/>
        <w:rPr>
          <w:rFonts w:hint="eastAsia" w:ascii="宋体" w:hAnsi="宋体" w:eastAsia="宋体" w:cs="宋体"/>
          <w:i w:val="0"/>
          <w:iCs w:val="0"/>
          <w:caps w:val="0"/>
          <w:color w:val="0F1115"/>
          <w:spacing w:val="0"/>
          <w:sz w:val="24"/>
          <w:szCs w:val="24"/>
        </w:rPr>
      </w:pPr>
      <w:r>
        <w:rPr>
          <w:rStyle w:val="12"/>
          <w:rFonts w:hint="eastAsia" w:ascii="宋体" w:hAnsi="宋体" w:eastAsia="宋体" w:cs="宋体"/>
          <w:b/>
          <w:bCs/>
          <w:i w:val="0"/>
          <w:iCs w:val="0"/>
          <w:caps w:val="0"/>
          <w:color w:val="0F1115"/>
          <w:spacing w:val="0"/>
          <w:sz w:val="24"/>
          <w:szCs w:val="24"/>
          <w:shd w:val="clear" w:color="auto" w:fill="FFFFFF"/>
        </w:rPr>
        <w:t>b) 缓解期（DAS28≤3.2）</w:t>
      </w:r>
    </w:p>
    <w:p w14:paraId="6F5BFFBA">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0" w:firstLineChars="200"/>
        <w:textAlignment w:val="auto"/>
        <w:rPr>
          <w:rFonts w:hint="eastAsia" w:ascii="宋体" w:hAnsi="宋体" w:eastAsia="宋体" w:cs="宋体"/>
          <w:i w:val="0"/>
          <w:iCs w:val="0"/>
          <w:caps w:val="0"/>
          <w:color w:val="0F1115"/>
          <w:spacing w:val="0"/>
          <w:sz w:val="24"/>
          <w:szCs w:val="24"/>
        </w:rPr>
      </w:pPr>
      <w:r>
        <w:rPr>
          <w:rFonts w:hint="eastAsia" w:ascii="宋体" w:hAnsi="宋体" w:eastAsia="宋体" w:cs="宋体"/>
          <w:i w:val="0"/>
          <w:iCs w:val="0"/>
          <w:caps w:val="0"/>
          <w:color w:val="0F1115"/>
          <w:spacing w:val="0"/>
          <w:sz w:val="24"/>
          <w:szCs w:val="24"/>
          <w:shd w:val="clear" w:color="auto" w:fill="FFFFFF"/>
        </w:rPr>
        <w:t>按阶段逐步增加运动处方。初级阶段：关节活动度训练，每日1</w:t>
      </w:r>
      <w:r>
        <w:rPr>
          <w:rFonts w:hint="eastAsia" w:ascii="宋体" w:hAnsi="宋体" w:cs="宋体"/>
          <w:i w:val="0"/>
          <w:iCs w:val="0"/>
          <w:caps w:val="0"/>
          <w:color w:val="0F1115"/>
          <w:spacing w:val="0"/>
          <w:sz w:val="24"/>
          <w:szCs w:val="24"/>
          <w:shd w:val="clear" w:color="auto" w:fill="FFFFFF"/>
          <w:lang w:eastAsia="zh-CN"/>
        </w:rPr>
        <w:t>～</w:t>
      </w:r>
      <w:r>
        <w:rPr>
          <w:rFonts w:hint="eastAsia" w:ascii="宋体" w:hAnsi="宋体" w:eastAsia="宋体" w:cs="宋体"/>
          <w:i w:val="0"/>
          <w:iCs w:val="0"/>
          <w:caps w:val="0"/>
          <w:color w:val="0F1115"/>
          <w:spacing w:val="0"/>
          <w:sz w:val="24"/>
          <w:szCs w:val="24"/>
          <w:shd w:val="clear" w:color="auto" w:fill="FFFFFF"/>
        </w:rPr>
        <w:t>2次，每次10</w:t>
      </w:r>
      <w:r>
        <w:rPr>
          <w:rFonts w:hint="eastAsia" w:ascii="宋体" w:hAnsi="宋体" w:cs="宋体"/>
          <w:i w:val="0"/>
          <w:iCs w:val="0"/>
          <w:caps w:val="0"/>
          <w:color w:val="0F1115"/>
          <w:spacing w:val="0"/>
          <w:sz w:val="24"/>
          <w:szCs w:val="24"/>
          <w:shd w:val="clear" w:color="auto" w:fill="FFFFFF"/>
          <w:lang w:eastAsia="zh-CN"/>
        </w:rPr>
        <w:t>～</w:t>
      </w:r>
      <w:r>
        <w:rPr>
          <w:rFonts w:hint="eastAsia" w:ascii="宋体" w:hAnsi="宋体" w:eastAsia="宋体" w:cs="宋体"/>
          <w:i w:val="0"/>
          <w:iCs w:val="0"/>
          <w:caps w:val="0"/>
          <w:color w:val="0F1115"/>
          <w:spacing w:val="0"/>
          <w:sz w:val="24"/>
          <w:szCs w:val="24"/>
          <w:shd w:val="clear" w:color="auto" w:fill="FFFFFF"/>
        </w:rPr>
        <w:t>15分钟。中级阶段：肌肉力量训练（弹力带、小哑铃）每周2</w:t>
      </w:r>
      <w:r>
        <w:rPr>
          <w:rFonts w:hint="eastAsia" w:ascii="宋体" w:hAnsi="宋体" w:cs="宋体"/>
          <w:i w:val="0"/>
          <w:iCs w:val="0"/>
          <w:caps w:val="0"/>
          <w:color w:val="0F1115"/>
          <w:spacing w:val="0"/>
          <w:sz w:val="24"/>
          <w:szCs w:val="24"/>
          <w:shd w:val="clear" w:color="auto" w:fill="FFFFFF"/>
          <w:lang w:eastAsia="zh-CN"/>
        </w:rPr>
        <w:t>～</w:t>
      </w:r>
      <w:r>
        <w:rPr>
          <w:rFonts w:hint="eastAsia" w:ascii="宋体" w:hAnsi="宋体" w:eastAsia="宋体" w:cs="宋体"/>
          <w:i w:val="0"/>
          <w:iCs w:val="0"/>
          <w:caps w:val="0"/>
          <w:color w:val="0F1115"/>
          <w:spacing w:val="0"/>
          <w:sz w:val="24"/>
          <w:szCs w:val="24"/>
          <w:shd w:val="clear" w:color="auto" w:fill="FFFFFF"/>
        </w:rPr>
        <w:t>3次，每次20</w:t>
      </w:r>
      <w:r>
        <w:rPr>
          <w:rFonts w:hint="eastAsia" w:ascii="宋体" w:hAnsi="宋体" w:cs="宋体"/>
          <w:i w:val="0"/>
          <w:iCs w:val="0"/>
          <w:caps w:val="0"/>
          <w:color w:val="0F1115"/>
          <w:spacing w:val="0"/>
          <w:sz w:val="24"/>
          <w:szCs w:val="24"/>
          <w:shd w:val="clear" w:color="auto" w:fill="FFFFFF"/>
          <w:lang w:eastAsia="zh-CN"/>
        </w:rPr>
        <w:t>～</w:t>
      </w:r>
      <w:r>
        <w:rPr>
          <w:rFonts w:hint="eastAsia" w:ascii="宋体" w:hAnsi="宋体" w:eastAsia="宋体" w:cs="宋体"/>
          <w:i w:val="0"/>
          <w:iCs w:val="0"/>
          <w:caps w:val="0"/>
          <w:color w:val="0F1115"/>
          <w:spacing w:val="0"/>
          <w:sz w:val="24"/>
          <w:szCs w:val="24"/>
          <w:shd w:val="clear" w:color="auto" w:fill="FFFFFF"/>
        </w:rPr>
        <w:t>30分钟，辅以低冲击有氧运动（如步行、游泳、固定自行车）每周3</w:t>
      </w:r>
      <w:r>
        <w:rPr>
          <w:rFonts w:hint="eastAsia" w:ascii="宋体" w:hAnsi="宋体" w:cs="宋体"/>
          <w:i w:val="0"/>
          <w:iCs w:val="0"/>
          <w:caps w:val="0"/>
          <w:color w:val="0F1115"/>
          <w:spacing w:val="0"/>
          <w:sz w:val="24"/>
          <w:szCs w:val="24"/>
          <w:shd w:val="clear" w:color="auto" w:fill="FFFFFF"/>
          <w:lang w:eastAsia="zh-CN"/>
        </w:rPr>
        <w:t>～</w:t>
      </w:r>
      <w:r>
        <w:rPr>
          <w:rFonts w:hint="eastAsia" w:ascii="宋体" w:hAnsi="宋体" w:eastAsia="宋体" w:cs="宋体"/>
          <w:i w:val="0"/>
          <w:iCs w:val="0"/>
          <w:caps w:val="0"/>
          <w:color w:val="0F1115"/>
          <w:spacing w:val="0"/>
          <w:sz w:val="24"/>
          <w:szCs w:val="24"/>
          <w:shd w:val="clear" w:color="auto" w:fill="FFFFFF"/>
        </w:rPr>
        <w:t>5次，每次30分钟。高级阶段：中等至高强度有氧运动≥150分钟/周，高强度间歇训练需在专业人员监督下进行，力量训练每周2次。注意：运动应在疼痛可耐受范围（VAS≤4/10）内进行，避免关节超负荷运动，出现锐痛或关节肿胀加重应停止并咨询专科医师。</w:t>
      </w:r>
    </w:p>
    <w:p w14:paraId="714F9CBB">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2" w:firstLineChars="200"/>
        <w:textAlignment w:val="auto"/>
        <w:rPr>
          <w:rFonts w:hint="eastAsia" w:ascii="宋体" w:hAnsi="宋体" w:eastAsia="宋体" w:cs="宋体"/>
          <w:i w:val="0"/>
          <w:iCs w:val="0"/>
          <w:caps w:val="0"/>
          <w:color w:val="0F1115"/>
          <w:spacing w:val="0"/>
          <w:sz w:val="24"/>
          <w:szCs w:val="24"/>
        </w:rPr>
      </w:pPr>
      <w:r>
        <w:rPr>
          <w:rStyle w:val="12"/>
          <w:rFonts w:hint="eastAsia" w:ascii="宋体" w:hAnsi="宋体" w:eastAsia="宋体" w:cs="宋体"/>
          <w:b/>
          <w:bCs/>
          <w:i w:val="0"/>
          <w:iCs w:val="0"/>
          <w:caps w:val="0"/>
          <w:color w:val="0F1115"/>
          <w:spacing w:val="0"/>
          <w:sz w:val="24"/>
          <w:szCs w:val="24"/>
          <w:shd w:val="clear" w:color="auto" w:fill="FFFFFF"/>
        </w:rPr>
        <w:t>8.</w:t>
      </w:r>
      <w:r>
        <w:rPr>
          <w:rStyle w:val="12"/>
          <w:rFonts w:hint="eastAsia" w:ascii="宋体" w:hAnsi="宋体" w:cs="宋体"/>
          <w:b/>
          <w:bCs/>
          <w:i w:val="0"/>
          <w:iCs w:val="0"/>
          <w:caps w:val="0"/>
          <w:color w:val="0F1115"/>
          <w:spacing w:val="0"/>
          <w:sz w:val="24"/>
          <w:szCs w:val="24"/>
          <w:shd w:val="clear" w:color="auto" w:fill="FFFFFF"/>
          <w:lang w:val="en-US" w:eastAsia="zh-CN"/>
        </w:rPr>
        <w:t>5</w:t>
      </w:r>
      <w:r>
        <w:rPr>
          <w:rStyle w:val="12"/>
          <w:rFonts w:hint="eastAsia" w:ascii="宋体" w:hAnsi="宋体" w:eastAsia="宋体" w:cs="宋体"/>
          <w:b/>
          <w:bCs/>
          <w:i w:val="0"/>
          <w:iCs w:val="0"/>
          <w:caps w:val="0"/>
          <w:color w:val="0F1115"/>
          <w:spacing w:val="0"/>
          <w:sz w:val="24"/>
          <w:szCs w:val="24"/>
          <w:shd w:val="clear" w:color="auto" w:fill="FFFFFF"/>
        </w:rPr>
        <w:t>.3 中医特色功法锻炼</w:t>
      </w:r>
    </w:p>
    <w:p w14:paraId="077895C2">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0" w:firstLineChars="200"/>
        <w:textAlignment w:val="auto"/>
        <w:rPr>
          <w:rFonts w:hint="eastAsia" w:ascii="宋体" w:hAnsi="宋体" w:eastAsia="宋体" w:cs="宋体"/>
          <w:i w:val="0"/>
          <w:iCs w:val="0"/>
          <w:caps w:val="0"/>
          <w:color w:val="0F1115"/>
          <w:spacing w:val="0"/>
          <w:sz w:val="24"/>
          <w:szCs w:val="24"/>
        </w:rPr>
      </w:pPr>
      <w:r>
        <w:rPr>
          <w:rFonts w:hint="eastAsia" w:ascii="宋体" w:hAnsi="宋体" w:eastAsia="宋体" w:cs="宋体"/>
          <w:i w:val="0"/>
          <w:iCs w:val="0"/>
          <w:caps w:val="0"/>
          <w:color w:val="0F1115"/>
          <w:spacing w:val="0"/>
          <w:sz w:val="24"/>
          <w:szCs w:val="24"/>
          <w:shd w:val="clear" w:color="auto" w:fill="FFFFFF"/>
        </w:rPr>
        <w:t>八段锦、五禽戏、太极拳和易筋经等传统功法适用于RA缓解期患者</w:t>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begin"/>
      </w:r>
      <w:r>
        <w:rPr>
          <w:rFonts w:hint="eastAsia" w:ascii="宋体" w:hAnsi="宋体" w:eastAsia="宋体" w:cs="宋体"/>
          <w:i w:val="0"/>
          <w:iCs w:val="0"/>
          <w:caps w:val="0"/>
          <w:color w:val="3964FE"/>
          <w:spacing w:val="0"/>
          <w:sz w:val="24"/>
          <w:szCs w:val="24"/>
          <w:u w:val="none"/>
          <w:bdr w:val="single" w:color="auto" w:sz="8" w:space="0"/>
          <w:shd w:val="clear" w:color="auto" w:fill="FFFFFF"/>
        </w:rPr>
        <w:instrText xml:space="preserve"> HYPERLINK "https://szb.ahnews.com.cn/ncb/pad/con/202507/15/c1095384.html" \t "https://chat.deepseek.com/a/chat/s/_blank" </w:instrText>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separate"/>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end"/>
      </w:r>
      <w:r>
        <w:rPr>
          <w:rFonts w:hint="eastAsia" w:ascii="宋体" w:hAnsi="宋体" w:eastAsia="宋体" w:cs="宋体"/>
          <w:i w:val="0"/>
          <w:iCs w:val="0"/>
          <w:caps w:val="0"/>
          <w:color w:val="0F1115"/>
          <w:spacing w:val="0"/>
          <w:sz w:val="24"/>
          <w:szCs w:val="24"/>
          <w:shd w:val="clear" w:color="auto" w:fill="FFFFFF"/>
        </w:rPr>
        <w:t>。八段锦可温经通络、滑利关节，长期坚持锻炼对改善RA患者关节活动度、缓解晨僵、减轻疼痛和焦虑均有良好效果，尤其适用于寒湿痹阻证和气血亏虚证型。建议每周3</w:t>
      </w:r>
      <w:r>
        <w:rPr>
          <w:rFonts w:hint="eastAsia" w:ascii="宋体" w:hAnsi="宋体" w:cs="宋体"/>
          <w:i w:val="0"/>
          <w:iCs w:val="0"/>
          <w:caps w:val="0"/>
          <w:color w:val="0F1115"/>
          <w:spacing w:val="0"/>
          <w:sz w:val="24"/>
          <w:szCs w:val="24"/>
          <w:shd w:val="clear" w:color="auto" w:fill="FFFFFF"/>
          <w:lang w:eastAsia="zh-CN"/>
        </w:rPr>
        <w:t>～</w:t>
      </w:r>
      <w:r>
        <w:rPr>
          <w:rFonts w:hint="eastAsia" w:ascii="宋体" w:hAnsi="宋体" w:eastAsia="宋体" w:cs="宋体"/>
          <w:i w:val="0"/>
          <w:iCs w:val="0"/>
          <w:caps w:val="0"/>
          <w:color w:val="0F1115"/>
          <w:spacing w:val="0"/>
          <w:sz w:val="24"/>
          <w:szCs w:val="24"/>
          <w:shd w:val="clear" w:color="auto" w:fill="FFFFFF"/>
        </w:rPr>
        <w:t>5次，每次20</w:t>
      </w:r>
      <w:r>
        <w:rPr>
          <w:rFonts w:hint="eastAsia" w:ascii="宋体" w:hAnsi="宋体" w:cs="宋体"/>
          <w:i w:val="0"/>
          <w:iCs w:val="0"/>
          <w:caps w:val="0"/>
          <w:color w:val="0F1115"/>
          <w:spacing w:val="0"/>
          <w:sz w:val="24"/>
          <w:szCs w:val="24"/>
          <w:shd w:val="clear" w:color="auto" w:fill="FFFFFF"/>
          <w:lang w:eastAsia="zh-CN"/>
        </w:rPr>
        <w:t>～</w:t>
      </w:r>
      <w:r>
        <w:rPr>
          <w:rFonts w:hint="eastAsia" w:ascii="宋体" w:hAnsi="宋体" w:eastAsia="宋体" w:cs="宋体"/>
          <w:i w:val="0"/>
          <w:iCs w:val="0"/>
          <w:caps w:val="0"/>
          <w:color w:val="0F1115"/>
          <w:spacing w:val="0"/>
          <w:sz w:val="24"/>
          <w:szCs w:val="24"/>
          <w:shd w:val="clear" w:color="auto" w:fill="FFFFFF"/>
        </w:rPr>
        <w:t>40分钟。练习前应充分热身，环境通风保暖，循序渐进，以微微出汗而不感疲劳为度。如练习过程中出现关节锐痛或肿胀加重应立即暂停。五禽戏中的手指关节操作基于握固、虎爪、鹿角、鸟翅、猿钩、熊掌等姿势，已有专用处方指导RA患者进行手指关节主动活动训练</w:t>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begin"/>
      </w:r>
      <w:r>
        <w:rPr>
          <w:rFonts w:hint="eastAsia" w:ascii="宋体" w:hAnsi="宋体" w:eastAsia="宋体" w:cs="宋体"/>
          <w:i w:val="0"/>
          <w:iCs w:val="0"/>
          <w:caps w:val="0"/>
          <w:color w:val="3964FE"/>
          <w:spacing w:val="0"/>
          <w:sz w:val="24"/>
          <w:szCs w:val="24"/>
          <w:u w:val="none"/>
          <w:bdr w:val="single" w:color="auto" w:sz="8" w:space="0"/>
          <w:shd w:val="clear" w:color="auto" w:fill="FFFFFF"/>
        </w:rPr>
        <w:instrText xml:space="preserve"> HYPERLINK "https://szb.ahnews.com.cn/ncb/pad/con/202507/15/c1095384.html" \t "https://chat.deepseek.com/a/chat/s/_blank" </w:instrText>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separate"/>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end"/>
      </w:r>
      <w:r>
        <w:rPr>
          <w:rFonts w:hint="eastAsia" w:ascii="宋体" w:hAnsi="宋体" w:eastAsia="宋体" w:cs="宋体"/>
          <w:i w:val="0"/>
          <w:iCs w:val="0"/>
          <w:caps w:val="0"/>
          <w:color w:val="0F1115"/>
          <w:spacing w:val="0"/>
          <w:sz w:val="24"/>
          <w:szCs w:val="24"/>
          <w:shd w:val="clear" w:color="auto" w:fill="FFFFFF"/>
        </w:rPr>
        <w:t>。太极拳、八段锦与常规治疗（DMARDs）联合能改善RA患者功能状态，但证据尚需要更多高质量RCT证实</w:t>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begin"/>
      </w:r>
      <w:r>
        <w:rPr>
          <w:rFonts w:hint="eastAsia" w:ascii="宋体" w:hAnsi="宋体" w:eastAsia="宋体" w:cs="宋体"/>
          <w:i w:val="0"/>
          <w:iCs w:val="0"/>
          <w:caps w:val="0"/>
          <w:color w:val="3964FE"/>
          <w:spacing w:val="0"/>
          <w:sz w:val="24"/>
          <w:szCs w:val="24"/>
          <w:u w:val="none"/>
          <w:bdr w:val="single" w:color="auto" w:sz="8" w:space="0"/>
          <w:shd w:val="clear" w:color="auto" w:fill="FFFFFF"/>
        </w:rPr>
        <w:instrText xml:space="preserve"> HYPERLINK "https://researchers.westernsydney.edu.au/en/publications/the-effectiveness-and-safety-of-lifestyle-medicine-and-integrativ/" \l "main-content" \t "https://chat.deepseek.com/a/chat/s/_blank" </w:instrText>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separate"/>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end"/>
      </w:r>
      <w:r>
        <w:rPr>
          <w:rFonts w:hint="eastAsia" w:ascii="宋体" w:hAnsi="宋体" w:eastAsia="宋体" w:cs="宋体"/>
          <w:i w:val="0"/>
          <w:iCs w:val="0"/>
          <w:caps w:val="0"/>
          <w:color w:val="0F1115"/>
          <w:spacing w:val="0"/>
          <w:sz w:val="24"/>
          <w:szCs w:val="24"/>
          <w:shd w:val="clear" w:color="auto" w:fill="FFFFFF"/>
        </w:rPr>
        <w:t>。建议在专业康复医师或中医师指导下进行，结合患者证型和体力水平分层推广。</w:t>
      </w:r>
    </w:p>
    <w:p w14:paraId="232345C1">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2" w:firstLineChars="200"/>
        <w:textAlignment w:val="auto"/>
        <w:rPr>
          <w:rFonts w:hint="eastAsia" w:ascii="宋体" w:hAnsi="宋体" w:eastAsia="宋体" w:cs="宋体"/>
          <w:i w:val="0"/>
          <w:iCs w:val="0"/>
          <w:caps w:val="0"/>
          <w:color w:val="0F1115"/>
          <w:spacing w:val="0"/>
          <w:sz w:val="24"/>
          <w:szCs w:val="24"/>
        </w:rPr>
      </w:pPr>
      <w:r>
        <w:rPr>
          <w:rStyle w:val="12"/>
          <w:rFonts w:hint="eastAsia" w:ascii="宋体" w:hAnsi="宋体" w:eastAsia="宋体" w:cs="宋体"/>
          <w:b/>
          <w:bCs/>
          <w:i w:val="0"/>
          <w:iCs w:val="0"/>
          <w:caps w:val="0"/>
          <w:color w:val="0F1115"/>
          <w:spacing w:val="0"/>
          <w:sz w:val="24"/>
          <w:szCs w:val="24"/>
          <w:shd w:val="clear" w:color="auto" w:fill="FFFFFF"/>
        </w:rPr>
        <w:t>8.6 心理与情志调护</w:t>
      </w:r>
    </w:p>
    <w:p w14:paraId="0689B039">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2" w:firstLineChars="200"/>
        <w:textAlignment w:val="auto"/>
        <w:rPr>
          <w:rFonts w:hint="eastAsia" w:ascii="宋体" w:hAnsi="宋体" w:eastAsia="宋体" w:cs="宋体"/>
          <w:i w:val="0"/>
          <w:iCs w:val="0"/>
          <w:caps w:val="0"/>
          <w:color w:val="0F1115"/>
          <w:spacing w:val="0"/>
          <w:sz w:val="24"/>
          <w:szCs w:val="24"/>
        </w:rPr>
      </w:pPr>
      <w:r>
        <w:rPr>
          <w:rStyle w:val="12"/>
          <w:rFonts w:hint="eastAsia" w:ascii="宋体" w:hAnsi="宋体" w:eastAsia="宋体" w:cs="宋体"/>
          <w:b/>
          <w:bCs/>
          <w:i w:val="0"/>
          <w:iCs w:val="0"/>
          <w:caps w:val="0"/>
          <w:color w:val="0F1115"/>
          <w:spacing w:val="0"/>
          <w:sz w:val="24"/>
          <w:szCs w:val="24"/>
          <w:shd w:val="clear" w:color="auto" w:fill="FFFFFF"/>
        </w:rPr>
        <w:t>8.6.1 心理问题现状与筛查</w:t>
      </w:r>
    </w:p>
    <w:p w14:paraId="7264E7D2">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0" w:firstLineChars="200"/>
        <w:textAlignment w:val="auto"/>
        <w:rPr>
          <w:rFonts w:hint="eastAsia" w:ascii="宋体" w:hAnsi="宋体" w:eastAsia="宋体" w:cs="宋体"/>
          <w:i w:val="0"/>
          <w:iCs w:val="0"/>
          <w:caps w:val="0"/>
          <w:color w:val="0F1115"/>
          <w:spacing w:val="0"/>
          <w:sz w:val="24"/>
          <w:szCs w:val="24"/>
        </w:rPr>
      </w:pPr>
      <w:r>
        <w:rPr>
          <w:rFonts w:hint="eastAsia" w:ascii="宋体" w:hAnsi="宋体" w:eastAsia="宋体" w:cs="宋体"/>
          <w:i w:val="0"/>
          <w:iCs w:val="0"/>
          <w:caps w:val="0"/>
          <w:color w:val="0F1115"/>
          <w:spacing w:val="0"/>
          <w:sz w:val="24"/>
          <w:szCs w:val="24"/>
          <w:shd w:val="clear" w:color="auto" w:fill="FFFFFF"/>
        </w:rPr>
        <w:t>RA患者较普通人群有更高的心理健康问题发生率和更低的心理健康水平</w:t>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begin"/>
      </w:r>
      <w:r>
        <w:rPr>
          <w:rFonts w:hint="eastAsia" w:ascii="宋体" w:hAnsi="宋体" w:eastAsia="宋体" w:cs="宋体"/>
          <w:i w:val="0"/>
          <w:iCs w:val="0"/>
          <w:caps w:val="0"/>
          <w:color w:val="3964FE"/>
          <w:spacing w:val="0"/>
          <w:sz w:val="24"/>
          <w:szCs w:val="24"/>
          <w:u w:val="none"/>
          <w:bdr w:val="single" w:color="auto" w:sz="8" w:space="0"/>
          <w:shd w:val="clear" w:color="auto" w:fill="FFFFFF"/>
        </w:rPr>
        <w:instrText xml:space="preserve"> HYPERLINK "https://www.nature.com/articles/s41598-025-33664-6" \t "https://chat.deepseek.com/a/chat/s/_blank" </w:instrText>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separate"/>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end"/>
      </w:r>
      <w:r>
        <w:rPr>
          <w:rFonts w:hint="eastAsia" w:ascii="宋体" w:hAnsi="宋体" w:eastAsia="宋体" w:cs="宋体"/>
          <w:i w:val="0"/>
          <w:iCs w:val="0"/>
          <w:caps w:val="0"/>
          <w:color w:val="0F1115"/>
          <w:spacing w:val="0"/>
          <w:sz w:val="24"/>
          <w:szCs w:val="24"/>
          <w:shd w:val="clear" w:color="auto" w:fill="FFFFFF"/>
        </w:rPr>
        <w:t>。一篇纳入95项研究（2000</w:t>
      </w:r>
      <w:r>
        <w:rPr>
          <w:rFonts w:hint="eastAsia" w:ascii="宋体" w:hAnsi="宋体" w:cs="宋体"/>
          <w:i w:val="0"/>
          <w:iCs w:val="0"/>
          <w:caps w:val="0"/>
          <w:color w:val="0F1115"/>
          <w:spacing w:val="0"/>
          <w:sz w:val="24"/>
          <w:szCs w:val="24"/>
          <w:shd w:val="clear" w:color="auto" w:fill="FFFFFF"/>
          <w:lang w:eastAsia="zh-CN"/>
        </w:rPr>
        <w:t>～</w:t>
      </w:r>
      <w:r>
        <w:rPr>
          <w:rFonts w:hint="eastAsia" w:ascii="宋体" w:hAnsi="宋体" w:eastAsia="宋体" w:cs="宋体"/>
          <w:i w:val="0"/>
          <w:iCs w:val="0"/>
          <w:caps w:val="0"/>
          <w:color w:val="0F1115"/>
          <w:spacing w:val="0"/>
          <w:sz w:val="24"/>
          <w:szCs w:val="24"/>
          <w:shd w:val="clear" w:color="auto" w:fill="FFFFFF"/>
        </w:rPr>
        <w:t>2025年）的系统综述揭示了RA患者心理脆弱性的三种不同轨迹（45%持续低脆弱、30%波动改善、25%持续高脆弱），并确定了关键的干预窗口期为确诊后3</w:t>
      </w:r>
      <w:r>
        <w:rPr>
          <w:rFonts w:hint="eastAsia" w:ascii="宋体" w:hAnsi="宋体" w:cs="宋体"/>
          <w:i w:val="0"/>
          <w:iCs w:val="0"/>
          <w:caps w:val="0"/>
          <w:color w:val="0F1115"/>
          <w:spacing w:val="0"/>
          <w:sz w:val="24"/>
          <w:szCs w:val="24"/>
          <w:shd w:val="clear" w:color="auto" w:fill="FFFFFF"/>
          <w:lang w:eastAsia="zh-CN"/>
        </w:rPr>
        <w:t>～</w:t>
      </w:r>
      <w:r>
        <w:rPr>
          <w:rFonts w:hint="eastAsia" w:ascii="宋体" w:hAnsi="宋体" w:eastAsia="宋体" w:cs="宋体"/>
          <w:i w:val="0"/>
          <w:iCs w:val="0"/>
          <w:caps w:val="0"/>
          <w:color w:val="0F1115"/>
          <w:spacing w:val="0"/>
          <w:sz w:val="24"/>
          <w:szCs w:val="24"/>
          <w:shd w:val="clear" w:color="auto" w:fill="FFFFFF"/>
        </w:rPr>
        <w:t>6个月及疾病发作期间</w:t>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begin"/>
      </w:r>
      <w:r>
        <w:rPr>
          <w:rFonts w:hint="eastAsia" w:ascii="宋体" w:hAnsi="宋体" w:eastAsia="宋体" w:cs="宋体"/>
          <w:i w:val="0"/>
          <w:iCs w:val="0"/>
          <w:caps w:val="0"/>
          <w:color w:val="3964FE"/>
          <w:spacing w:val="0"/>
          <w:sz w:val="24"/>
          <w:szCs w:val="24"/>
          <w:u w:val="none"/>
          <w:bdr w:val="single" w:color="auto" w:sz="8" w:space="0"/>
          <w:shd w:val="clear" w:color="auto" w:fill="FFFFFF"/>
        </w:rPr>
        <w:instrText xml:space="preserve"> HYPERLINK "https://pmc.ncbi.nlm.nih.gov/articles/PMC12836218/" \t "https://chat.deepseek.com/a/chat/s/_blank" </w:instrText>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separate"/>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end"/>
      </w:r>
      <w:r>
        <w:rPr>
          <w:rFonts w:hint="eastAsia" w:ascii="宋体" w:hAnsi="宋体" w:eastAsia="宋体" w:cs="宋体"/>
          <w:i w:val="0"/>
          <w:iCs w:val="0"/>
          <w:caps w:val="0"/>
          <w:color w:val="0F1115"/>
          <w:spacing w:val="0"/>
          <w:sz w:val="24"/>
          <w:szCs w:val="24"/>
          <w:shd w:val="clear" w:color="auto" w:fill="FFFFFF"/>
        </w:rPr>
        <w:t>。女性心理风险约为男性的1.8倍，年轻患者的脆弱性比年长者高出42%</w:t>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begin"/>
      </w:r>
      <w:r>
        <w:rPr>
          <w:rFonts w:hint="eastAsia" w:ascii="宋体" w:hAnsi="宋体" w:eastAsia="宋体" w:cs="宋体"/>
          <w:i w:val="0"/>
          <w:iCs w:val="0"/>
          <w:caps w:val="0"/>
          <w:color w:val="3964FE"/>
          <w:spacing w:val="0"/>
          <w:sz w:val="24"/>
          <w:szCs w:val="24"/>
          <w:u w:val="none"/>
          <w:bdr w:val="single" w:color="auto" w:sz="8" w:space="0"/>
          <w:shd w:val="clear" w:color="auto" w:fill="FFFFFF"/>
        </w:rPr>
        <w:instrText xml:space="preserve"> HYPERLINK "https://pmc.ncbi.nlm.nih.gov/articles/PMC12836218/" \t "https://chat.deepseek.com/a/chat/s/_blank" </w:instrText>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separate"/>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end"/>
      </w:r>
      <w:r>
        <w:rPr>
          <w:rFonts w:hint="eastAsia" w:ascii="宋体" w:hAnsi="宋体" w:eastAsia="宋体" w:cs="宋体"/>
          <w:i w:val="0"/>
          <w:iCs w:val="0"/>
          <w:caps w:val="0"/>
          <w:color w:val="0F1115"/>
          <w:spacing w:val="0"/>
          <w:sz w:val="24"/>
          <w:szCs w:val="24"/>
          <w:shd w:val="clear" w:color="auto" w:fill="FFFFFF"/>
        </w:rPr>
        <w:t>。欧洲RMDs患者教育建议（EULAR 2025年更新）强调患者教育应以患者为中心，医患沟通及共同决策是有效开展患者教育的核心</w:t>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begin"/>
      </w:r>
      <w:r>
        <w:rPr>
          <w:rFonts w:hint="eastAsia" w:ascii="宋体" w:hAnsi="宋体" w:eastAsia="宋体" w:cs="宋体"/>
          <w:i w:val="0"/>
          <w:iCs w:val="0"/>
          <w:caps w:val="0"/>
          <w:color w:val="3964FE"/>
          <w:spacing w:val="0"/>
          <w:sz w:val="24"/>
          <w:szCs w:val="24"/>
          <w:u w:val="none"/>
          <w:bdr w:val="single" w:color="auto" w:sz="8" w:space="0"/>
          <w:shd w:val="clear" w:color="auto" w:fill="FFFFFF"/>
        </w:rPr>
        <w:instrText xml:space="preserve"> HYPERLINK "https://m.medlive.cn/cms/research/227489" \t "https://chat.deepseek.com/a/chat/s/_blank" </w:instrText>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separate"/>
      </w:r>
      <w:r>
        <w:rPr>
          <w:rFonts w:hint="eastAsia" w:ascii="宋体" w:hAnsi="宋体" w:eastAsia="宋体" w:cs="宋体"/>
          <w:i w:val="0"/>
          <w:iCs w:val="0"/>
          <w:caps w:val="0"/>
          <w:color w:val="3964FE"/>
          <w:spacing w:val="0"/>
          <w:sz w:val="24"/>
          <w:szCs w:val="24"/>
          <w:u w:val="none"/>
          <w:bdr w:val="single" w:color="auto" w:sz="8" w:space="0"/>
          <w:shd w:val="clear" w:color="auto" w:fill="FFFFFF"/>
        </w:rPr>
        <w:fldChar w:fldCharType="end"/>
      </w:r>
      <w:r>
        <w:rPr>
          <w:rFonts w:hint="eastAsia" w:ascii="宋体" w:hAnsi="宋体" w:eastAsia="宋体" w:cs="宋体"/>
          <w:i w:val="0"/>
          <w:iCs w:val="0"/>
          <w:caps w:val="0"/>
          <w:color w:val="0F1115"/>
          <w:spacing w:val="0"/>
          <w:sz w:val="24"/>
          <w:szCs w:val="24"/>
          <w:shd w:val="clear" w:color="auto" w:fill="FFFFFF"/>
        </w:rPr>
        <w:t>。</w:t>
      </w:r>
    </w:p>
    <w:p w14:paraId="144394FE">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0" w:firstLineChars="200"/>
        <w:textAlignment w:val="auto"/>
        <w:rPr>
          <w:rFonts w:hint="eastAsia" w:ascii="宋体" w:hAnsi="宋体" w:eastAsia="宋体" w:cs="宋体"/>
          <w:i w:val="0"/>
          <w:iCs w:val="0"/>
          <w:caps w:val="0"/>
          <w:color w:val="0F1115"/>
          <w:spacing w:val="0"/>
          <w:sz w:val="24"/>
          <w:szCs w:val="24"/>
        </w:rPr>
      </w:pPr>
      <w:r>
        <w:rPr>
          <w:rFonts w:hint="eastAsia" w:ascii="宋体" w:hAnsi="宋体" w:eastAsia="宋体" w:cs="宋体"/>
          <w:i w:val="0"/>
          <w:iCs w:val="0"/>
          <w:caps w:val="0"/>
          <w:color w:val="0F1115"/>
          <w:spacing w:val="0"/>
          <w:sz w:val="24"/>
          <w:szCs w:val="24"/>
          <w:shd w:val="clear" w:color="auto" w:fill="FFFFFF"/>
        </w:rPr>
        <w:t>推荐每3</w:t>
      </w:r>
      <w:r>
        <w:rPr>
          <w:rFonts w:hint="eastAsia" w:ascii="宋体" w:hAnsi="宋体" w:cs="宋体"/>
          <w:i w:val="0"/>
          <w:iCs w:val="0"/>
          <w:caps w:val="0"/>
          <w:color w:val="0F1115"/>
          <w:spacing w:val="0"/>
          <w:sz w:val="24"/>
          <w:szCs w:val="24"/>
          <w:shd w:val="clear" w:color="auto" w:fill="FFFFFF"/>
          <w:lang w:eastAsia="zh-CN"/>
        </w:rPr>
        <w:t>～</w:t>
      </w:r>
      <w:r>
        <w:rPr>
          <w:rFonts w:hint="eastAsia" w:ascii="宋体" w:hAnsi="宋体" w:eastAsia="宋体" w:cs="宋体"/>
          <w:i w:val="0"/>
          <w:iCs w:val="0"/>
          <w:caps w:val="0"/>
          <w:color w:val="0F1115"/>
          <w:spacing w:val="0"/>
          <w:sz w:val="24"/>
          <w:szCs w:val="24"/>
          <w:shd w:val="clear" w:color="auto" w:fill="FFFFFF"/>
        </w:rPr>
        <w:t>6个月采用PHQ-9和GAD-7量表筛查情绪障碍，对筛查阳性者予以及时心理疏导或转诊。</w:t>
      </w:r>
    </w:p>
    <w:p w14:paraId="0B6C5689">
      <w:pPr>
        <w:pStyle w:val="2"/>
        <w:keepNext/>
        <w:keepLines/>
        <w:spacing w:before="10" w:beforeAutospacing="0" w:after="10" w:afterAutospacing="0" w:line="360" w:lineRule="auto"/>
        <w:rPr>
          <w:rFonts w:cs="宋体"/>
          <w:color w:val="0F1115"/>
          <w:sz w:val="24"/>
          <w:szCs w:val="24"/>
        </w:rPr>
      </w:pPr>
      <w:r>
        <w:rPr>
          <w:rFonts w:hint="eastAsia" w:ascii="黑体" w:hAnsi="黑体" w:eastAsia="黑体" w:cs="黑体"/>
          <w:bCs w:val="0"/>
          <w:sz w:val="30"/>
          <w:szCs w:val="30"/>
          <w:lang w:val="en-US" w:eastAsia="zh-CN"/>
        </w:rPr>
        <w:t>9</w:t>
      </w:r>
      <w:r>
        <w:rPr>
          <w:rFonts w:ascii="黑体" w:hAnsi="黑体" w:eastAsia="黑体" w:cs="黑体"/>
          <w:bCs w:val="0"/>
          <w:sz w:val="30"/>
          <w:szCs w:val="30"/>
        </w:rPr>
        <w:t xml:space="preserve"> 预防与调护</w:t>
      </w:r>
    </w:p>
    <w:p w14:paraId="0FE98597">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0" w:firstLineChars="200"/>
        <w:textAlignment w:val="auto"/>
        <w:rPr>
          <w:rFonts w:hint="eastAsia" w:ascii="宋体" w:hAnsi="宋体" w:eastAsia="宋体" w:cs="宋体"/>
          <w:i w:val="0"/>
          <w:iCs w:val="0"/>
          <w:caps w:val="0"/>
          <w:color w:val="0F1115"/>
          <w:spacing w:val="0"/>
          <w:sz w:val="24"/>
          <w:szCs w:val="24"/>
          <w:shd w:val="clear" w:color="auto" w:fill="FFFFFF"/>
        </w:rPr>
      </w:pPr>
      <w:r>
        <w:rPr>
          <w:rFonts w:hint="eastAsia" w:ascii="宋体" w:hAnsi="宋体" w:eastAsia="宋体" w:cs="宋体"/>
          <w:i w:val="0"/>
          <w:iCs w:val="0"/>
          <w:caps w:val="0"/>
          <w:color w:val="0F1115"/>
          <w:spacing w:val="0"/>
          <w:sz w:val="24"/>
          <w:szCs w:val="24"/>
          <w:shd w:val="clear" w:color="auto" w:fill="FFFFFF"/>
          <w:lang w:val="en-US" w:eastAsia="zh-CN"/>
        </w:rPr>
        <w:t>9</w:t>
      </w:r>
      <w:r>
        <w:rPr>
          <w:rFonts w:hint="eastAsia" w:ascii="宋体" w:hAnsi="宋体" w:eastAsia="宋体" w:cs="宋体"/>
          <w:i w:val="0"/>
          <w:iCs w:val="0"/>
          <w:caps w:val="0"/>
          <w:color w:val="0F1115"/>
          <w:spacing w:val="0"/>
          <w:sz w:val="24"/>
          <w:szCs w:val="24"/>
          <w:shd w:val="clear" w:color="auto" w:fill="FFFFFF"/>
        </w:rPr>
        <w:t>.1 生活方式与环境干预</w:t>
      </w:r>
    </w:p>
    <w:p w14:paraId="3CE94D3D">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0" w:firstLineChars="200"/>
        <w:textAlignment w:val="auto"/>
        <w:rPr>
          <w:rFonts w:hint="eastAsia" w:ascii="宋体" w:hAnsi="宋体" w:eastAsia="宋体" w:cs="宋体"/>
          <w:i w:val="0"/>
          <w:iCs w:val="0"/>
          <w:caps w:val="0"/>
          <w:color w:val="0F1115"/>
          <w:spacing w:val="0"/>
          <w:sz w:val="24"/>
          <w:szCs w:val="24"/>
          <w:shd w:val="clear" w:color="auto" w:fill="FFFFFF"/>
        </w:rPr>
      </w:pPr>
      <w:r>
        <w:rPr>
          <w:rFonts w:hint="eastAsia" w:ascii="宋体" w:hAnsi="宋体" w:eastAsia="宋体" w:cs="宋体"/>
          <w:i w:val="0"/>
          <w:iCs w:val="0"/>
          <w:caps w:val="0"/>
          <w:color w:val="0F1115"/>
          <w:spacing w:val="0"/>
          <w:sz w:val="24"/>
          <w:szCs w:val="24"/>
          <w:shd w:val="clear" w:color="auto" w:fill="FFFFFF"/>
        </w:rPr>
        <w:t>吸烟是RA重要危险因素，可增加疾病易感性并降低治疗应答，建议戒烟并避免二手烟暴露。保持健康体重，避免寒冷潮湿环境，注意关节保暖，规律作息，避免过度劳累。</w:t>
      </w:r>
    </w:p>
    <w:p w14:paraId="3F537933">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0" w:firstLineChars="200"/>
        <w:textAlignment w:val="auto"/>
        <w:rPr>
          <w:rFonts w:hint="eastAsia" w:ascii="宋体" w:hAnsi="宋体" w:eastAsia="宋体" w:cs="宋体"/>
          <w:i w:val="0"/>
          <w:iCs w:val="0"/>
          <w:caps w:val="0"/>
          <w:color w:val="0F1115"/>
          <w:spacing w:val="0"/>
          <w:sz w:val="24"/>
          <w:szCs w:val="24"/>
          <w:shd w:val="clear" w:color="auto" w:fill="FFFFFF"/>
        </w:rPr>
      </w:pPr>
      <w:r>
        <w:rPr>
          <w:rFonts w:hint="eastAsia" w:ascii="宋体" w:hAnsi="宋体" w:eastAsia="宋体" w:cs="宋体"/>
          <w:i w:val="0"/>
          <w:iCs w:val="0"/>
          <w:caps w:val="0"/>
          <w:color w:val="0F1115"/>
          <w:spacing w:val="0"/>
          <w:sz w:val="24"/>
          <w:szCs w:val="24"/>
          <w:shd w:val="clear" w:color="auto" w:fill="FFFFFF"/>
          <w:lang w:val="en-US" w:eastAsia="zh-CN"/>
        </w:rPr>
        <w:t>9</w:t>
      </w:r>
      <w:r>
        <w:rPr>
          <w:rFonts w:hint="eastAsia" w:ascii="宋体" w:hAnsi="宋体" w:eastAsia="宋体" w:cs="宋体"/>
          <w:i w:val="0"/>
          <w:iCs w:val="0"/>
          <w:caps w:val="0"/>
          <w:color w:val="0F1115"/>
          <w:spacing w:val="0"/>
          <w:sz w:val="24"/>
          <w:szCs w:val="24"/>
          <w:shd w:val="clear" w:color="auto" w:fill="FFFFFF"/>
        </w:rPr>
        <w:t>.2 疾病预防与疫苗接种管理</w:t>
      </w:r>
    </w:p>
    <w:p w14:paraId="7AEA4FCD">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0" w:firstLineChars="200"/>
        <w:textAlignment w:val="auto"/>
        <w:rPr>
          <w:rStyle w:val="12"/>
          <w:rFonts w:hint="eastAsia" w:ascii="宋体" w:hAnsi="宋体" w:cs="宋体"/>
          <w:bCs/>
          <w:color w:val="0F1115"/>
          <w:shd w:val="clear" w:color="auto" w:fill="FFFFFF"/>
        </w:rPr>
      </w:pPr>
      <w:r>
        <w:rPr>
          <w:rFonts w:hint="eastAsia" w:ascii="宋体" w:hAnsi="宋体" w:eastAsia="宋体" w:cs="宋体"/>
          <w:i w:val="0"/>
          <w:iCs w:val="0"/>
          <w:caps w:val="0"/>
          <w:color w:val="0F1115"/>
          <w:spacing w:val="0"/>
          <w:sz w:val="24"/>
          <w:szCs w:val="24"/>
          <w:shd w:val="clear" w:color="auto" w:fill="FFFFFF"/>
        </w:rPr>
        <w:t>RA患者感染风险高于普通人群，建议按规范接种灭活疫苗（流感、肺炎球菌、带状疱疹等），接种时机宜选择疾病稳定期。使用b/tsDMARDs期间通常不推荐减毒活疫苗。定期随访监测，早期识别感染征象。</w:t>
      </w:r>
    </w:p>
    <w:p w14:paraId="7CEC7E2E">
      <w:pPr>
        <w:pStyle w:val="2"/>
        <w:keepNext/>
        <w:keepLines/>
        <w:spacing w:before="10" w:beforeAutospacing="0" w:after="10" w:afterAutospacing="0" w:line="360" w:lineRule="auto"/>
        <w:jc w:val="center"/>
        <w:rPr>
          <w:rFonts w:ascii="黑体" w:hAnsi="黑体" w:eastAsia="黑体" w:cs="黑体"/>
          <w:b w:val="0"/>
          <w:sz w:val="21"/>
          <w:szCs w:val="21"/>
        </w:rPr>
      </w:pPr>
    </w:p>
    <w:p w14:paraId="6D181733">
      <w:pPr>
        <w:pStyle w:val="2"/>
        <w:keepNext/>
        <w:keepLines/>
        <w:spacing w:before="10" w:beforeAutospacing="0" w:after="10" w:afterAutospacing="0" w:line="360" w:lineRule="auto"/>
        <w:jc w:val="center"/>
        <w:rPr>
          <w:rFonts w:ascii="黑体" w:hAnsi="黑体" w:eastAsia="黑体" w:cs="黑体"/>
          <w:b w:val="0"/>
          <w:sz w:val="21"/>
          <w:szCs w:val="21"/>
        </w:rPr>
      </w:pPr>
    </w:p>
    <w:p w14:paraId="44515299">
      <w:pPr>
        <w:pStyle w:val="2"/>
        <w:keepNext/>
        <w:keepLines/>
        <w:spacing w:before="10" w:beforeAutospacing="0" w:after="10" w:afterAutospacing="0" w:line="360" w:lineRule="auto"/>
        <w:jc w:val="center"/>
        <w:rPr>
          <w:rFonts w:ascii="黑体" w:hAnsi="黑体" w:eastAsia="黑体" w:cs="黑体"/>
          <w:b w:val="0"/>
          <w:sz w:val="21"/>
          <w:szCs w:val="21"/>
        </w:rPr>
      </w:pPr>
      <w:r>
        <w:rPr>
          <w:rFonts w:ascii="黑体" w:hAnsi="黑体" w:eastAsia="黑体" w:cs="黑体"/>
          <w:b w:val="0"/>
          <w:sz w:val="21"/>
          <w:szCs w:val="21"/>
        </w:rPr>
        <w:t>附录A</w:t>
      </w:r>
    </w:p>
    <w:p w14:paraId="4438396D">
      <w:pPr>
        <w:pStyle w:val="9"/>
        <w:widowControl/>
        <w:shd w:val="clear" w:color="auto" w:fill="FFFFFF"/>
        <w:spacing w:before="120" w:beforeAutospacing="0" w:after="120" w:afterAutospacing="0" w:line="360" w:lineRule="auto"/>
        <w:ind w:firstLine="482" w:firstLineChars="200"/>
        <w:rPr>
          <w:rFonts w:hint="eastAsia" w:ascii="宋体" w:hAnsi="宋体" w:cs="宋体"/>
          <w:color w:val="0F1115"/>
        </w:rPr>
      </w:pPr>
      <w:r>
        <w:rPr>
          <w:rStyle w:val="12"/>
          <w:rFonts w:hint="eastAsia" w:ascii="宋体" w:hAnsi="宋体" w:cs="宋体"/>
          <w:bCs/>
          <w:color w:val="0F1115"/>
          <w:shd w:val="clear" w:color="auto" w:fill="FFFFFF"/>
        </w:rPr>
        <w:t>表A.1 类风湿关节炎临床表现汇总表</w:t>
      </w:r>
    </w:p>
    <w:tbl>
      <w:tblPr>
        <w:tblStyle w:val="10"/>
        <w:tblW w:w="8522" w:type="dxa"/>
        <w:jc w:val="center"/>
        <w:tblLayout w:type="autofit"/>
        <w:tblCellMar>
          <w:top w:w="15" w:type="dxa"/>
          <w:left w:w="15" w:type="dxa"/>
          <w:bottom w:w="15" w:type="dxa"/>
          <w:right w:w="15" w:type="dxa"/>
        </w:tblCellMar>
      </w:tblPr>
      <w:tblGrid>
        <w:gridCol w:w="743"/>
        <w:gridCol w:w="1509"/>
        <w:gridCol w:w="6270"/>
      </w:tblGrid>
      <w:tr w14:paraId="6E51FFFD">
        <w:tblPrEx>
          <w:tblCellMar>
            <w:top w:w="15" w:type="dxa"/>
            <w:left w:w="15" w:type="dxa"/>
            <w:bottom w:w="15" w:type="dxa"/>
            <w:right w:w="15" w:type="dxa"/>
          </w:tblCellMar>
        </w:tblPrEx>
        <w:trPr>
          <w:tblHeader/>
          <w:jc w:val="center"/>
        </w:trPr>
        <w:tc>
          <w:tcPr>
            <w:tcW w:w="743" w:type="dxa"/>
            <w:tcBorders>
              <w:top w:val="single" w:color="auto" w:sz="12" w:space="0"/>
              <w:left w:val="nil"/>
              <w:bottom w:val="nil"/>
              <w:right w:val="nil"/>
            </w:tcBorders>
            <w:noWrap w:val="0"/>
            <w:tcMar>
              <w:top w:w="75" w:type="dxa"/>
              <w:left w:w="-1" w:type="dxa"/>
              <w:bottom w:w="75" w:type="dxa"/>
              <w:right w:w="120" w:type="dxa"/>
            </w:tcMar>
            <w:vAlign w:val="center"/>
          </w:tcPr>
          <w:p w14:paraId="72264398">
            <w:pPr>
              <w:widowControl/>
              <w:snapToGrid w:val="0"/>
              <w:jc w:val="center"/>
              <w:rPr>
                <w:rFonts w:hint="eastAsia" w:ascii="宋体" w:hAnsi="宋体" w:cs="宋体"/>
                <w:b/>
                <w:sz w:val="24"/>
              </w:rPr>
            </w:pPr>
            <w:r>
              <w:rPr>
                <w:rStyle w:val="12"/>
                <w:rFonts w:hint="eastAsia" w:ascii="宋体" w:hAnsi="宋体" w:cs="宋体"/>
                <w:bCs/>
                <w:kern w:val="0"/>
                <w:sz w:val="24"/>
                <w:lang w:bidi="ar"/>
              </w:rPr>
              <w:t>序号</w:t>
            </w:r>
          </w:p>
        </w:tc>
        <w:tc>
          <w:tcPr>
            <w:tcW w:w="1509" w:type="dxa"/>
            <w:tcBorders>
              <w:top w:val="single" w:color="auto" w:sz="12" w:space="0"/>
              <w:left w:val="nil"/>
              <w:bottom w:val="nil"/>
              <w:right w:val="nil"/>
            </w:tcBorders>
            <w:noWrap w:val="0"/>
            <w:tcMar>
              <w:top w:w="75" w:type="dxa"/>
              <w:left w:w="120" w:type="dxa"/>
              <w:bottom w:w="75" w:type="dxa"/>
              <w:right w:w="120" w:type="dxa"/>
            </w:tcMar>
            <w:vAlign w:val="center"/>
          </w:tcPr>
          <w:p w14:paraId="41C7CC1C">
            <w:pPr>
              <w:widowControl/>
              <w:snapToGrid w:val="0"/>
              <w:jc w:val="center"/>
              <w:rPr>
                <w:rFonts w:hint="eastAsia" w:ascii="宋体" w:hAnsi="宋体" w:cs="宋体"/>
                <w:b/>
                <w:sz w:val="24"/>
              </w:rPr>
            </w:pPr>
            <w:r>
              <w:rPr>
                <w:rStyle w:val="12"/>
                <w:rFonts w:hint="eastAsia" w:ascii="宋体" w:hAnsi="宋体" w:cs="宋体"/>
                <w:bCs/>
                <w:kern w:val="0"/>
                <w:sz w:val="24"/>
                <w:lang w:bidi="ar"/>
              </w:rPr>
              <w:t>系统/类别</w:t>
            </w:r>
          </w:p>
        </w:tc>
        <w:tc>
          <w:tcPr>
            <w:tcW w:w="6270" w:type="dxa"/>
            <w:tcBorders>
              <w:top w:val="single" w:color="auto" w:sz="12" w:space="0"/>
              <w:left w:val="nil"/>
              <w:bottom w:val="nil"/>
              <w:right w:val="nil"/>
            </w:tcBorders>
            <w:noWrap w:val="0"/>
            <w:tcMar>
              <w:top w:w="75" w:type="dxa"/>
              <w:left w:w="120" w:type="dxa"/>
              <w:bottom w:w="75" w:type="dxa"/>
              <w:right w:w="120" w:type="dxa"/>
            </w:tcMar>
            <w:vAlign w:val="center"/>
          </w:tcPr>
          <w:p w14:paraId="5B4C799C">
            <w:pPr>
              <w:widowControl/>
              <w:snapToGrid w:val="0"/>
              <w:jc w:val="center"/>
              <w:rPr>
                <w:rFonts w:hint="eastAsia" w:ascii="宋体" w:hAnsi="宋体" w:cs="宋体"/>
                <w:b/>
                <w:sz w:val="24"/>
              </w:rPr>
            </w:pPr>
            <w:r>
              <w:rPr>
                <w:rStyle w:val="12"/>
                <w:rFonts w:hint="eastAsia" w:ascii="宋体" w:hAnsi="宋体" w:cs="宋体"/>
                <w:bCs/>
                <w:kern w:val="0"/>
                <w:sz w:val="24"/>
                <w:lang w:bidi="ar"/>
              </w:rPr>
              <w:t>临床表现</w:t>
            </w:r>
          </w:p>
        </w:tc>
      </w:tr>
      <w:tr w14:paraId="55158EA4">
        <w:tblPrEx>
          <w:tblCellMar>
            <w:top w:w="15" w:type="dxa"/>
            <w:left w:w="15" w:type="dxa"/>
            <w:bottom w:w="15" w:type="dxa"/>
            <w:right w:w="15" w:type="dxa"/>
          </w:tblCellMar>
        </w:tblPrEx>
        <w:trPr>
          <w:jc w:val="center"/>
        </w:trPr>
        <w:tc>
          <w:tcPr>
            <w:tcW w:w="743" w:type="dxa"/>
            <w:tcBorders>
              <w:top w:val="single" w:color="auto" w:sz="4" w:space="0"/>
              <w:left w:val="nil"/>
              <w:bottom w:val="nil"/>
              <w:right w:val="nil"/>
            </w:tcBorders>
            <w:noWrap w:val="0"/>
            <w:tcMar>
              <w:top w:w="75" w:type="dxa"/>
              <w:left w:w="-1" w:type="dxa"/>
              <w:bottom w:w="75" w:type="dxa"/>
              <w:right w:w="120" w:type="dxa"/>
            </w:tcMar>
            <w:vAlign w:val="center"/>
          </w:tcPr>
          <w:p w14:paraId="1E07E787">
            <w:pPr>
              <w:widowControl/>
              <w:snapToGrid w:val="0"/>
              <w:jc w:val="center"/>
              <w:rPr>
                <w:rFonts w:hint="eastAsia" w:ascii="宋体" w:hAnsi="宋体" w:cs="宋体"/>
                <w:sz w:val="24"/>
              </w:rPr>
            </w:pPr>
            <w:r>
              <w:rPr>
                <w:rFonts w:hint="eastAsia" w:ascii="宋体" w:hAnsi="宋体" w:cs="宋体"/>
                <w:kern w:val="0"/>
                <w:sz w:val="24"/>
                <w:lang w:bidi="ar"/>
              </w:rPr>
              <w:t>1</w:t>
            </w:r>
          </w:p>
        </w:tc>
        <w:tc>
          <w:tcPr>
            <w:tcW w:w="1509" w:type="dxa"/>
            <w:tcBorders>
              <w:top w:val="single" w:color="auto" w:sz="4" w:space="0"/>
              <w:left w:val="nil"/>
              <w:bottom w:val="nil"/>
              <w:right w:val="nil"/>
            </w:tcBorders>
            <w:noWrap w:val="0"/>
            <w:tcMar>
              <w:top w:w="75" w:type="dxa"/>
              <w:left w:w="120" w:type="dxa"/>
              <w:bottom w:w="75" w:type="dxa"/>
              <w:right w:w="120" w:type="dxa"/>
            </w:tcMar>
            <w:vAlign w:val="center"/>
          </w:tcPr>
          <w:p w14:paraId="06E6F74C">
            <w:pPr>
              <w:widowControl/>
              <w:snapToGrid w:val="0"/>
              <w:jc w:val="center"/>
              <w:rPr>
                <w:rFonts w:hint="eastAsia" w:ascii="宋体" w:hAnsi="宋体" w:cs="宋体"/>
                <w:sz w:val="24"/>
              </w:rPr>
            </w:pPr>
            <w:r>
              <w:rPr>
                <w:rFonts w:hint="eastAsia" w:ascii="宋体" w:hAnsi="宋体" w:cs="宋体"/>
                <w:kern w:val="0"/>
                <w:sz w:val="24"/>
                <w:lang w:bidi="ar"/>
              </w:rPr>
              <w:t>全身表现</w:t>
            </w:r>
          </w:p>
        </w:tc>
        <w:tc>
          <w:tcPr>
            <w:tcW w:w="6270" w:type="dxa"/>
            <w:tcBorders>
              <w:top w:val="single" w:color="auto" w:sz="4" w:space="0"/>
              <w:left w:val="nil"/>
              <w:bottom w:val="nil"/>
              <w:right w:val="nil"/>
            </w:tcBorders>
            <w:noWrap w:val="0"/>
            <w:tcMar>
              <w:top w:w="75" w:type="dxa"/>
              <w:left w:w="120" w:type="dxa"/>
              <w:bottom w:w="75" w:type="dxa"/>
              <w:right w:w="-1" w:type="dxa"/>
            </w:tcMar>
            <w:vAlign w:val="center"/>
          </w:tcPr>
          <w:p w14:paraId="3B23CABB">
            <w:pPr>
              <w:widowControl/>
              <w:snapToGrid w:val="0"/>
              <w:jc w:val="left"/>
              <w:rPr>
                <w:rFonts w:hint="eastAsia" w:ascii="宋体" w:hAnsi="宋体" w:cs="宋体"/>
                <w:sz w:val="24"/>
              </w:rPr>
            </w:pPr>
            <w:r>
              <w:rPr>
                <w:rFonts w:hint="eastAsia" w:ascii="宋体" w:hAnsi="宋体" w:cs="宋体"/>
                <w:kern w:val="0"/>
                <w:sz w:val="24"/>
                <w:lang w:bidi="ar"/>
              </w:rPr>
              <w:t>疲劳、体重下降、低热、全身不适、食欲减退</w:t>
            </w:r>
          </w:p>
        </w:tc>
      </w:tr>
      <w:tr w14:paraId="4F562A22">
        <w:tblPrEx>
          <w:tblCellMar>
            <w:top w:w="15" w:type="dxa"/>
            <w:left w:w="15" w:type="dxa"/>
            <w:bottom w:w="15" w:type="dxa"/>
            <w:right w:w="15" w:type="dxa"/>
          </w:tblCellMar>
        </w:tblPrEx>
        <w:trPr>
          <w:jc w:val="center"/>
        </w:trPr>
        <w:tc>
          <w:tcPr>
            <w:tcW w:w="743" w:type="dxa"/>
            <w:tcBorders>
              <w:top w:val="nil"/>
              <w:left w:val="nil"/>
              <w:bottom w:val="nil"/>
              <w:right w:val="nil"/>
            </w:tcBorders>
            <w:noWrap w:val="0"/>
            <w:tcMar>
              <w:top w:w="75" w:type="dxa"/>
              <w:left w:w="-1" w:type="dxa"/>
              <w:bottom w:w="75" w:type="dxa"/>
              <w:right w:w="120" w:type="dxa"/>
            </w:tcMar>
            <w:vAlign w:val="center"/>
          </w:tcPr>
          <w:p w14:paraId="55F800F1">
            <w:pPr>
              <w:widowControl/>
              <w:snapToGrid w:val="0"/>
              <w:jc w:val="center"/>
              <w:rPr>
                <w:rFonts w:hint="eastAsia" w:ascii="宋体" w:hAnsi="宋体" w:cs="宋体"/>
                <w:sz w:val="24"/>
              </w:rPr>
            </w:pPr>
            <w:r>
              <w:rPr>
                <w:rFonts w:hint="eastAsia" w:ascii="宋体" w:hAnsi="宋体" w:cs="宋体"/>
                <w:kern w:val="0"/>
                <w:sz w:val="24"/>
                <w:lang w:bidi="ar"/>
              </w:rPr>
              <w:t>2</w:t>
            </w:r>
          </w:p>
        </w:tc>
        <w:tc>
          <w:tcPr>
            <w:tcW w:w="1509" w:type="dxa"/>
            <w:tcBorders>
              <w:top w:val="nil"/>
              <w:left w:val="nil"/>
              <w:bottom w:val="nil"/>
              <w:right w:val="nil"/>
            </w:tcBorders>
            <w:noWrap w:val="0"/>
            <w:tcMar>
              <w:top w:w="75" w:type="dxa"/>
              <w:left w:w="120" w:type="dxa"/>
              <w:bottom w:w="75" w:type="dxa"/>
              <w:right w:w="120" w:type="dxa"/>
            </w:tcMar>
            <w:vAlign w:val="center"/>
          </w:tcPr>
          <w:p w14:paraId="2577B283">
            <w:pPr>
              <w:widowControl/>
              <w:snapToGrid w:val="0"/>
              <w:jc w:val="center"/>
              <w:rPr>
                <w:rFonts w:hint="eastAsia" w:ascii="宋体" w:hAnsi="宋体" w:cs="宋体"/>
                <w:sz w:val="24"/>
              </w:rPr>
            </w:pPr>
            <w:r>
              <w:rPr>
                <w:rFonts w:hint="eastAsia" w:ascii="宋体" w:hAnsi="宋体" w:cs="宋体"/>
                <w:kern w:val="0"/>
                <w:sz w:val="24"/>
                <w:lang w:bidi="ar"/>
              </w:rPr>
              <w:t>手关节表现</w:t>
            </w:r>
          </w:p>
        </w:tc>
        <w:tc>
          <w:tcPr>
            <w:tcW w:w="6270" w:type="dxa"/>
            <w:tcBorders>
              <w:top w:val="nil"/>
              <w:left w:val="nil"/>
              <w:bottom w:val="nil"/>
              <w:right w:val="nil"/>
            </w:tcBorders>
            <w:noWrap w:val="0"/>
            <w:tcMar>
              <w:top w:w="75" w:type="dxa"/>
              <w:left w:w="120" w:type="dxa"/>
              <w:bottom w:w="75" w:type="dxa"/>
              <w:right w:w="-1" w:type="dxa"/>
            </w:tcMar>
            <w:vAlign w:val="center"/>
          </w:tcPr>
          <w:p w14:paraId="2B97F2AF">
            <w:pPr>
              <w:widowControl/>
              <w:snapToGrid w:val="0"/>
              <w:jc w:val="left"/>
              <w:rPr>
                <w:rFonts w:hint="eastAsia" w:ascii="宋体" w:hAnsi="宋体" w:cs="宋体"/>
                <w:sz w:val="24"/>
              </w:rPr>
            </w:pPr>
            <w:r>
              <w:rPr>
                <w:rFonts w:hint="eastAsia" w:ascii="宋体" w:hAnsi="宋体" w:cs="宋体"/>
                <w:kern w:val="0"/>
                <w:sz w:val="24"/>
                <w:lang w:bidi="ar"/>
              </w:rPr>
              <w:t>对称性近端指间关节肿胀（梭形肿胀）、掌指</w:t>
            </w:r>
          </w:p>
        </w:tc>
      </w:tr>
      <w:tr w14:paraId="31BF4DEE">
        <w:tblPrEx>
          <w:tblCellMar>
            <w:top w:w="15" w:type="dxa"/>
            <w:left w:w="15" w:type="dxa"/>
            <w:bottom w:w="15" w:type="dxa"/>
            <w:right w:w="15" w:type="dxa"/>
          </w:tblCellMar>
        </w:tblPrEx>
        <w:trPr>
          <w:jc w:val="center"/>
        </w:trPr>
        <w:tc>
          <w:tcPr>
            <w:tcW w:w="743" w:type="dxa"/>
            <w:tcBorders>
              <w:top w:val="nil"/>
              <w:left w:val="nil"/>
              <w:bottom w:val="nil"/>
              <w:right w:val="nil"/>
            </w:tcBorders>
            <w:noWrap w:val="0"/>
            <w:tcMar>
              <w:top w:w="75" w:type="dxa"/>
              <w:left w:w="-1" w:type="dxa"/>
              <w:bottom w:w="75" w:type="dxa"/>
              <w:right w:w="120" w:type="dxa"/>
            </w:tcMar>
            <w:vAlign w:val="center"/>
          </w:tcPr>
          <w:p w14:paraId="67F8AE2E">
            <w:pPr>
              <w:widowControl/>
              <w:snapToGrid w:val="0"/>
              <w:jc w:val="center"/>
              <w:rPr>
                <w:rFonts w:hint="eastAsia" w:ascii="宋体" w:hAnsi="宋体" w:cs="宋体"/>
                <w:sz w:val="24"/>
              </w:rPr>
            </w:pPr>
            <w:r>
              <w:rPr>
                <w:rFonts w:hint="eastAsia" w:ascii="宋体" w:hAnsi="宋体" w:cs="宋体"/>
                <w:kern w:val="0"/>
                <w:sz w:val="24"/>
                <w:lang w:bidi="ar"/>
              </w:rPr>
              <w:t>3</w:t>
            </w:r>
          </w:p>
        </w:tc>
        <w:tc>
          <w:tcPr>
            <w:tcW w:w="1509" w:type="dxa"/>
            <w:tcBorders>
              <w:top w:val="nil"/>
              <w:left w:val="nil"/>
              <w:bottom w:val="nil"/>
              <w:right w:val="nil"/>
            </w:tcBorders>
            <w:noWrap w:val="0"/>
            <w:tcMar>
              <w:top w:w="75" w:type="dxa"/>
              <w:left w:w="120" w:type="dxa"/>
              <w:bottom w:w="75" w:type="dxa"/>
              <w:right w:w="120" w:type="dxa"/>
            </w:tcMar>
            <w:vAlign w:val="center"/>
          </w:tcPr>
          <w:p w14:paraId="4AF3637E">
            <w:pPr>
              <w:widowControl/>
              <w:snapToGrid w:val="0"/>
              <w:jc w:val="center"/>
              <w:rPr>
                <w:rFonts w:hint="eastAsia" w:ascii="宋体" w:hAnsi="宋体" w:cs="宋体"/>
                <w:sz w:val="24"/>
              </w:rPr>
            </w:pPr>
            <w:r>
              <w:rPr>
                <w:rFonts w:hint="eastAsia" w:ascii="宋体" w:hAnsi="宋体" w:cs="宋体"/>
                <w:kern w:val="0"/>
                <w:sz w:val="24"/>
                <w:lang w:bidi="ar"/>
              </w:rPr>
              <w:t>腕关节表现</w:t>
            </w:r>
          </w:p>
        </w:tc>
        <w:tc>
          <w:tcPr>
            <w:tcW w:w="6270" w:type="dxa"/>
            <w:tcBorders>
              <w:top w:val="nil"/>
              <w:left w:val="nil"/>
              <w:bottom w:val="nil"/>
              <w:right w:val="nil"/>
            </w:tcBorders>
            <w:noWrap w:val="0"/>
            <w:tcMar>
              <w:top w:w="75" w:type="dxa"/>
              <w:left w:w="120" w:type="dxa"/>
              <w:bottom w:w="75" w:type="dxa"/>
              <w:right w:w="-1" w:type="dxa"/>
            </w:tcMar>
            <w:vAlign w:val="center"/>
          </w:tcPr>
          <w:p w14:paraId="12EB8C23">
            <w:pPr>
              <w:widowControl/>
              <w:snapToGrid w:val="0"/>
              <w:jc w:val="left"/>
              <w:rPr>
                <w:rFonts w:hint="eastAsia" w:ascii="宋体" w:hAnsi="宋体" w:cs="宋体"/>
                <w:sz w:val="24"/>
              </w:rPr>
            </w:pPr>
            <w:r>
              <w:rPr>
                <w:rFonts w:hint="eastAsia" w:ascii="宋体" w:hAnsi="宋体" w:cs="宋体"/>
                <w:kern w:val="0"/>
                <w:sz w:val="24"/>
                <w:lang w:bidi="ar"/>
              </w:rPr>
              <w:t>腕背侧软组织肿胀、尺骨茎突周围压痛（RA</w:t>
            </w:r>
          </w:p>
        </w:tc>
      </w:tr>
      <w:tr w14:paraId="22798AD6">
        <w:tblPrEx>
          <w:tblCellMar>
            <w:top w:w="15" w:type="dxa"/>
            <w:left w:w="15" w:type="dxa"/>
            <w:bottom w:w="15" w:type="dxa"/>
            <w:right w:w="15" w:type="dxa"/>
          </w:tblCellMar>
        </w:tblPrEx>
        <w:trPr>
          <w:jc w:val="center"/>
        </w:trPr>
        <w:tc>
          <w:tcPr>
            <w:tcW w:w="743" w:type="dxa"/>
            <w:tcBorders>
              <w:top w:val="nil"/>
              <w:left w:val="nil"/>
              <w:bottom w:val="nil"/>
              <w:right w:val="nil"/>
            </w:tcBorders>
            <w:noWrap w:val="0"/>
            <w:tcMar>
              <w:top w:w="75" w:type="dxa"/>
              <w:left w:w="-1" w:type="dxa"/>
              <w:bottom w:w="75" w:type="dxa"/>
              <w:right w:w="120" w:type="dxa"/>
            </w:tcMar>
            <w:vAlign w:val="center"/>
          </w:tcPr>
          <w:p w14:paraId="2EAF4542">
            <w:pPr>
              <w:widowControl/>
              <w:snapToGrid w:val="0"/>
              <w:jc w:val="center"/>
              <w:rPr>
                <w:rFonts w:hint="eastAsia" w:ascii="宋体" w:hAnsi="宋体" w:cs="宋体"/>
                <w:sz w:val="24"/>
              </w:rPr>
            </w:pPr>
            <w:r>
              <w:rPr>
                <w:rFonts w:hint="eastAsia" w:ascii="宋体" w:hAnsi="宋体" w:cs="宋体"/>
                <w:kern w:val="0"/>
                <w:sz w:val="24"/>
                <w:lang w:bidi="ar"/>
              </w:rPr>
              <w:t>4</w:t>
            </w:r>
          </w:p>
        </w:tc>
        <w:tc>
          <w:tcPr>
            <w:tcW w:w="1509" w:type="dxa"/>
            <w:tcBorders>
              <w:top w:val="nil"/>
              <w:left w:val="nil"/>
              <w:bottom w:val="nil"/>
              <w:right w:val="nil"/>
            </w:tcBorders>
            <w:noWrap w:val="0"/>
            <w:tcMar>
              <w:top w:w="75" w:type="dxa"/>
              <w:left w:w="120" w:type="dxa"/>
              <w:bottom w:w="75" w:type="dxa"/>
              <w:right w:w="120" w:type="dxa"/>
            </w:tcMar>
            <w:vAlign w:val="center"/>
          </w:tcPr>
          <w:p w14:paraId="3593A8A9">
            <w:pPr>
              <w:widowControl/>
              <w:snapToGrid w:val="0"/>
              <w:jc w:val="center"/>
              <w:rPr>
                <w:rFonts w:hint="eastAsia" w:ascii="宋体" w:hAnsi="宋体" w:cs="宋体"/>
                <w:sz w:val="24"/>
              </w:rPr>
            </w:pPr>
            <w:r>
              <w:rPr>
                <w:rFonts w:hint="eastAsia" w:ascii="宋体" w:hAnsi="宋体" w:cs="宋体"/>
                <w:kern w:val="0"/>
                <w:sz w:val="24"/>
                <w:lang w:bidi="ar"/>
              </w:rPr>
              <w:t>肘关节受累</w:t>
            </w:r>
          </w:p>
        </w:tc>
        <w:tc>
          <w:tcPr>
            <w:tcW w:w="6270" w:type="dxa"/>
            <w:tcBorders>
              <w:top w:val="nil"/>
              <w:left w:val="nil"/>
              <w:bottom w:val="nil"/>
              <w:right w:val="nil"/>
            </w:tcBorders>
            <w:noWrap w:val="0"/>
            <w:tcMar>
              <w:top w:w="75" w:type="dxa"/>
              <w:left w:w="120" w:type="dxa"/>
              <w:bottom w:w="75" w:type="dxa"/>
              <w:right w:w="-1" w:type="dxa"/>
            </w:tcMar>
            <w:vAlign w:val="center"/>
          </w:tcPr>
          <w:p w14:paraId="272339D7">
            <w:pPr>
              <w:widowControl/>
              <w:snapToGrid w:val="0"/>
              <w:jc w:val="left"/>
              <w:rPr>
                <w:rFonts w:hint="eastAsia" w:ascii="宋体" w:hAnsi="宋体" w:cs="宋体"/>
                <w:sz w:val="24"/>
              </w:rPr>
            </w:pPr>
            <w:r>
              <w:rPr>
                <w:rFonts w:hint="eastAsia" w:ascii="宋体" w:hAnsi="宋体" w:cs="宋体"/>
                <w:kern w:val="0"/>
                <w:sz w:val="24"/>
                <w:lang w:bidi="ar"/>
              </w:rPr>
              <w:t>肘关节伸直困难、挛缩畸形、肘关节滑膜增生</w:t>
            </w:r>
          </w:p>
        </w:tc>
      </w:tr>
      <w:tr w14:paraId="05C2743F">
        <w:tblPrEx>
          <w:tblCellMar>
            <w:top w:w="15" w:type="dxa"/>
            <w:left w:w="15" w:type="dxa"/>
            <w:bottom w:w="15" w:type="dxa"/>
            <w:right w:w="15" w:type="dxa"/>
          </w:tblCellMar>
        </w:tblPrEx>
        <w:trPr>
          <w:jc w:val="center"/>
        </w:trPr>
        <w:tc>
          <w:tcPr>
            <w:tcW w:w="743" w:type="dxa"/>
            <w:tcBorders>
              <w:top w:val="nil"/>
              <w:left w:val="nil"/>
              <w:bottom w:val="nil"/>
              <w:right w:val="nil"/>
            </w:tcBorders>
            <w:noWrap w:val="0"/>
            <w:tcMar>
              <w:top w:w="75" w:type="dxa"/>
              <w:left w:w="-1" w:type="dxa"/>
              <w:bottom w:w="75" w:type="dxa"/>
              <w:right w:w="120" w:type="dxa"/>
            </w:tcMar>
            <w:vAlign w:val="center"/>
          </w:tcPr>
          <w:p w14:paraId="5E2ABA70">
            <w:pPr>
              <w:widowControl/>
              <w:snapToGrid w:val="0"/>
              <w:jc w:val="center"/>
              <w:rPr>
                <w:rFonts w:hint="eastAsia" w:ascii="宋体" w:hAnsi="宋体" w:cs="宋体"/>
                <w:sz w:val="24"/>
              </w:rPr>
            </w:pPr>
            <w:r>
              <w:rPr>
                <w:rFonts w:hint="eastAsia" w:ascii="宋体" w:hAnsi="宋体" w:cs="宋体"/>
                <w:kern w:val="0"/>
                <w:sz w:val="24"/>
                <w:lang w:bidi="ar"/>
              </w:rPr>
              <w:t>6</w:t>
            </w:r>
          </w:p>
        </w:tc>
        <w:tc>
          <w:tcPr>
            <w:tcW w:w="1509" w:type="dxa"/>
            <w:tcBorders>
              <w:top w:val="nil"/>
              <w:left w:val="nil"/>
              <w:bottom w:val="nil"/>
              <w:right w:val="nil"/>
            </w:tcBorders>
            <w:noWrap w:val="0"/>
            <w:tcMar>
              <w:top w:w="75" w:type="dxa"/>
              <w:left w:w="120" w:type="dxa"/>
              <w:bottom w:w="75" w:type="dxa"/>
              <w:right w:w="120" w:type="dxa"/>
            </w:tcMar>
            <w:vAlign w:val="center"/>
          </w:tcPr>
          <w:p w14:paraId="02534CC3">
            <w:pPr>
              <w:widowControl/>
              <w:snapToGrid w:val="0"/>
              <w:jc w:val="center"/>
              <w:rPr>
                <w:rFonts w:hint="eastAsia" w:ascii="宋体" w:hAnsi="宋体" w:cs="宋体"/>
                <w:sz w:val="24"/>
              </w:rPr>
            </w:pPr>
            <w:r>
              <w:rPr>
                <w:rFonts w:hint="eastAsia" w:ascii="宋体" w:hAnsi="宋体" w:cs="宋体"/>
                <w:kern w:val="0"/>
                <w:sz w:val="24"/>
                <w:lang w:bidi="ar"/>
              </w:rPr>
              <w:t>膝关节受累</w:t>
            </w:r>
          </w:p>
        </w:tc>
        <w:tc>
          <w:tcPr>
            <w:tcW w:w="6270" w:type="dxa"/>
            <w:tcBorders>
              <w:top w:val="nil"/>
              <w:left w:val="nil"/>
              <w:bottom w:val="nil"/>
              <w:right w:val="nil"/>
            </w:tcBorders>
            <w:noWrap w:val="0"/>
            <w:tcMar>
              <w:top w:w="75" w:type="dxa"/>
              <w:left w:w="120" w:type="dxa"/>
              <w:bottom w:w="75" w:type="dxa"/>
              <w:right w:w="-1" w:type="dxa"/>
            </w:tcMar>
            <w:vAlign w:val="center"/>
          </w:tcPr>
          <w:p w14:paraId="22917473">
            <w:pPr>
              <w:widowControl/>
              <w:snapToGrid w:val="0"/>
              <w:jc w:val="left"/>
              <w:rPr>
                <w:rFonts w:hint="eastAsia" w:ascii="宋体" w:hAnsi="宋体" w:cs="宋体"/>
                <w:sz w:val="24"/>
              </w:rPr>
            </w:pPr>
            <w:r>
              <w:rPr>
                <w:rFonts w:hint="eastAsia" w:ascii="宋体" w:hAnsi="宋体" w:cs="宋体"/>
                <w:kern w:val="0"/>
                <w:sz w:val="24"/>
                <w:lang w:bidi="ar"/>
              </w:rPr>
              <w:t>滑膜肥厚、关节腔积液（浮髌征阳性）、股四</w:t>
            </w:r>
          </w:p>
        </w:tc>
      </w:tr>
      <w:tr w14:paraId="7CC37871">
        <w:tblPrEx>
          <w:tblCellMar>
            <w:top w:w="15" w:type="dxa"/>
            <w:left w:w="15" w:type="dxa"/>
            <w:bottom w:w="15" w:type="dxa"/>
            <w:right w:w="15" w:type="dxa"/>
          </w:tblCellMar>
        </w:tblPrEx>
        <w:trPr>
          <w:jc w:val="center"/>
        </w:trPr>
        <w:tc>
          <w:tcPr>
            <w:tcW w:w="743" w:type="dxa"/>
            <w:tcBorders>
              <w:top w:val="nil"/>
              <w:left w:val="nil"/>
              <w:bottom w:val="nil"/>
              <w:right w:val="nil"/>
            </w:tcBorders>
            <w:noWrap w:val="0"/>
            <w:tcMar>
              <w:top w:w="75" w:type="dxa"/>
              <w:left w:w="-1" w:type="dxa"/>
              <w:bottom w:w="75" w:type="dxa"/>
              <w:right w:w="120" w:type="dxa"/>
            </w:tcMar>
            <w:vAlign w:val="center"/>
          </w:tcPr>
          <w:p w14:paraId="17B4B32A">
            <w:pPr>
              <w:widowControl/>
              <w:snapToGrid w:val="0"/>
              <w:jc w:val="center"/>
              <w:rPr>
                <w:rFonts w:hint="eastAsia" w:ascii="宋体" w:hAnsi="宋体" w:cs="宋体"/>
                <w:sz w:val="24"/>
              </w:rPr>
            </w:pPr>
            <w:r>
              <w:rPr>
                <w:rFonts w:hint="eastAsia" w:ascii="宋体" w:hAnsi="宋体" w:cs="宋体"/>
                <w:kern w:val="0"/>
                <w:sz w:val="24"/>
                <w:lang w:bidi="ar"/>
              </w:rPr>
              <w:t>7</w:t>
            </w:r>
          </w:p>
        </w:tc>
        <w:tc>
          <w:tcPr>
            <w:tcW w:w="1509" w:type="dxa"/>
            <w:tcBorders>
              <w:top w:val="nil"/>
              <w:left w:val="nil"/>
              <w:bottom w:val="nil"/>
              <w:right w:val="nil"/>
            </w:tcBorders>
            <w:noWrap w:val="0"/>
            <w:tcMar>
              <w:top w:w="75" w:type="dxa"/>
              <w:left w:w="120" w:type="dxa"/>
              <w:bottom w:w="75" w:type="dxa"/>
              <w:right w:w="120" w:type="dxa"/>
            </w:tcMar>
            <w:vAlign w:val="center"/>
          </w:tcPr>
          <w:p w14:paraId="1C5B3388">
            <w:pPr>
              <w:widowControl/>
              <w:snapToGrid w:val="0"/>
              <w:jc w:val="center"/>
              <w:rPr>
                <w:rFonts w:hint="eastAsia" w:ascii="宋体" w:hAnsi="宋体" w:cs="宋体"/>
                <w:sz w:val="24"/>
              </w:rPr>
            </w:pPr>
            <w:r>
              <w:rPr>
                <w:rFonts w:hint="eastAsia" w:ascii="宋体" w:hAnsi="宋体" w:cs="宋体"/>
                <w:kern w:val="0"/>
                <w:sz w:val="24"/>
                <w:lang w:bidi="ar"/>
              </w:rPr>
              <w:t>足踝关节表现</w:t>
            </w:r>
          </w:p>
        </w:tc>
        <w:tc>
          <w:tcPr>
            <w:tcW w:w="6270" w:type="dxa"/>
            <w:tcBorders>
              <w:top w:val="nil"/>
              <w:left w:val="nil"/>
              <w:bottom w:val="nil"/>
              <w:right w:val="nil"/>
            </w:tcBorders>
            <w:noWrap w:val="0"/>
            <w:tcMar>
              <w:top w:w="75" w:type="dxa"/>
              <w:left w:w="120" w:type="dxa"/>
              <w:bottom w:w="75" w:type="dxa"/>
              <w:right w:w="-1" w:type="dxa"/>
            </w:tcMar>
            <w:vAlign w:val="center"/>
          </w:tcPr>
          <w:p w14:paraId="49822EF3">
            <w:pPr>
              <w:widowControl/>
              <w:snapToGrid w:val="0"/>
              <w:jc w:val="left"/>
              <w:rPr>
                <w:rFonts w:hint="eastAsia" w:ascii="宋体" w:hAnsi="宋体" w:cs="宋体"/>
                <w:sz w:val="24"/>
              </w:rPr>
            </w:pPr>
            <w:r>
              <w:rPr>
                <w:rFonts w:hint="eastAsia" w:ascii="宋体" w:hAnsi="宋体" w:cs="宋体"/>
                <w:kern w:val="0"/>
                <w:sz w:val="24"/>
                <w:lang w:bidi="ar"/>
              </w:rPr>
              <w:t>跖趾关节肿胀、足趾上翘、拇趾外翻、跖骨脱</w:t>
            </w:r>
          </w:p>
        </w:tc>
      </w:tr>
      <w:tr w14:paraId="5D5FA35E">
        <w:tblPrEx>
          <w:tblCellMar>
            <w:top w:w="15" w:type="dxa"/>
            <w:left w:w="15" w:type="dxa"/>
            <w:bottom w:w="15" w:type="dxa"/>
            <w:right w:w="15" w:type="dxa"/>
          </w:tblCellMar>
        </w:tblPrEx>
        <w:trPr>
          <w:jc w:val="center"/>
        </w:trPr>
        <w:tc>
          <w:tcPr>
            <w:tcW w:w="743" w:type="dxa"/>
            <w:tcBorders>
              <w:top w:val="nil"/>
              <w:left w:val="nil"/>
              <w:bottom w:val="nil"/>
              <w:right w:val="nil"/>
            </w:tcBorders>
            <w:noWrap w:val="0"/>
            <w:tcMar>
              <w:top w:w="75" w:type="dxa"/>
              <w:left w:w="-1" w:type="dxa"/>
              <w:bottom w:w="75" w:type="dxa"/>
              <w:right w:w="120" w:type="dxa"/>
            </w:tcMar>
            <w:vAlign w:val="center"/>
          </w:tcPr>
          <w:p w14:paraId="66EFE6B6">
            <w:pPr>
              <w:widowControl/>
              <w:snapToGrid w:val="0"/>
              <w:jc w:val="center"/>
              <w:rPr>
                <w:rFonts w:hint="eastAsia" w:ascii="宋体" w:hAnsi="宋体" w:cs="宋体"/>
                <w:sz w:val="24"/>
              </w:rPr>
            </w:pPr>
            <w:r>
              <w:rPr>
                <w:rFonts w:hint="eastAsia" w:ascii="宋体" w:hAnsi="宋体" w:cs="宋体"/>
                <w:kern w:val="0"/>
                <w:sz w:val="24"/>
                <w:lang w:bidi="ar"/>
              </w:rPr>
              <w:t>8</w:t>
            </w:r>
          </w:p>
        </w:tc>
        <w:tc>
          <w:tcPr>
            <w:tcW w:w="1509" w:type="dxa"/>
            <w:tcBorders>
              <w:top w:val="nil"/>
              <w:left w:val="nil"/>
              <w:bottom w:val="nil"/>
              <w:right w:val="nil"/>
            </w:tcBorders>
            <w:noWrap w:val="0"/>
            <w:tcMar>
              <w:top w:w="75" w:type="dxa"/>
              <w:left w:w="120" w:type="dxa"/>
              <w:bottom w:w="75" w:type="dxa"/>
              <w:right w:w="120" w:type="dxa"/>
            </w:tcMar>
            <w:vAlign w:val="center"/>
          </w:tcPr>
          <w:p w14:paraId="0A06BBAD">
            <w:pPr>
              <w:widowControl/>
              <w:snapToGrid w:val="0"/>
              <w:jc w:val="center"/>
              <w:rPr>
                <w:rFonts w:hint="eastAsia" w:ascii="宋体" w:hAnsi="宋体" w:cs="宋体"/>
                <w:sz w:val="24"/>
              </w:rPr>
            </w:pPr>
            <w:r>
              <w:rPr>
                <w:rFonts w:hint="eastAsia" w:ascii="宋体" w:hAnsi="宋体" w:cs="宋体"/>
                <w:kern w:val="0"/>
                <w:sz w:val="24"/>
                <w:lang w:bidi="ar"/>
              </w:rPr>
              <w:t>颈椎受累</w:t>
            </w:r>
          </w:p>
        </w:tc>
        <w:tc>
          <w:tcPr>
            <w:tcW w:w="6270" w:type="dxa"/>
            <w:tcBorders>
              <w:top w:val="nil"/>
              <w:left w:val="nil"/>
              <w:bottom w:val="nil"/>
              <w:right w:val="nil"/>
            </w:tcBorders>
            <w:noWrap w:val="0"/>
            <w:tcMar>
              <w:top w:w="75" w:type="dxa"/>
              <w:left w:w="120" w:type="dxa"/>
              <w:bottom w:w="75" w:type="dxa"/>
              <w:right w:w="-1" w:type="dxa"/>
            </w:tcMar>
            <w:vAlign w:val="center"/>
          </w:tcPr>
          <w:p w14:paraId="5D1B9632">
            <w:pPr>
              <w:widowControl/>
              <w:snapToGrid w:val="0"/>
              <w:jc w:val="left"/>
              <w:rPr>
                <w:rFonts w:hint="eastAsia" w:ascii="宋体" w:hAnsi="宋体" w:cs="宋体"/>
                <w:sz w:val="24"/>
              </w:rPr>
            </w:pPr>
            <w:r>
              <w:rPr>
                <w:rFonts w:hint="eastAsia" w:ascii="宋体" w:hAnsi="宋体" w:cs="宋体"/>
                <w:kern w:val="0"/>
                <w:sz w:val="24"/>
                <w:lang w:bidi="ar"/>
              </w:rPr>
              <w:t>颈部疼痛、活动受限</w:t>
            </w:r>
          </w:p>
        </w:tc>
      </w:tr>
      <w:tr w14:paraId="62E36262">
        <w:tblPrEx>
          <w:tblCellMar>
            <w:top w:w="15" w:type="dxa"/>
            <w:left w:w="15" w:type="dxa"/>
            <w:bottom w:w="15" w:type="dxa"/>
            <w:right w:w="15" w:type="dxa"/>
          </w:tblCellMar>
        </w:tblPrEx>
        <w:trPr>
          <w:jc w:val="center"/>
        </w:trPr>
        <w:tc>
          <w:tcPr>
            <w:tcW w:w="743" w:type="dxa"/>
            <w:tcBorders>
              <w:top w:val="nil"/>
              <w:left w:val="nil"/>
              <w:bottom w:val="nil"/>
              <w:right w:val="nil"/>
            </w:tcBorders>
            <w:noWrap w:val="0"/>
            <w:tcMar>
              <w:top w:w="75" w:type="dxa"/>
              <w:left w:w="-1" w:type="dxa"/>
              <w:bottom w:w="75" w:type="dxa"/>
              <w:right w:w="120" w:type="dxa"/>
            </w:tcMar>
            <w:vAlign w:val="center"/>
          </w:tcPr>
          <w:p w14:paraId="7AEA8FC4">
            <w:pPr>
              <w:widowControl/>
              <w:snapToGrid w:val="0"/>
              <w:jc w:val="center"/>
              <w:rPr>
                <w:rFonts w:hint="eastAsia" w:ascii="宋体" w:hAnsi="宋体" w:cs="宋体"/>
                <w:sz w:val="24"/>
              </w:rPr>
            </w:pPr>
            <w:r>
              <w:rPr>
                <w:rFonts w:hint="eastAsia" w:ascii="宋体" w:hAnsi="宋体" w:cs="宋体"/>
                <w:kern w:val="0"/>
                <w:sz w:val="24"/>
                <w:lang w:bidi="ar"/>
              </w:rPr>
              <w:t>12</w:t>
            </w:r>
          </w:p>
        </w:tc>
        <w:tc>
          <w:tcPr>
            <w:tcW w:w="1509" w:type="dxa"/>
            <w:tcBorders>
              <w:top w:val="nil"/>
              <w:left w:val="nil"/>
              <w:bottom w:val="nil"/>
              <w:right w:val="nil"/>
            </w:tcBorders>
            <w:noWrap w:val="0"/>
            <w:tcMar>
              <w:top w:w="75" w:type="dxa"/>
              <w:left w:w="120" w:type="dxa"/>
              <w:bottom w:w="75" w:type="dxa"/>
              <w:right w:w="120" w:type="dxa"/>
            </w:tcMar>
            <w:vAlign w:val="center"/>
          </w:tcPr>
          <w:p w14:paraId="1A405246">
            <w:pPr>
              <w:widowControl/>
              <w:snapToGrid w:val="0"/>
              <w:jc w:val="center"/>
              <w:rPr>
                <w:rFonts w:hint="eastAsia" w:ascii="宋体" w:hAnsi="宋体" w:cs="宋体"/>
                <w:sz w:val="24"/>
              </w:rPr>
            </w:pPr>
            <w:r>
              <w:rPr>
                <w:rFonts w:hint="eastAsia" w:ascii="宋体" w:hAnsi="宋体" w:cs="宋体"/>
                <w:kern w:val="0"/>
                <w:sz w:val="24"/>
                <w:lang w:bidi="ar"/>
              </w:rPr>
              <w:t>类风湿结节</w:t>
            </w:r>
          </w:p>
        </w:tc>
        <w:tc>
          <w:tcPr>
            <w:tcW w:w="6270" w:type="dxa"/>
            <w:tcBorders>
              <w:top w:val="nil"/>
              <w:left w:val="nil"/>
              <w:bottom w:val="nil"/>
              <w:right w:val="nil"/>
            </w:tcBorders>
            <w:noWrap w:val="0"/>
            <w:tcMar>
              <w:top w:w="75" w:type="dxa"/>
              <w:left w:w="120" w:type="dxa"/>
              <w:bottom w:w="75" w:type="dxa"/>
              <w:right w:w="-1" w:type="dxa"/>
            </w:tcMar>
            <w:vAlign w:val="center"/>
          </w:tcPr>
          <w:p w14:paraId="172FA7F9">
            <w:pPr>
              <w:widowControl/>
              <w:snapToGrid w:val="0"/>
              <w:jc w:val="left"/>
              <w:rPr>
                <w:rFonts w:hint="eastAsia" w:ascii="宋体" w:hAnsi="宋体" w:cs="宋体"/>
                <w:sz w:val="24"/>
              </w:rPr>
            </w:pPr>
            <w:r>
              <w:rPr>
                <w:rFonts w:hint="eastAsia" w:ascii="宋体" w:hAnsi="宋体" w:cs="宋体"/>
                <w:kern w:val="0"/>
                <w:sz w:val="24"/>
                <w:lang w:bidi="ar"/>
              </w:rPr>
              <w:t>圆形硬结，多见于关节周围骨突部位（鹰嘴突下方、前臂伸肌皮面、后枕部、坐骨结节等），直径0.2～3.0cm，无明显触痛，出现常提示疾病高度活动及全身并发症</w:t>
            </w:r>
          </w:p>
        </w:tc>
      </w:tr>
      <w:tr w14:paraId="560CFBD5">
        <w:tblPrEx>
          <w:tblCellMar>
            <w:top w:w="15" w:type="dxa"/>
            <w:left w:w="15" w:type="dxa"/>
            <w:bottom w:w="15" w:type="dxa"/>
            <w:right w:w="15" w:type="dxa"/>
          </w:tblCellMar>
        </w:tblPrEx>
        <w:trPr>
          <w:jc w:val="center"/>
        </w:trPr>
        <w:tc>
          <w:tcPr>
            <w:tcW w:w="743" w:type="dxa"/>
            <w:tcBorders>
              <w:top w:val="nil"/>
              <w:left w:val="nil"/>
              <w:bottom w:val="nil"/>
              <w:right w:val="nil"/>
            </w:tcBorders>
            <w:noWrap w:val="0"/>
            <w:tcMar>
              <w:top w:w="75" w:type="dxa"/>
              <w:left w:w="-1" w:type="dxa"/>
              <w:bottom w:w="75" w:type="dxa"/>
              <w:right w:w="120" w:type="dxa"/>
            </w:tcMar>
            <w:vAlign w:val="center"/>
          </w:tcPr>
          <w:p w14:paraId="5D6DD823">
            <w:pPr>
              <w:widowControl/>
              <w:snapToGrid w:val="0"/>
              <w:jc w:val="center"/>
              <w:rPr>
                <w:rFonts w:hint="eastAsia" w:ascii="宋体" w:hAnsi="宋体" w:cs="宋体"/>
                <w:sz w:val="24"/>
              </w:rPr>
            </w:pPr>
            <w:r>
              <w:rPr>
                <w:rFonts w:hint="eastAsia" w:ascii="宋体" w:hAnsi="宋体" w:cs="宋体"/>
                <w:kern w:val="0"/>
                <w:sz w:val="24"/>
                <w:lang w:bidi="ar"/>
              </w:rPr>
              <w:t>14</w:t>
            </w:r>
          </w:p>
        </w:tc>
        <w:tc>
          <w:tcPr>
            <w:tcW w:w="1509" w:type="dxa"/>
            <w:tcBorders>
              <w:top w:val="nil"/>
              <w:left w:val="nil"/>
              <w:bottom w:val="nil"/>
              <w:right w:val="nil"/>
            </w:tcBorders>
            <w:noWrap w:val="0"/>
            <w:tcMar>
              <w:top w:w="75" w:type="dxa"/>
              <w:left w:w="120" w:type="dxa"/>
              <w:bottom w:w="75" w:type="dxa"/>
              <w:right w:w="120" w:type="dxa"/>
            </w:tcMar>
            <w:vAlign w:val="center"/>
          </w:tcPr>
          <w:p w14:paraId="1693CEAB">
            <w:pPr>
              <w:widowControl/>
              <w:snapToGrid w:val="0"/>
              <w:jc w:val="center"/>
              <w:rPr>
                <w:rFonts w:hint="eastAsia" w:ascii="宋体" w:hAnsi="宋体" w:cs="宋体"/>
                <w:sz w:val="24"/>
              </w:rPr>
            </w:pPr>
            <w:r>
              <w:rPr>
                <w:rFonts w:hint="eastAsia" w:ascii="宋体" w:hAnsi="宋体" w:cs="宋体"/>
                <w:kern w:val="0"/>
                <w:sz w:val="24"/>
                <w:lang w:bidi="ar"/>
              </w:rPr>
              <w:t>心脏损害</w:t>
            </w:r>
          </w:p>
        </w:tc>
        <w:tc>
          <w:tcPr>
            <w:tcW w:w="6270" w:type="dxa"/>
            <w:tcBorders>
              <w:top w:val="nil"/>
              <w:left w:val="nil"/>
              <w:bottom w:val="nil"/>
              <w:right w:val="nil"/>
            </w:tcBorders>
            <w:noWrap w:val="0"/>
            <w:tcMar>
              <w:top w:w="75" w:type="dxa"/>
              <w:left w:w="120" w:type="dxa"/>
              <w:bottom w:w="75" w:type="dxa"/>
              <w:right w:w="-1" w:type="dxa"/>
            </w:tcMar>
            <w:vAlign w:val="center"/>
          </w:tcPr>
          <w:p w14:paraId="65F05DCF">
            <w:pPr>
              <w:widowControl/>
              <w:snapToGrid w:val="0"/>
              <w:jc w:val="left"/>
              <w:rPr>
                <w:rFonts w:hint="eastAsia" w:ascii="宋体" w:hAnsi="宋体" w:cs="宋体"/>
                <w:sz w:val="24"/>
              </w:rPr>
            </w:pPr>
            <w:r>
              <w:rPr>
                <w:rFonts w:hint="eastAsia" w:ascii="宋体" w:hAnsi="宋体" w:cs="宋体"/>
                <w:kern w:val="0"/>
                <w:sz w:val="24"/>
                <w:lang w:bidi="ar"/>
              </w:rPr>
              <w:t>心包炎（最常见，尸检发生率约40%）、心肌局灶性或间质性炎性浸润、瓣膜纤维化/硬化（二尖瓣、主动脉瓣关闭不全或狭窄），临床检出率低</w:t>
            </w:r>
          </w:p>
        </w:tc>
      </w:tr>
      <w:tr w14:paraId="3053CF66">
        <w:tblPrEx>
          <w:tblCellMar>
            <w:top w:w="15" w:type="dxa"/>
            <w:left w:w="15" w:type="dxa"/>
            <w:bottom w:w="15" w:type="dxa"/>
            <w:right w:w="15" w:type="dxa"/>
          </w:tblCellMar>
        </w:tblPrEx>
        <w:trPr>
          <w:jc w:val="center"/>
        </w:trPr>
        <w:tc>
          <w:tcPr>
            <w:tcW w:w="743" w:type="dxa"/>
            <w:tcBorders>
              <w:top w:val="nil"/>
              <w:left w:val="nil"/>
              <w:bottom w:val="nil"/>
              <w:right w:val="nil"/>
            </w:tcBorders>
            <w:noWrap w:val="0"/>
            <w:tcMar>
              <w:top w:w="75" w:type="dxa"/>
              <w:left w:w="-1" w:type="dxa"/>
              <w:bottom w:w="75" w:type="dxa"/>
              <w:right w:w="120" w:type="dxa"/>
            </w:tcMar>
            <w:vAlign w:val="center"/>
          </w:tcPr>
          <w:p w14:paraId="7A21781D">
            <w:pPr>
              <w:widowControl/>
              <w:snapToGrid w:val="0"/>
              <w:jc w:val="center"/>
              <w:rPr>
                <w:rFonts w:hint="eastAsia" w:ascii="宋体" w:hAnsi="宋体" w:cs="宋体"/>
                <w:sz w:val="24"/>
              </w:rPr>
            </w:pPr>
            <w:r>
              <w:rPr>
                <w:rFonts w:hint="eastAsia" w:ascii="宋体" w:hAnsi="宋体" w:cs="宋体"/>
                <w:kern w:val="0"/>
                <w:sz w:val="24"/>
                <w:lang w:bidi="ar"/>
              </w:rPr>
              <w:t>15</w:t>
            </w:r>
          </w:p>
        </w:tc>
        <w:tc>
          <w:tcPr>
            <w:tcW w:w="1509" w:type="dxa"/>
            <w:tcBorders>
              <w:top w:val="nil"/>
              <w:left w:val="nil"/>
              <w:bottom w:val="nil"/>
              <w:right w:val="nil"/>
            </w:tcBorders>
            <w:noWrap w:val="0"/>
            <w:tcMar>
              <w:top w:w="75" w:type="dxa"/>
              <w:left w:w="120" w:type="dxa"/>
              <w:bottom w:w="75" w:type="dxa"/>
              <w:right w:w="120" w:type="dxa"/>
            </w:tcMar>
            <w:vAlign w:val="center"/>
          </w:tcPr>
          <w:p w14:paraId="28EB64A0">
            <w:pPr>
              <w:widowControl/>
              <w:snapToGrid w:val="0"/>
              <w:jc w:val="center"/>
              <w:rPr>
                <w:rFonts w:hint="eastAsia" w:ascii="宋体" w:hAnsi="宋体" w:cs="宋体"/>
                <w:sz w:val="24"/>
              </w:rPr>
            </w:pPr>
            <w:r>
              <w:rPr>
                <w:rFonts w:hint="eastAsia" w:ascii="宋体" w:hAnsi="宋体" w:cs="宋体"/>
                <w:kern w:val="0"/>
                <w:sz w:val="24"/>
                <w:lang w:bidi="ar"/>
              </w:rPr>
              <w:t>肺部表现</w:t>
            </w:r>
          </w:p>
        </w:tc>
        <w:tc>
          <w:tcPr>
            <w:tcW w:w="6270" w:type="dxa"/>
            <w:tcBorders>
              <w:top w:val="nil"/>
              <w:left w:val="nil"/>
              <w:bottom w:val="nil"/>
              <w:right w:val="nil"/>
            </w:tcBorders>
            <w:noWrap w:val="0"/>
            <w:tcMar>
              <w:top w:w="75" w:type="dxa"/>
              <w:left w:w="120" w:type="dxa"/>
              <w:bottom w:w="75" w:type="dxa"/>
              <w:right w:w="-1" w:type="dxa"/>
            </w:tcMar>
            <w:vAlign w:val="center"/>
          </w:tcPr>
          <w:p w14:paraId="59D0720A">
            <w:pPr>
              <w:widowControl/>
              <w:snapToGrid w:val="0"/>
              <w:jc w:val="left"/>
              <w:rPr>
                <w:rFonts w:hint="eastAsia" w:ascii="宋体" w:hAnsi="宋体" w:cs="宋体"/>
                <w:sz w:val="24"/>
              </w:rPr>
            </w:pPr>
            <w:r>
              <w:rPr>
                <w:rFonts w:hint="eastAsia" w:ascii="宋体" w:hAnsi="宋体" w:cs="宋体"/>
                <w:kern w:val="0"/>
                <w:sz w:val="24"/>
                <w:lang w:bidi="ar"/>
              </w:rPr>
              <w:t>慢性间质性肺炎（可发展为弥漫性肺间质纤维</w:t>
            </w:r>
          </w:p>
        </w:tc>
      </w:tr>
      <w:tr w14:paraId="4EEE21A8">
        <w:tblPrEx>
          <w:tblCellMar>
            <w:top w:w="15" w:type="dxa"/>
            <w:left w:w="15" w:type="dxa"/>
            <w:bottom w:w="15" w:type="dxa"/>
            <w:right w:w="15" w:type="dxa"/>
          </w:tblCellMar>
        </w:tblPrEx>
        <w:trPr>
          <w:jc w:val="center"/>
        </w:trPr>
        <w:tc>
          <w:tcPr>
            <w:tcW w:w="743" w:type="dxa"/>
            <w:tcBorders>
              <w:top w:val="nil"/>
              <w:left w:val="nil"/>
              <w:bottom w:val="nil"/>
              <w:right w:val="nil"/>
            </w:tcBorders>
            <w:noWrap w:val="0"/>
            <w:tcMar>
              <w:top w:w="75" w:type="dxa"/>
              <w:left w:w="-1" w:type="dxa"/>
              <w:bottom w:w="75" w:type="dxa"/>
              <w:right w:w="120" w:type="dxa"/>
            </w:tcMar>
            <w:vAlign w:val="center"/>
          </w:tcPr>
          <w:p w14:paraId="6F4211BF">
            <w:pPr>
              <w:widowControl/>
              <w:snapToGrid w:val="0"/>
              <w:jc w:val="center"/>
              <w:rPr>
                <w:rFonts w:hint="eastAsia" w:ascii="宋体" w:hAnsi="宋体" w:cs="宋体"/>
                <w:sz w:val="24"/>
              </w:rPr>
            </w:pPr>
            <w:r>
              <w:rPr>
                <w:rFonts w:hint="eastAsia" w:ascii="宋体" w:hAnsi="宋体" w:cs="宋体"/>
                <w:kern w:val="0"/>
                <w:sz w:val="24"/>
                <w:lang w:bidi="ar"/>
              </w:rPr>
              <w:t>18</w:t>
            </w:r>
          </w:p>
        </w:tc>
        <w:tc>
          <w:tcPr>
            <w:tcW w:w="1509" w:type="dxa"/>
            <w:tcBorders>
              <w:top w:val="nil"/>
              <w:left w:val="nil"/>
              <w:bottom w:val="nil"/>
              <w:right w:val="nil"/>
            </w:tcBorders>
            <w:noWrap w:val="0"/>
            <w:tcMar>
              <w:top w:w="75" w:type="dxa"/>
              <w:left w:w="120" w:type="dxa"/>
              <w:bottom w:w="75" w:type="dxa"/>
              <w:right w:w="120" w:type="dxa"/>
            </w:tcMar>
            <w:vAlign w:val="center"/>
          </w:tcPr>
          <w:p w14:paraId="757F3583">
            <w:pPr>
              <w:widowControl/>
              <w:snapToGrid w:val="0"/>
              <w:jc w:val="center"/>
              <w:rPr>
                <w:rFonts w:hint="eastAsia" w:ascii="宋体" w:hAnsi="宋体" w:cs="宋体"/>
                <w:sz w:val="24"/>
              </w:rPr>
            </w:pPr>
            <w:r>
              <w:rPr>
                <w:rFonts w:hint="eastAsia" w:ascii="宋体" w:hAnsi="宋体" w:cs="宋体"/>
                <w:kern w:val="0"/>
                <w:sz w:val="24"/>
                <w:lang w:bidi="ar"/>
              </w:rPr>
              <w:t>眼部表现</w:t>
            </w:r>
          </w:p>
        </w:tc>
        <w:tc>
          <w:tcPr>
            <w:tcW w:w="6270" w:type="dxa"/>
            <w:tcBorders>
              <w:top w:val="nil"/>
              <w:left w:val="nil"/>
              <w:bottom w:val="nil"/>
              <w:right w:val="nil"/>
            </w:tcBorders>
            <w:noWrap w:val="0"/>
            <w:tcMar>
              <w:top w:w="75" w:type="dxa"/>
              <w:left w:w="120" w:type="dxa"/>
              <w:bottom w:w="75" w:type="dxa"/>
              <w:right w:w="-1" w:type="dxa"/>
            </w:tcMar>
            <w:vAlign w:val="center"/>
          </w:tcPr>
          <w:p w14:paraId="626BD00D">
            <w:pPr>
              <w:widowControl/>
              <w:snapToGrid w:val="0"/>
              <w:jc w:val="left"/>
              <w:rPr>
                <w:rFonts w:hint="eastAsia" w:ascii="宋体" w:hAnsi="宋体" w:cs="宋体"/>
                <w:sz w:val="24"/>
              </w:rPr>
            </w:pPr>
            <w:r>
              <w:rPr>
                <w:rFonts w:hint="eastAsia" w:ascii="宋体" w:hAnsi="宋体" w:cs="宋体"/>
                <w:kern w:val="0"/>
                <w:sz w:val="24"/>
                <w:lang w:bidi="ar"/>
              </w:rPr>
              <w:t>巩膜炎、虹膜炎、巩膜软化穿孔（严重）、角</w:t>
            </w:r>
          </w:p>
        </w:tc>
      </w:tr>
      <w:tr w14:paraId="581D246E">
        <w:tblPrEx>
          <w:tblCellMar>
            <w:top w:w="15" w:type="dxa"/>
            <w:left w:w="15" w:type="dxa"/>
            <w:bottom w:w="15" w:type="dxa"/>
            <w:right w:w="15" w:type="dxa"/>
          </w:tblCellMar>
        </w:tblPrEx>
        <w:trPr>
          <w:jc w:val="center"/>
        </w:trPr>
        <w:tc>
          <w:tcPr>
            <w:tcW w:w="743" w:type="dxa"/>
            <w:tcBorders>
              <w:top w:val="nil"/>
              <w:left w:val="nil"/>
              <w:bottom w:val="single" w:color="auto" w:sz="12" w:space="0"/>
              <w:right w:val="nil"/>
            </w:tcBorders>
            <w:noWrap w:val="0"/>
            <w:tcMar>
              <w:top w:w="75" w:type="dxa"/>
              <w:left w:w="-1" w:type="dxa"/>
              <w:bottom w:w="75" w:type="dxa"/>
              <w:right w:w="120" w:type="dxa"/>
            </w:tcMar>
            <w:vAlign w:val="center"/>
          </w:tcPr>
          <w:p w14:paraId="4B19D6DC">
            <w:pPr>
              <w:widowControl/>
              <w:snapToGrid w:val="0"/>
              <w:jc w:val="center"/>
              <w:rPr>
                <w:rFonts w:hint="eastAsia" w:ascii="宋体" w:hAnsi="宋体" w:cs="宋体"/>
                <w:sz w:val="24"/>
              </w:rPr>
            </w:pPr>
            <w:r>
              <w:rPr>
                <w:rFonts w:hint="eastAsia" w:ascii="宋体" w:hAnsi="宋体" w:cs="宋体"/>
                <w:kern w:val="0"/>
                <w:sz w:val="24"/>
                <w:lang w:bidi="ar"/>
              </w:rPr>
              <w:t>19</w:t>
            </w:r>
          </w:p>
        </w:tc>
        <w:tc>
          <w:tcPr>
            <w:tcW w:w="1509" w:type="dxa"/>
            <w:tcBorders>
              <w:top w:val="nil"/>
              <w:left w:val="nil"/>
              <w:bottom w:val="single" w:color="auto" w:sz="12" w:space="0"/>
              <w:right w:val="nil"/>
            </w:tcBorders>
            <w:noWrap w:val="0"/>
            <w:tcMar>
              <w:top w:w="75" w:type="dxa"/>
              <w:left w:w="120" w:type="dxa"/>
              <w:bottom w:w="75" w:type="dxa"/>
              <w:right w:w="120" w:type="dxa"/>
            </w:tcMar>
            <w:vAlign w:val="center"/>
          </w:tcPr>
          <w:p w14:paraId="10F92CAB">
            <w:pPr>
              <w:widowControl/>
              <w:snapToGrid w:val="0"/>
              <w:jc w:val="center"/>
              <w:rPr>
                <w:rFonts w:hint="eastAsia" w:ascii="宋体" w:hAnsi="宋体" w:cs="宋体"/>
                <w:sz w:val="24"/>
              </w:rPr>
            </w:pPr>
            <w:r>
              <w:rPr>
                <w:rFonts w:hint="eastAsia" w:ascii="宋体" w:hAnsi="宋体" w:cs="宋体"/>
                <w:kern w:val="0"/>
                <w:sz w:val="24"/>
                <w:lang w:bidi="ar"/>
              </w:rPr>
              <w:t>血液系统改变</w:t>
            </w:r>
          </w:p>
        </w:tc>
        <w:tc>
          <w:tcPr>
            <w:tcW w:w="6270" w:type="dxa"/>
            <w:tcBorders>
              <w:top w:val="nil"/>
              <w:left w:val="nil"/>
              <w:bottom w:val="single" w:color="auto" w:sz="12" w:space="0"/>
              <w:right w:val="nil"/>
            </w:tcBorders>
            <w:noWrap w:val="0"/>
            <w:tcMar>
              <w:top w:w="75" w:type="dxa"/>
              <w:left w:w="120" w:type="dxa"/>
              <w:bottom w:w="75" w:type="dxa"/>
              <w:right w:w="-1" w:type="dxa"/>
            </w:tcMar>
            <w:vAlign w:val="center"/>
          </w:tcPr>
          <w:p w14:paraId="71570905">
            <w:pPr>
              <w:widowControl/>
              <w:snapToGrid w:val="0"/>
              <w:jc w:val="left"/>
              <w:rPr>
                <w:rFonts w:hint="eastAsia" w:ascii="宋体" w:hAnsi="宋体" w:cs="宋体"/>
                <w:sz w:val="24"/>
              </w:rPr>
            </w:pPr>
            <w:r>
              <w:rPr>
                <w:rFonts w:hint="eastAsia" w:ascii="宋体" w:hAnsi="宋体" w:cs="宋体"/>
                <w:kern w:val="0"/>
                <w:sz w:val="24"/>
                <w:lang w:bidi="ar"/>
              </w:rPr>
              <w:t>正细胞正色素性贫血（最常见）、小细胞低色</w:t>
            </w:r>
          </w:p>
        </w:tc>
      </w:tr>
    </w:tbl>
    <w:p w14:paraId="14A777AF">
      <w:pPr>
        <w:pStyle w:val="9"/>
        <w:widowControl/>
        <w:shd w:val="clear" w:color="auto" w:fill="FFFFFF"/>
        <w:spacing w:before="120" w:beforeAutospacing="0" w:after="120" w:afterAutospacing="0" w:line="360" w:lineRule="auto"/>
        <w:ind w:firstLine="482" w:firstLineChars="200"/>
        <w:rPr>
          <w:rFonts w:hint="eastAsia" w:ascii="宋体" w:hAnsi="宋体" w:cs="宋体"/>
          <w:color w:val="0F1115"/>
        </w:rPr>
      </w:pPr>
      <w:r>
        <w:rPr>
          <w:rStyle w:val="12"/>
          <w:rFonts w:hint="eastAsia" w:ascii="宋体" w:hAnsi="宋体" w:cs="宋体"/>
          <w:bCs/>
          <w:color w:val="0F1115"/>
          <w:shd w:val="clear" w:color="auto" w:fill="FFFFFF"/>
        </w:rPr>
        <w:t>附注</w:t>
      </w:r>
      <w:r>
        <w:rPr>
          <w:rFonts w:hint="eastAsia" w:ascii="宋体" w:hAnsi="宋体" w:cs="宋体"/>
          <w:color w:val="0F1115"/>
          <w:shd w:val="clear" w:color="auto" w:fill="FFFFFF"/>
        </w:rPr>
        <w:t>：关节外表现是RA患者预后不良的重要标志，出现上述关节外表现者应早期识别、积极干预、密切随访。类风湿结节、血管炎、间质性肺病、Felty综合征等均提示预后较差。</w:t>
      </w:r>
    </w:p>
    <w:p w14:paraId="56CDDB91">
      <w:pPr>
        <w:pStyle w:val="2"/>
        <w:keepNext/>
        <w:keepLines/>
        <w:spacing w:before="10" w:beforeAutospacing="0" w:after="10" w:afterAutospacing="0" w:line="360" w:lineRule="auto"/>
        <w:jc w:val="center"/>
        <w:rPr>
          <w:rFonts w:ascii="黑体" w:hAnsi="黑体" w:eastAsia="黑体" w:cs="黑体"/>
          <w:b w:val="0"/>
          <w:sz w:val="21"/>
          <w:szCs w:val="21"/>
        </w:rPr>
      </w:pPr>
      <w:r>
        <w:rPr>
          <w:rFonts w:ascii="黑体" w:hAnsi="黑体" w:eastAsia="黑体" w:cs="黑体"/>
          <w:b w:val="0"/>
          <w:sz w:val="21"/>
          <w:szCs w:val="21"/>
        </w:rPr>
        <w:t>附录B</w:t>
      </w:r>
    </w:p>
    <w:p w14:paraId="0E77233A">
      <w:pPr>
        <w:pStyle w:val="9"/>
        <w:widowControl/>
        <w:shd w:val="clear" w:color="auto" w:fill="FFFFFF"/>
        <w:spacing w:before="120" w:beforeAutospacing="0" w:after="120" w:afterAutospacing="0" w:line="360" w:lineRule="auto"/>
        <w:ind w:firstLine="482" w:firstLineChars="200"/>
        <w:rPr>
          <w:rFonts w:hint="eastAsia" w:ascii="宋体" w:hAnsi="宋体" w:cs="宋体"/>
          <w:color w:val="0F1115"/>
        </w:rPr>
      </w:pPr>
      <w:r>
        <w:rPr>
          <w:rStyle w:val="12"/>
          <w:rFonts w:hint="eastAsia" w:ascii="宋体" w:hAnsi="宋体" w:cs="宋体"/>
          <w:bCs/>
          <w:color w:val="0F1115"/>
          <w:shd w:val="clear" w:color="auto" w:fill="FFFFFF"/>
        </w:rPr>
        <w:t>表B.1 1987年ACR类风湿关节炎分类标准（修订版）</w:t>
      </w:r>
    </w:p>
    <w:tbl>
      <w:tblPr>
        <w:tblStyle w:val="10"/>
        <w:tblW w:w="8426" w:type="dxa"/>
        <w:jc w:val="center"/>
        <w:tblLayout w:type="autofit"/>
        <w:tblCellMar>
          <w:top w:w="15" w:type="dxa"/>
          <w:left w:w="15" w:type="dxa"/>
          <w:bottom w:w="15" w:type="dxa"/>
          <w:right w:w="15" w:type="dxa"/>
        </w:tblCellMar>
      </w:tblPr>
      <w:tblGrid>
        <w:gridCol w:w="1512"/>
        <w:gridCol w:w="6914"/>
      </w:tblGrid>
      <w:tr w14:paraId="3621A8E7">
        <w:tblPrEx>
          <w:tblCellMar>
            <w:top w:w="15" w:type="dxa"/>
            <w:left w:w="15" w:type="dxa"/>
            <w:bottom w:w="15" w:type="dxa"/>
            <w:right w:w="15" w:type="dxa"/>
          </w:tblCellMar>
        </w:tblPrEx>
        <w:trPr>
          <w:tblHeader/>
          <w:jc w:val="center"/>
        </w:trPr>
        <w:tc>
          <w:tcPr>
            <w:tcBorders>
              <w:top w:val="single" w:color="auto" w:sz="12" w:space="0"/>
              <w:left w:val="nil"/>
              <w:bottom w:val="nil"/>
              <w:right w:val="nil"/>
            </w:tcBorders>
            <w:noWrap w:val="0"/>
            <w:tcMar>
              <w:top w:w="75" w:type="dxa"/>
              <w:left w:w="-1" w:type="dxa"/>
              <w:bottom w:w="75" w:type="dxa"/>
              <w:right w:w="120" w:type="dxa"/>
            </w:tcMar>
            <w:vAlign w:val="center"/>
          </w:tcPr>
          <w:p w14:paraId="1856FE33">
            <w:pPr>
              <w:widowControl/>
              <w:snapToGrid w:val="0"/>
              <w:jc w:val="center"/>
              <w:rPr>
                <w:rFonts w:hint="eastAsia" w:ascii="宋体" w:hAnsi="宋体" w:cs="宋体"/>
                <w:b/>
                <w:sz w:val="24"/>
              </w:rPr>
            </w:pPr>
            <w:r>
              <w:rPr>
                <w:rStyle w:val="12"/>
                <w:rFonts w:hint="eastAsia" w:ascii="宋体" w:hAnsi="宋体" w:cs="宋体"/>
                <w:bCs/>
                <w:kern w:val="0"/>
                <w:sz w:val="24"/>
                <w:lang w:bidi="ar"/>
              </w:rPr>
              <w:t>标准</w:t>
            </w:r>
          </w:p>
        </w:tc>
        <w:tc>
          <w:tcPr>
            <w:tcW w:w="6914" w:type="dxa"/>
            <w:tcBorders>
              <w:top w:val="single" w:color="auto" w:sz="12" w:space="0"/>
              <w:left w:val="nil"/>
              <w:bottom w:val="nil"/>
              <w:right w:val="nil"/>
            </w:tcBorders>
            <w:noWrap w:val="0"/>
            <w:tcMar>
              <w:top w:w="75" w:type="dxa"/>
              <w:left w:w="120" w:type="dxa"/>
              <w:bottom w:w="75" w:type="dxa"/>
              <w:right w:w="120" w:type="dxa"/>
            </w:tcMar>
            <w:vAlign w:val="center"/>
          </w:tcPr>
          <w:p w14:paraId="4073915E">
            <w:pPr>
              <w:widowControl/>
              <w:snapToGrid w:val="0"/>
              <w:jc w:val="center"/>
              <w:rPr>
                <w:rFonts w:hint="eastAsia" w:ascii="宋体" w:hAnsi="宋体" w:cs="宋体"/>
                <w:b/>
                <w:sz w:val="24"/>
              </w:rPr>
            </w:pPr>
            <w:r>
              <w:rPr>
                <w:rStyle w:val="12"/>
                <w:rFonts w:hint="eastAsia" w:ascii="宋体" w:hAnsi="宋体" w:cs="宋体"/>
                <w:bCs/>
                <w:kern w:val="0"/>
                <w:sz w:val="24"/>
                <w:lang w:bidi="ar"/>
              </w:rPr>
              <w:t>定义</w:t>
            </w:r>
          </w:p>
        </w:tc>
      </w:tr>
      <w:tr w14:paraId="276C90F2">
        <w:tblPrEx>
          <w:tblCellMar>
            <w:top w:w="15" w:type="dxa"/>
            <w:left w:w="15" w:type="dxa"/>
            <w:bottom w:w="15" w:type="dxa"/>
            <w:right w:w="15" w:type="dxa"/>
          </w:tblCellMar>
        </w:tblPrEx>
        <w:trPr>
          <w:jc w:val="center"/>
        </w:trPr>
        <w:tc>
          <w:tcPr>
            <w:tcBorders>
              <w:top w:val="single" w:color="auto" w:sz="4" w:space="0"/>
              <w:left w:val="nil"/>
              <w:bottom w:val="nil"/>
              <w:right w:val="nil"/>
            </w:tcBorders>
            <w:noWrap w:val="0"/>
            <w:tcMar>
              <w:top w:w="75" w:type="dxa"/>
              <w:left w:w="-1" w:type="dxa"/>
              <w:bottom w:w="75" w:type="dxa"/>
              <w:right w:w="120" w:type="dxa"/>
            </w:tcMar>
            <w:vAlign w:val="center"/>
          </w:tcPr>
          <w:p w14:paraId="0AAEC84E">
            <w:pPr>
              <w:widowControl/>
              <w:snapToGrid w:val="0"/>
              <w:jc w:val="center"/>
              <w:rPr>
                <w:rFonts w:hint="eastAsia" w:ascii="宋体" w:hAnsi="宋体" w:cs="宋体"/>
                <w:sz w:val="24"/>
              </w:rPr>
            </w:pPr>
            <w:r>
              <w:rPr>
                <w:rStyle w:val="12"/>
                <w:rFonts w:hint="eastAsia" w:ascii="宋体" w:hAnsi="宋体" w:cs="宋体"/>
                <w:bCs/>
                <w:kern w:val="0"/>
                <w:sz w:val="24"/>
                <w:lang w:bidi="ar"/>
              </w:rPr>
              <w:t>1.晨僵</w:t>
            </w:r>
          </w:p>
        </w:tc>
        <w:tc>
          <w:tcPr>
            <w:tcW w:w="6914" w:type="dxa"/>
            <w:tcBorders>
              <w:top w:val="single" w:color="auto" w:sz="4" w:space="0"/>
              <w:left w:val="nil"/>
              <w:bottom w:val="nil"/>
              <w:right w:val="nil"/>
            </w:tcBorders>
            <w:noWrap w:val="0"/>
            <w:tcMar>
              <w:top w:w="75" w:type="dxa"/>
              <w:left w:w="120" w:type="dxa"/>
              <w:bottom w:w="75" w:type="dxa"/>
              <w:right w:w="-1" w:type="dxa"/>
            </w:tcMar>
            <w:vAlign w:val="center"/>
          </w:tcPr>
          <w:p w14:paraId="07B7AB28">
            <w:pPr>
              <w:widowControl/>
              <w:snapToGrid w:val="0"/>
              <w:jc w:val="center"/>
              <w:rPr>
                <w:rFonts w:hint="eastAsia" w:ascii="宋体" w:hAnsi="宋体" w:cs="宋体"/>
                <w:sz w:val="24"/>
              </w:rPr>
            </w:pPr>
            <w:r>
              <w:rPr>
                <w:rFonts w:hint="eastAsia" w:ascii="宋体" w:hAnsi="宋体" w:cs="宋体"/>
                <w:kern w:val="0"/>
                <w:sz w:val="24"/>
                <w:lang w:bidi="ar"/>
              </w:rPr>
              <w:t>关节及其周围晨僵，持续至少1小时，达到最大改善前持续时间≥6周</w:t>
            </w:r>
          </w:p>
        </w:tc>
      </w:tr>
      <w:tr w14:paraId="2FF896EC">
        <w:tblPrEx>
          <w:tblCellMar>
            <w:top w:w="15" w:type="dxa"/>
            <w:left w:w="15" w:type="dxa"/>
            <w:bottom w:w="15" w:type="dxa"/>
            <w:right w:w="15" w:type="dxa"/>
          </w:tblCellMar>
        </w:tblPrEx>
        <w:trPr>
          <w:jc w:val="center"/>
        </w:trPr>
        <w:tc>
          <w:tcPr>
            <w:tcBorders>
              <w:top w:val="nil"/>
              <w:left w:val="nil"/>
              <w:bottom w:val="nil"/>
              <w:right w:val="nil"/>
            </w:tcBorders>
            <w:noWrap w:val="0"/>
            <w:tcMar>
              <w:top w:w="75" w:type="dxa"/>
              <w:left w:w="-1" w:type="dxa"/>
              <w:bottom w:w="75" w:type="dxa"/>
              <w:right w:w="120" w:type="dxa"/>
            </w:tcMar>
            <w:vAlign w:val="center"/>
          </w:tcPr>
          <w:p w14:paraId="64571E32">
            <w:pPr>
              <w:widowControl/>
              <w:snapToGrid w:val="0"/>
              <w:jc w:val="center"/>
              <w:rPr>
                <w:rFonts w:hint="eastAsia" w:ascii="宋体" w:hAnsi="宋体" w:cs="宋体"/>
                <w:sz w:val="24"/>
              </w:rPr>
            </w:pPr>
            <w:r>
              <w:rPr>
                <w:rStyle w:val="12"/>
                <w:rFonts w:hint="eastAsia" w:ascii="宋体" w:hAnsi="宋体" w:cs="宋体"/>
                <w:bCs/>
                <w:kern w:val="0"/>
                <w:sz w:val="24"/>
                <w:lang w:bidi="ar"/>
              </w:rPr>
              <w:t>2.关节炎（≥3个关节区）</w:t>
            </w:r>
          </w:p>
        </w:tc>
        <w:tc>
          <w:tcPr>
            <w:tcW w:w="6914" w:type="dxa"/>
            <w:tcBorders>
              <w:top w:val="nil"/>
              <w:left w:val="nil"/>
              <w:bottom w:val="nil"/>
              <w:right w:val="nil"/>
            </w:tcBorders>
            <w:noWrap w:val="0"/>
            <w:tcMar>
              <w:top w:w="75" w:type="dxa"/>
              <w:left w:w="120" w:type="dxa"/>
              <w:bottom w:w="75" w:type="dxa"/>
              <w:right w:w="-1" w:type="dxa"/>
            </w:tcMar>
            <w:vAlign w:val="center"/>
          </w:tcPr>
          <w:p w14:paraId="74D4F082">
            <w:pPr>
              <w:widowControl/>
              <w:snapToGrid w:val="0"/>
              <w:jc w:val="center"/>
              <w:rPr>
                <w:rFonts w:hint="eastAsia" w:ascii="宋体" w:hAnsi="宋体" w:cs="宋体"/>
                <w:sz w:val="24"/>
              </w:rPr>
            </w:pPr>
            <w:r>
              <w:rPr>
                <w:rFonts w:hint="eastAsia" w:ascii="宋体" w:hAnsi="宋体" w:cs="宋体"/>
                <w:kern w:val="0"/>
                <w:sz w:val="24"/>
                <w:lang w:bidi="ar"/>
              </w:rPr>
              <w:t>至少3个关节区同时出现软组织肿胀或积液（非骨性增生），由医师观察确认，持续≥6周。</w:t>
            </w:r>
          </w:p>
        </w:tc>
      </w:tr>
      <w:tr w14:paraId="235019A5">
        <w:tblPrEx>
          <w:tblCellMar>
            <w:top w:w="15" w:type="dxa"/>
            <w:left w:w="15" w:type="dxa"/>
            <w:bottom w:w="15" w:type="dxa"/>
            <w:right w:w="15" w:type="dxa"/>
          </w:tblCellMar>
        </w:tblPrEx>
        <w:trPr>
          <w:jc w:val="center"/>
        </w:trPr>
        <w:tc>
          <w:tcPr>
            <w:tcBorders>
              <w:top w:val="nil"/>
              <w:left w:val="nil"/>
              <w:bottom w:val="nil"/>
              <w:right w:val="nil"/>
            </w:tcBorders>
            <w:noWrap w:val="0"/>
            <w:tcMar>
              <w:top w:w="75" w:type="dxa"/>
              <w:left w:w="-1" w:type="dxa"/>
              <w:bottom w:w="75" w:type="dxa"/>
              <w:right w:w="120" w:type="dxa"/>
            </w:tcMar>
            <w:vAlign w:val="center"/>
          </w:tcPr>
          <w:p w14:paraId="28C57A4C">
            <w:pPr>
              <w:widowControl/>
              <w:snapToGrid w:val="0"/>
              <w:jc w:val="center"/>
              <w:rPr>
                <w:rFonts w:hint="eastAsia" w:ascii="宋体" w:hAnsi="宋体" w:cs="宋体"/>
                <w:sz w:val="24"/>
              </w:rPr>
            </w:pPr>
            <w:r>
              <w:rPr>
                <w:rStyle w:val="12"/>
                <w:rFonts w:hint="eastAsia" w:ascii="宋体" w:hAnsi="宋体" w:cs="宋体"/>
                <w:bCs/>
                <w:kern w:val="0"/>
                <w:sz w:val="24"/>
                <w:lang w:bidi="ar"/>
              </w:rPr>
              <w:t>3.手关节受累</w:t>
            </w:r>
          </w:p>
        </w:tc>
        <w:tc>
          <w:tcPr>
            <w:tcW w:w="6914" w:type="dxa"/>
            <w:tcBorders>
              <w:top w:val="nil"/>
              <w:left w:val="nil"/>
              <w:bottom w:val="nil"/>
              <w:right w:val="nil"/>
            </w:tcBorders>
            <w:noWrap w:val="0"/>
            <w:tcMar>
              <w:top w:w="75" w:type="dxa"/>
              <w:left w:w="120" w:type="dxa"/>
              <w:bottom w:w="75" w:type="dxa"/>
              <w:right w:w="-1" w:type="dxa"/>
            </w:tcMar>
            <w:vAlign w:val="center"/>
          </w:tcPr>
          <w:p w14:paraId="0702E662">
            <w:pPr>
              <w:widowControl/>
              <w:snapToGrid w:val="0"/>
              <w:jc w:val="center"/>
              <w:rPr>
                <w:rFonts w:hint="eastAsia" w:ascii="宋体" w:hAnsi="宋体" w:cs="宋体"/>
                <w:sz w:val="24"/>
              </w:rPr>
            </w:pPr>
            <w:r>
              <w:rPr>
                <w:rFonts w:hint="eastAsia" w:ascii="宋体" w:hAnsi="宋体" w:cs="宋体"/>
                <w:kern w:val="0"/>
                <w:sz w:val="24"/>
                <w:lang w:bidi="ar"/>
              </w:rPr>
              <w:t>腕、掌指关节或近端指间关节中至少1个区域出现肿胀，持续≥6周</w:t>
            </w:r>
          </w:p>
        </w:tc>
      </w:tr>
      <w:tr w14:paraId="4A5D016D">
        <w:tblPrEx>
          <w:tblCellMar>
            <w:top w:w="15" w:type="dxa"/>
            <w:left w:w="15" w:type="dxa"/>
            <w:bottom w:w="15" w:type="dxa"/>
            <w:right w:w="15" w:type="dxa"/>
          </w:tblCellMar>
        </w:tblPrEx>
        <w:trPr>
          <w:jc w:val="center"/>
        </w:trPr>
        <w:tc>
          <w:tcPr>
            <w:tcBorders>
              <w:top w:val="nil"/>
              <w:left w:val="nil"/>
              <w:bottom w:val="nil"/>
              <w:right w:val="nil"/>
            </w:tcBorders>
            <w:noWrap w:val="0"/>
            <w:tcMar>
              <w:top w:w="75" w:type="dxa"/>
              <w:left w:w="-1" w:type="dxa"/>
              <w:bottom w:w="75" w:type="dxa"/>
              <w:right w:w="120" w:type="dxa"/>
            </w:tcMar>
            <w:vAlign w:val="center"/>
          </w:tcPr>
          <w:p w14:paraId="46AE76E4">
            <w:pPr>
              <w:widowControl/>
              <w:snapToGrid w:val="0"/>
              <w:jc w:val="center"/>
              <w:rPr>
                <w:rFonts w:hint="eastAsia" w:ascii="宋体" w:hAnsi="宋体" w:cs="宋体"/>
                <w:sz w:val="24"/>
              </w:rPr>
            </w:pPr>
            <w:r>
              <w:rPr>
                <w:rStyle w:val="12"/>
                <w:rFonts w:hint="eastAsia" w:ascii="宋体" w:hAnsi="宋体" w:cs="宋体"/>
                <w:bCs/>
                <w:kern w:val="0"/>
                <w:sz w:val="24"/>
                <w:lang w:bidi="ar"/>
              </w:rPr>
              <w:t>4.对称性关节炎</w:t>
            </w:r>
          </w:p>
        </w:tc>
        <w:tc>
          <w:tcPr>
            <w:tcW w:w="6914" w:type="dxa"/>
            <w:tcBorders>
              <w:top w:val="nil"/>
              <w:left w:val="nil"/>
              <w:bottom w:val="nil"/>
              <w:right w:val="nil"/>
            </w:tcBorders>
            <w:noWrap w:val="0"/>
            <w:tcMar>
              <w:top w:w="75" w:type="dxa"/>
              <w:left w:w="120" w:type="dxa"/>
              <w:bottom w:w="75" w:type="dxa"/>
              <w:right w:w="-1" w:type="dxa"/>
            </w:tcMar>
            <w:vAlign w:val="center"/>
          </w:tcPr>
          <w:p w14:paraId="718364DD">
            <w:pPr>
              <w:widowControl/>
              <w:snapToGrid w:val="0"/>
              <w:jc w:val="center"/>
              <w:rPr>
                <w:rFonts w:hint="eastAsia" w:ascii="宋体" w:hAnsi="宋体" w:cs="宋体"/>
                <w:sz w:val="24"/>
              </w:rPr>
            </w:pPr>
            <w:r>
              <w:rPr>
                <w:rFonts w:hint="eastAsia" w:ascii="宋体" w:hAnsi="宋体" w:cs="宋体"/>
                <w:kern w:val="0"/>
                <w:sz w:val="24"/>
                <w:lang w:bidi="ar"/>
              </w:rPr>
              <w:t>身体左右两侧同一关节区同时受累（腕、掌指关节、近端指间关节、肘、膝、踝、跖趾关节。</w:t>
            </w:r>
          </w:p>
        </w:tc>
      </w:tr>
      <w:tr w14:paraId="6174A617">
        <w:tblPrEx>
          <w:tblCellMar>
            <w:top w:w="15" w:type="dxa"/>
            <w:left w:w="15" w:type="dxa"/>
            <w:bottom w:w="15" w:type="dxa"/>
            <w:right w:w="15" w:type="dxa"/>
          </w:tblCellMar>
        </w:tblPrEx>
        <w:trPr>
          <w:jc w:val="center"/>
        </w:trPr>
        <w:tc>
          <w:tcPr>
            <w:tcBorders>
              <w:top w:val="nil"/>
              <w:left w:val="nil"/>
              <w:bottom w:val="nil"/>
              <w:right w:val="nil"/>
            </w:tcBorders>
            <w:noWrap w:val="0"/>
            <w:tcMar>
              <w:top w:w="75" w:type="dxa"/>
              <w:left w:w="-1" w:type="dxa"/>
              <w:bottom w:w="75" w:type="dxa"/>
              <w:right w:w="120" w:type="dxa"/>
            </w:tcMar>
            <w:vAlign w:val="center"/>
          </w:tcPr>
          <w:p w14:paraId="0E92F496">
            <w:pPr>
              <w:widowControl/>
              <w:snapToGrid w:val="0"/>
              <w:jc w:val="center"/>
              <w:rPr>
                <w:rFonts w:hint="eastAsia" w:ascii="宋体" w:hAnsi="宋体" w:cs="宋体"/>
                <w:sz w:val="24"/>
              </w:rPr>
            </w:pPr>
            <w:r>
              <w:rPr>
                <w:rStyle w:val="12"/>
                <w:rFonts w:hint="eastAsia" w:ascii="宋体" w:hAnsi="宋体" w:cs="宋体"/>
                <w:bCs/>
                <w:kern w:val="0"/>
                <w:sz w:val="24"/>
                <w:lang w:bidi="ar"/>
              </w:rPr>
              <w:t>5.类风湿结节</w:t>
            </w:r>
          </w:p>
        </w:tc>
        <w:tc>
          <w:tcPr>
            <w:tcW w:w="6914" w:type="dxa"/>
            <w:tcBorders>
              <w:top w:val="nil"/>
              <w:left w:val="nil"/>
              <w:bottom w:val="nil"/>
              <w:right w:val="nil"/>
            </w:tcBorders>
            <w:noWrap w:val="0"/>
            <w:tcMar>
              <w:top w:w="75" w:type="dxa"/>
              <w:left w:w="120" w:type="dxa"/>
              <w:bottom w:w="75" w:type="dxa"/>
              <w:right w:w="-1" w:type="dxa"/>
            </w:tcMar>
            <w:vAlign w:val="center"/>
          </w:tcPr>
          <w:p w14:paraId="48E37319">
            <w:pPr>
              <w:widowControl/>
              <w:snapToGrid w:val="0"/>
              <w:jc w:val="center"/>
              <w:rPr>
                <w:rFonts w:hint="eastAsia" w:ascii="宋体" w:hAnsi="宋体" w:cs="宋体"/>
                <w:sz w:val="24"/>
              </w:rPr>
            </w:pPr>
            <w:r>
              <w:rPr>
                <w:rFonts w:hint="eastAsia" w:ascii="宋体" w:hAnsi="宋体" w:cs="宋体"/>
                <w:kern w:val="0"/>
                <w:sz w:val="24"/>
                <w:lang w:bidi="ar"/>
              </w:rPr>
              <w:t>皮下结节，位于骨突处、伸肌表面或关节周围区域，由医师观察确认</w:t>
            </w:r>
          </w:p>
        </w:tc>
      </w:tr>
      <w:tr w14:paraId="20CA8D0E">
        <w:tblPrEx>
          <w:tblCellMar>
            <w:top w:w="15" w:type="dxa"/>
            <w:left w:w="15" w:type="dxa"/>
            <w:bottom w:w="15" w:type="dxa"/>
            <w:right w:w="15" w:type="dxa"/>
          </w:tblCellMar>
        </w:tblPrEx>
        <w:trPr>
          <w:jc w:val="center"/>
        </w:trPr>
        <w:tc>
          <w:tcPr>
            <w:tcBorders>
              <w:top w:val="nil"/>
              <w:left w:val="nil"/>
              <w:bottom w:val="nil"/>
              <w:right w:val="nil"/>
            </w:tcBorders>
            <w:noWrap w:val="0"/>
            <w:tcMar>
              <w:top w:w="75" w:type="dxa"/>
              <w:left w:w="-1" w:type="dxa"/>
              <w:bottom w:w="75" w:type="dxa"/>
              <w:right w:w="120" w:type="dxa"/>
            </w:tcMar>
            <w:vAlign w:val="center"/>
          </w:tcPr>
          <w:p w14:paraId="0FD5D992">
            <w:pPr>
              <w:widowControl/>
              <w:snapToGrid w:val="0"/>
              <w:jc w:val="center"/>
              <w:rPr>
                <w:rFonts w:hint="eastAsia" w:ascii="宋体" w:hAnsi="宋体" w:cs="宋体"/>
                <w:sz w:val="24"/>
              </w:rPr>
            </w:pPr>
            <w:r>
              <w:rPr>
                <w:rStyle w:val="12"/>
                <w:rFonts w:hint="eastAsia" w:ascii="宋体" w:hAnsi="宋体" w:cs="宋体"/>
                <w:bCs/>
                <w:kern w:val="0"/>
                <w:sz w:val="24"/>
                <w:lang w:bidi="ar"/>
              </w:rPr>
              <w:t>6.类风湿因子阳性</w:t>
            </w:r>
          </w:p>
        </w:tc>
        <w:tc>
          <w:tcPr>
            <w:tcW w:w="6914" w:type="dxa"/>
            <w:tcBorders>
              <w:top w:val="nil"/>
              <w:left w:val="nil"/>
              <w:bottom w:val="nil"/>
              <w:right w:val="nil"/>
            </w:tcBorders>
            <w:noWrap w:val="0"/>
            <w:tcMar>
              <w:top w:w="75" w:type="dxa"/>
              <w:left w:w="120" w:type="dxa"/>
              <w:bottom w:w="75" w:type="dxa"/>
              <w:right w:w="-1" w:type="dxa"/>
            </w:tcMar>
            <w:vAlign w:val="center"/>
          </w:tcPr>
          <w:p w14:paraId="263FE9AC">
            <w:pPr>
              <w:widowControl/>
              <w:snapToGrid w:val="0"/>
              <w:jc w:val="center"/>
              <w:rPr>
                <w:rFonts w:hint="eastAsia" w:ascii="宋体" w:hAnsi="宋体" w:cs="宋体"/>
                <w:sz w:val="24"/>
              </w:rPr>
            </w:pPr>
            <w:r>
              <w:rPr>
                <w:rFonts w:hint="eastAsia" w:ascii="宋体" w:hAnsi="宋体" w:cs="宋体"/>
                <w:kern w:val="0"/>
                <w:sz w:val="24"/>
                <w:lang w:bidi="ar"/>
              </w:rPr>
              <w:t>采用在正常对照人群中阳性率&lt;5%的方法检测，RF阳性</w:t>
            </w:r>
          </w:p>
        </w:tc>
      </w:tr>
      <w:tr w14:paraId="566C8FF2">
        <w:tblPrEx>
          <w:tblCellMar>
            <w:top w:w="15" w:type="dxa"/>
            <w:left w:w="15" w:type="dxa"/>
            <w:bottom w:w="15" w:type="dxa"/>
            <w:right w:w="15" w:type="dxa"/>
          </w:tblCellMar>
        </w:tblPrEx>
        <w:trPr>
          <w:jc w:val="center"/>
        </w:trPr>
        <w:tc>
          <w:tcPr>
            <w:tcBorders>
              <w:top w:val="nil"/>
              <w:left w:val="nil"/>
              <w:bottom w:val="nil"/>
              <w:right w:val="nil"/>
            </w:tcBorders>
            <w:noWrap w:val="0"/>
            <w:tcMar>
              <w:top w:w="75" w:type="dxa"/>
              <w:left w:w="-1" w:type="dxa"/>
              <w:bottom w:w="75" w:type="dxa"/>
              <w:right w:w="120" w:type="dxa"/>
            </w:tcMar>
            <w:vAlign w:val="center"/>
          </w:tcPr>
          <w:p w14:paraId="62B1EEEF">
            <w:pPr>
              <w:widowControl/>
              <w:snapToGrid w:val="0"/>
              <w:jc w:val="center"/>
              <w:rPr>
                <w:rFonts w:hint="eastAsia" w:ascii="宋体" w:hAnsi="宋体" w:cs="宋体"/>
                <w:sz w:val="24"/>
              </w:rPr>
            </w:pPr>
            <w:r>
              <w:rPr>
                <w:rStyle w:val="12"/>
                <w:rFonts w:hint="eastAsia" w:ascii="宋体" w:hAnsi="宋体" w:cs="宋体"/>
                <w:bCs/>
                <w:kern w:val="0"/>
                <w:sz w:val="24"/>
                <w:lang w:bidi="ar"/>
              </w:rPr>
              <w:t>7.X线改变</w:t>
            </w:r>
          </w:p>
        </w:tc>
        <w:tc>
          <w:tcPr>
            <w:tcW w:w="6914" w:type="dxa"/>
            <w:tcBorders>
              <w:top w:val="nil"/>
              <w:left w:val="nil"/>
              <w:bottom w:val="nil"/>
              <w:right w:val="nil"/>
            </w:tcBorders>
            <w:noWrap w:val="0"/>
            <w:tcMar>
              <w:top w:w="75" w:type="dxa"/>
              <w:left w:w="120" w:type="dxa"/>
              <w:bottom w:w="75" w:type="dxa"/>
              <w:right w:w="-1" w:type="dxa"/>
            </w:tcMar>
            <w:vAlign w:val="center"/>
          </w:tcPr>
          <w:p w14:paraId="7F73CF77">
            <w:pPr>
              <w:widowControl/>
              <w:snapToGrid w:val="0"/>
              <w:jc w:val="center"/>
              <w:rPr>
                <w:rFonts w:hint="eastAsia" w:ascii="宋体" w:hAnsi="宋体" w:cs="宋体"/>
                <w:sz w:val="24"/>
              </w:rPr>
            </w:pPr>
            <w:r>
              <w:rPr>
                <w:rFonts w:hint="eastAsia" w:ascii="宋体" w:hAnsi="宋体" w:cs="宋体"/>
                <w:kern w:val="0"/>
                <w:sz w:val="24"/>
                <w:lang w:bidi="ar"/>
              </w:rPr>
              <w:t>后前位手和腕X线片显示RA典型改变，必须具备侵蚀或明确的骨脱钙（局限于受累关节或。</w:t>
            </w:r>
          </w:p>
        </w:tc>
      </w:tr>
      <w:tr w14:paraId="2B7A6F39">
        <w:tblPrEx>
          <w:tblCellMar>
            <w:top w:w="15" w:type="dxa"/>
            <w:left w:w="15" w:type="dxa"/>
            <w:bottom w:w="15" w:type="dxa"/>
            <w:right w:w="15" w:type="dxa"/>
          </w:tblCellMar>
        </w:tblPrEx>
        <w:trPr>
          <w:jc w:val="center"/>
        </w:trPr>
        <w:tc>
          <w:tcPr>
            <w:tcW w:w="1512" w:type="dxa"/>
            <w:tcBorders>
              <w:top w:val="nil"/>
              <w:left w:val="nil"/>
              <w:bottom w:val="single" w:color="auto" w:sz="12" w:space="0"/>
              <w:right w:val="nil"/>
            </w:tcBorders>
            <w:noWrap w:val="0"/>
            <w:tcMar>
              <w:top w:w="75" w:type="dxa"/>
              <w:left w:w="-1" w:type="dxa"/>
              <w:bottom w:w="75" w:type="dxa"/>
              <w:right w:w="120" w:type="dxa"/>
            </w:tcMar>
            <w:vAlign w:val="center"/>
          </w:tcPr>
          <w:p w14:paraId="49BC0D22">
            <w:pPr>
              <w:widowControl/>
              <w:snapToGrid w:val="0"/>
              <w:jc w:val="center"/>
              <w:rPr>
                <w:rFonts w:hint="eastAsia" w:ascii="宋体" w:hAnsi="宋体" w:cs="宋体"/>
                <w:sz w:val="24"/>
              </w:rPr>
            </w:pPr>
            <w:r>
              <w:rPr>
                <w:rStyle w:val="12"/>
                <w:rFonts w:hint="eastAsia" w:ascii="宋体" w:hAnsi="宋体" w:cs="宋体"/>
                <w:bCs/>
                <w:kern w:val="0"/>
                <w:sz w:val="24"/>
                <w:lang w:bidi="ar"/>
              </w:rPr>
              <w:t>分类要求</w:t>
            </w:r>
          </w:p>
        </w:tc>
        <w:tc>
          <w:tcPr>
            <w:tcW w:w="6914" w:type="dxa"/>
            <w:tcBorders>
              <w:top w:val="nil"/>
              <w:left w:val="nil"/>
              <w:bottom w:val="single" w:color="auto" w:sz="12" w:space="0"/>
              <w:right w:val="nil"/>
            </w:tcBorders>
            <w:noWrap w:val="0"/>
            <w:tcMar>
              <w:top w:w="75" w:type="dxa"/>
              <w:left w:w="120" w:type="dxa"/>
              <w:bottom w:w="75" w:type="dxa"/>
              <w:right w:w="-1" w:type="dxa"/>
            </w:tcMar>
            <w:vAlign w:val="center"/>
          </w:tcPr>
          <w:p w14:paraId="5C377A10">
            <w:pPr>
              <w:widowControl/>
              <w:snapToGrid w:val="0"/>
              <w:jc w:val="center"/>
              <w:rPr>
                <w:rFonts w:hint="eastAsia" w:ascii="宋体" w:hAnsi="宋体" w:cs="宋体"/>
                <w:sz w:val="24"/>
              </w:rPr>
            </w:pPr>
            <w:r>
              <w:rPr>
                <w:rFonts w:hint="eastAsia" w:ascii="宋体" w:hAnsi="宋体" w:cs="宋体"/>
                <w:kern w:val="0"/>
                <w:sz w:val="24"/>
                <w:lang w:bidi="ar"/>
              </w:rPr>
              <w:t>以上7条标准中满足至少4条（同时存在2种临床诊断的患者不排除）</w:t>
            </w:r>
          </w:p>
        </w:tc>
      </w:tr>
    </w:tbl>
    <w:p w14:paraId="6E1FC84F">
      <w:pPr>
        <w:pStyle w:val="9"/>
        <w:widowControl/>
        <w:shd w:val="clear" w:color="auto" w:fill="FFFFFF"/>
        <w:spacing w:before="120" w:beforeAutospacing="0" w:after="120" w:afterAutospacing="0" w:line="360" w:lineRule="auto"/>
        <w:ind w:firstLine="480" w:firstLineChars="200"/>
        <w:rPr>
          <w:rFonts w:hint="eastAsia" w:ascii="宋体" w:hAnsi="宋体" w:cs="宋体"/>
          <w:color w:val="0F1115"/>
        </w:rPr>
      </w:pPr>
      <w:r>
        <w:rPr>
          <w:rFonts w:hint="eastAsia" w:ascii="宋体" w:hAnsi="宋体" w:cs="宋体"/>
          <w:color w:val="0F1115"/>
          <w:shd w:val="clear" w:color="auto" w:fill="FFFFFF"/>
        </w:rPr>
        <w:t>1987年ACR分类标准的特异度高，可较好地区分炎性与非炎性关节炎，但对早期RA识别敏感度不足。鉴于RA早期诊断的重要性，应考虑联合使用2010年ACR/EULAR分类标准，以提高早期RA的诊断识别率。</w:t>
      </w:r>
    </w:p>
    <w:p w14:paraId="234550E9">
      <w:pPr>
        <w:pStyle w:val="9"/>
        <w:widowControl/>
        <w:shd w:val="clear" w:color="auto" w:fill="FFFFFF"/>
        <w:spacing w:before="120" w:beforeAutospacing="0" w:after="120" w:afterAutospacing="0" w:line="360" w:lineRule="auto"/>
        <w:ind w:firstLine="482" w:firstLineChars="200"/>
        <w:rPr>
          <w:rFonts w:hint="eastAsia" w:ascii="宋体" w:hAnsi="宋体" w:cs="宋体"/>
          <w:color w:val="0F1115"/>
        </w:rPr>
      </w:pPr>
      <w:r>
        <w:rPr>
          <w:rStyle w:val="12"/>
          <w:rFonts w:hint="eastAsia" w:ascii="宋体" w:hAnsi="宋体" w:cs="宋体"/>
          <w:bCs/>
          <w:color w:val="0F1115"/>
          <w:shd w:val="clear" w:color="auto" w:fill="FFFFFF"/>
        </w:rPr>
        <w:t>表B.2 2010年ACR/EULAR类风湿关节炎分类标准</w:t>
      </w:r>
    </w:p>
    <w:tbl>
      <w:tblPr>
        <w:tblStyle w:val="10"/>
        <w:tblW w:w="8505" w:type="dxa"/>
        <w:jc w:val="center"/>
        <w:tblLayout w:type="autofit"/>
        <w:tblCellMar>
          <w:top w:w="15" w:type="dxa"/>
          <w:left w:w="15" w:type="dxa"/>
          <w:bottom w:w="15" w:type="dxa"/>
          <w:right w:w="15" w:type="dxa"/>
        </w:tblCellMar>
      </w:tblPr>
      <w:tblGrid>
        <w:gridCol w:w="1599"/>
        <w:gridCol w:w="6156"/>
        <w:gridCol w:w="750"/>
      </w:tblGrid>
      <w:tr w14:paraId="7B789286">
        <w:tblPrEx>
          <w:tblCellMar>
            <w:top w:w="15" w:type="dxa"/>
            <w:left w:w="15" w:type="dxa"/>
            <w:bottom w:w="15" w:type="dxa"/>
            <w:right w:w="15" w:type="dxa"/>
          </w:tblCellMar>
        </w:tblPrEx>
        <w:trPr>
          <w:tblHeader/>
          <w:jc w:val="center"/>
        </w:trPr>
        <w:tc>
          <w:tcPr>
            <w:tcBorders>
              <w:top w:val="single" w:color="auto" w:sz="12" w:space="0"/>
              <w:left w:val="nil"/>
              <w:bottom w:val="nil"/>
              <w:right w:val="nil"/>
            </w:tcBorders>
            <w:noWrap w:val="0"/>
            <w:tcMar>
              <w:top w:w="75" w:type="dxa"/>
              <w:left w:w="-1" w:type="dxa"/>
              <w:bottom w:w="75" w:type="dxa"/>
              <w:right w:w="120" w:type="dxa"/>
            </w:tcMar>
            <w:vAlign w:val="center"/>
          </w:tcPr>
          <w:p w14:paraId="35DBC4DE">
            <w:pPr>
              <w:widowControl/>
              <w:snapToGrid w:val="0"/>
              <w:jc w:val="center"/>
              <w:rPr>
                <w:rFonts w:hint="eastAsia" w:ascii="宋体" w:hAnsi="宋体" w:cs="宋体"/>
                <w:b/>
                <w:sz w:val="24"/>
              </w:rPr>
            </w:pPr>
            <w:r>
              <w:rPr>
                <w:rStyle w:val="12"/>
                <w:rFonts w:hint="eastAsia" w:ascii="宋体" w:hAnsi="宋体" w:cs="宋体"/>
                <w:bCs/>
                <w:kern w:val="0"/>
                <w:sz w:val="24"/>
                <w:lang w:bidi="ar"/>
              </w:rPr>
              <w:t>评分条目</w:t>
            </w:r>
          </w:p>
        </w:tc>
        <w:tc>
          <w:tcPr>
            <w:tcBorders>
              <w:top w:val="single" w:color="auto" w:sz="12" w:space="0"/>
              <w:left w:val="nil"/>
              <w:bottom w:val="nil"/>
              <w:right w:val="nil"/>
            </w:tcBorders>
            <w:noWrap w:val="0"/>
            <w:tcMar>
              <w:top w:w="75" w:type="dxa"/>
              <w:left w:w="120" w:type="dxa"/>
              <w:bottom w:w="75" w:type="dxa"/>
              <w:right w:w="120" w:type="dxa"/>
            </w:tcMar>
            <w:vAlign w:val="center"/>
          </w:tcPr>
          <w:p w14:paraId="243AF461">
            <w:pPr>
              <w:widowControl/>
              <w:snapToGrid w:val="0"/>
              <w:jc w:val="center"/>
              <w:rPr>
                <w:rFonts w:hint="eastAsia" w:ascii="宋体" w:hAnsi="宋体" w:cs="宋体"/>
                <w:b/>
                <w:sz w:val="24"/>
              </w:rPr>
            </w:pPr>
            <w:r>
              <w:rPr>
                <w:rStyle w:val="12"/>
                <w:rFonts w:hint="eastAsia" w:ascii="宋体" w:hAnsi="宋体" w:cs="宋体"/>
                <w:bCs/>
                <w:kern w:val="0"/>
                <w:sz w:val="24"/>
                <w:lang w:bidi="ar"/>
              </w:rPr>
              <w:t>条件</w:t>
            </w:r>
          </w:p>
        </w:tc>
        <w:tc>
          <w:tcPr>
            <w:tcW w:w="750" w:type="dxa"/>
            <w:tcBorders>
              <w:top w:val="single" w:color="auto" w:sz="12" w:space="0"/>
              <w:left w:val="nil"/>
              <w:bottom w:val="nil"/>
              <w:right w:val="nil"/>
            </w:tcBorders>
            <w:noWrap w:val="0"/>
            <w:tcMar>
              <w:top w:w="75" w:type="dxa"/>
              <w:left w:w="120" w:type="dxa"/>
              <w:bottom w:w="75" w:type="dxa"/>
              <w:right w:w="120" w:type="dxa"/>
            </w:tcMar>
            <w:vAlign w:val="center"/>
          </w:tcPr>
          <w:p w14:paraId="73CB2651">
            <w:pPr>
              <w:widowControl/>
              <w:snapToGrid w:val="0"/>
              <w:jc w:val="center"/>
              <w:rPr>
                <w:rFonts w:hint="eastAsia" w:ascii="宋体" w:hAnsi="宋体" w:cs="宋体"/>
                <w:b/>
                <w:sz w:val="24"/>
              </w:rPr>
            </w:pPr>
            <w:r>
              <w:rPr>
                <w:rStyle w:val="12"/>
                <w:rFonts w:hint="eastAsia" w:ascii="宋体" w:hAnsi="宋体" w:cs="宋体"/>
                <w:bCs/>
                <w:kern w:val="0"/>
                <w:sz w:val="24"/>
                <w:lang w:bidi="ar"/>
              </w:rPr>
              <w:t>分值</w:t>
            </w:r>
          </w:p>
        </w:tc>
      </w:tr>
      <w:tr w14:paraId="3CAD002A">
        <w:tblPrEx>
          <w:tblCellMar>
            <w:top w:w="15" w:type="dxa"/>
            <w:left w:w="15" w:type="dxa"/>
            <w:bottom w:w="15" w:type="dxa"/>
            <w:right w:w="15" w:type="dxa"/>
          </w:tblCellMar>
        </w:tblPrEx>
        <w:trPr>
          <w:jc w:val="center"/>
        </w:trPr>
        <w:tc>
          <w:tcPr>
            <w:tcBorders>
              <w:top w:val="single" w:color="auto" w:sz="4" w:space="0"/>
              <w:left w:val="nil"/>
              <w:bottom w:val="nil"/>
              <w:right w:val="nil"/>
            </w:tcBorders>
            <w:noWrap w:val="0"/>
            <w:tcMar>
              <w:top w:w="75" w:type="dxa"/>
              <w:left w:w="-1" w:type="dxa"/>
              <w:bottom w:w="75" w:type="dxa"/>
              <w:right w:w="120" w:type="dxa"/>
            </w:tcMar>
            <w:vAlign w:val="center"/>
          </w:tcPr>
          <w:p w14:paraId="13911239">
            <w:pPr>
              <w:widowControl/>
              <w:snapToGrid w:val="0"/>
              <w:jc w:val="center"/>
              <w:rPr>
                <w:rFonts w:hint="eastAsia" w:ascii="宋体" w:hAnsi="宋体" w:cs="宋体"/>
                <w:sz w:val="24"/>
              </w:rPr>
            </w:pPr>
            <w:r>
              <w:rPr>
                <w:rStyle w:val="12"/>
                <w:rFonts w:hint="eastAsia" w:ascii="宋体" w:hAnsi="宋体" w:cs="宋体"/>
                <w:bCs/>
                <w:kern w:val="0"/>
                <w:sz w:val="24"/>
                <w:lang w:bidi="ar"/>
              </w:rPr>
              <w:t>A.关节受累</w:t>
            </w:r>
          </w:p>
        </w:tc>
        <w:tc>
          <w:tcPr>
            <w:tcBorders>
              <w:top w:val="single" w:color="auto" w:sz="4" w:space="0"/>
              <w:left w:val="nil"/>
              <w:bottom w:val="nil"/>
              <w:right w:val="nil"/>
            </w:tcBorders>
            <w:noWrap w:val="0"/>
            <w:tcMar>
              <w:top w:w="75" w:type="dxa"/>
              <w:left w:w="120" w:type="dxa"/>
              <w:bottom w:w="75" w:type="dxa"/>
              <w:right w:w="120" w:type="dxa"/>
            </w:tcMar>
            <w:vAlign w:val="center"/>
          </w:tcPr>
          <w:p w14:paraId="5FF76CD2">
            <w:pPr>
              <w:widowControl/>
              <w:snapToGrid w:val="0"/>
              <w:jc w:val="left"/>
              <w:rPr>
                <w:rFonts w:hint="eastAsia" w:ascii="宋体" w:hAnsi="宋体" w:cs="宋体"/>
                <w:sz w:val="24"/>
              </w:rPr>
            </w:pPr>
            <w:r>
              <w:rPr>
                <w:rFonts w:hint="eastAsia" w:ascii="宋体" w:hAnsi="宋体" w:cs="宋体"/>
                <w:kern w:val="0"/>
                <w:sz w:val="24"/>
                <w:lang w:bidi="ar"/>
              </w:rPr>
              <w:t>1个大关节</w:t>
            </w:r>
          </w:p>
        </w:tc>
        <w:tc>
          <w:tcPr>
            <w:tcW w:w="750" w:type="dxa"/>
            <w:tcBorders>
              <w:top w:val="single" w:color="auto" w:sz="4" w:space="0"/>
              <w:left w:val="nil"/>
              <w:bottom w:val="nil"/>
              <w:right w:val="nil"/>
            </w:tcBorders>
            <w:noWrap w:val="0"/>
            <w:tcMar>
              <w:top w:w="75" w:type="dxa"/>
              <w:left w:w="120" w:type="dxa"/>
              <w:bottom w:w="75" w:type="dxa"/>
              <w:right w:w="-1" w:type="dxa"/>
            </w:tcMar>
            <w:vAlign w:val="center"/>
          </w:tcPr>
          <w:p w14:paraId="2DDEB22D">
            <w:pPr>
              <w:widowControl/>
              <w:snapToGrid w:val="0"/>
              <w:jc w:val="left"/>
              <w:rPr>
                <w:rFonts w:hint="eastAsia" w:ascii="宋体" w:hAnsi="宋体" w:cs="宋体"/>
                <w:sz w:val="24"/>
              </w:rPr>
            </w:pPr>
            <w:r>
              <w:rPr>
                <w:rFonts w:hint="eastAsia" w:ascii="宋体" w:hAnsi="宋体" w:cs="宋体"/>
                <w:kern w:val="0"/>
                <w:sz w:val="24"/>
                <w:lang w:bidi="ar"/>
              </w:rPr>
              <w:t>0</w:t>
            </w:r>
          </w:p>
        </w:tc>
      </w:tr>
      <w:tr w14:paraId="799A55BB">
        <w:tblPrEx>
          <w:tblCellMar>
            <w:top w:w="15" w:type="dxa"/>
            <w:left w:w="15" w:type="dxa"/>
            <w:bottom w:w="15" w:type="dxa"/>
            <w:right w:w="15" w:type="dxa"/>
          </w:tblCellMar>
        </w:tblPrEx>
        <w:trPr>
          <w:jc w:val="center"/>
        </w:trPr>
        <w:tc>
          <w:tcPr>
            <w:tcBorders>
              <w:top w:val="nil"/>
              <w:left w:val="nil"/>
              <w:bottom w:val="nil"/>
              <w:right w:val="nil"/>
            </w:tcBorders>
            <w:noWrap w:val="0"/>
            <w:tcMar>
              <w:top w:w="75" w:type="dxa"/>
              <w:left w:w="-1" w:type="dxa"/>
              <w:bottom w:w="75" w:type="dxa"/>
              <w:right w:w="120" w:type="dxa"/>
            </w:tcMar>
            <w:vAlign w:val="center"/>
          </w:tcPr>
          <w:p w14:paraId="5293F5A4">
            <w:pPr>
              <w:snapToGrid w:val="0"/>
              <w:jc w:val="center"/>
              <w:rPr>
                <w:rFonts w:hint="eastAsia" w:ascii="宋体" w:hAnsi="宋体" w:cs="宋体"/>
                <w:sz w:val="24"/>
              </w:rPr>
            </w:pPr>
          </w:p>
        </w:tc>
        <w:tc>
          <w:tcPr>
            <w:tcBorders>
              <w:top w:val="nil"/>
              <w:left w:val="nil"/>
              <w:bottom w:val="nil"/>
              <w:right w:val="nil"/>
            </w:tcBorders>
            <w:noWrap w:val="0"/>
            <w:tcMar>
              <w:top w:w="75" w:type="dxa"/>
              <w:left w:w="120" w:type="dxa"/>
              <w:bottom w:w="75" w:type="dxa"/>
              <w:right w:w="120" w:type="dxa"/>
            </w:tcMar>
            <w:vAlign w:val="center"/>
          </w:tcPr>
          <w:p w14:paraId="1A6D6196">
            <w:pPr>
              <w:widowControl/>
              <w:snapToGrid w:val="0"/>
              <w:jc w:val="left"/>
              <w:rPr>
                <w:rFonts w:hint="eastAsia" w:ascii="宋体" w:hAnsi="宋体" w:cs="宋体"/>
                <w:sz w:val="24"/>
              </w:rPr>
            </w:pPr>
            <w:r>
              <w:rPr>
                <w:rFonts w:hint="eastAsia" w:ascii="宋体" w:hAnsi="宋体" w:cs="宋体"/>
                <w:kern w:val="0"/>
                <w:sz w:val="24"/>
                <w:lang w:bidi="ar"/>
              </w:rPr>
              <w:t>2～10个大关节</w:t>
            </w:r>
          </w:p>
        </w:tc>
        <w:tc>
          <w:tcPr>
            <w:tcW w:w="750" w:type="dxa"/>
            <w:tcBorders>
              <w:top w:val="nil"/>
              <w:left w:val="nil"/>
              <w:bottom w:val="nil"/>
              <w:right w:val="nil"/>
            </w:tcBorders>
            <w:noWrap w:val="0"/>
            <w:tcMar>
              <w:top w:w="75" w:type="dxa"/>
              <w:left w:w="120" w:type="dxa"/>
              <w:bottom w:w="75" w:type="dxa"/>
              <w:right w:w="-1" w:type="dxa"/>
            </w:tcMar>
            <w:vAlign w:val="center"/>
          </w:tcPr>
          <w:p w14:paraId="20DBFF37">
            <w:pPr>
              <w:widowControl/>
              <w:snapToGrid w:val="0"/>
              <w:jc w:val="left"/>
              <w:rPr>
                <w:rFonts w:hint="eastAsia" w:ascii="宋体" w:hAnsi="宋体" w:cs="宋体"/>
                <w:sz w:val="24"/>
              </w:rPr>
            </w:pPr>
            <w:r>
              <w:rPr>
                <w:rFonts w:hint="eastAsia" w:ascii="宋体" w:hAnsi="宋体" w:cs="宋体"/>
                <w:kern w:val="0"/>
                <w:sz w:val="24"/>
                <w:lang w:bidi="ar"/>
              </w:rPr>
              <w:t>1</w:t>
            </w:r>
          </w:p>
        </w:tc>
      </w:tr>
      <w:tr w14:paraId="4FD634B6">
        <w:tblPrEx>
          <w:tblCellMar>
            <w:top w:w="15" w:type="dxa"/>
            <w:left w:w="15" w:type="dxa"/>
            <w:bottom w:w="15" w:type="dxa"/>
            <w:right w:w="15" w:type="dxa"/>
          </w:tblCellMar>
        </w:tblPrEx>
        <w:trPr>
          <w:jc w:val="center"/>
        </w:trPr>
        <w:tc>
          <w:tcPr>
            <w:tcBorders>
              <w:top w:val="nil"/>
              <w:left w:val="nil"/>
              <w:bottom w:val="nil"/>
              <w:right w:val="nil"/>
            </w:tcBorders>
            <w:noWrap w:val="0"/>
            <w:tcMar>
              <w:top w:w="75" w:type="dxa"/>
              <w:left w:w="-1" w:type="dxa"/>
              <w:bottom w:w="75" w:type="dxa"/>
              <w:right w:w="120" w:type="dxa"/>
            </w:tcMar>
            <w:vAlign w:val="center"/>
          </w:tcPr>
          <w:p w14:paraId="027AB0A0">
            <w:pPr>
              <w:snapToGrid w:val="0"/>
              <w:jc w:val="center"/>
              <w:rPr>
                <w:rFonts w:hint="eastAsia" w:ascii="宋体" w:hAnsi="宋体" w:cs="宋体"/>
                <w:sz w:val="24"/>
              </w:rPr>
            </w:pPr>
          </w:p>
        </w:tc>
        <w:tc>
          <w:tcPr>
            <w:tcBorders>
              <w:top w:val="nil"/>
              <w:left w:val="nil"/>
              <w:bottom w:val="nil"/>
              <w:right w:val="nil"/>
            </w:tcBorders>
            <w:noWrap w:val="0"/>
            <w:tcMar>
              <w:top w:w="75" w:type="dxa"/>
              <w:left w:w="120" w:type="dxa"/>
              <w:bottom w:w="75" w:type="dxa"/>
              <w:right w:w="120" w:type="dxa"/>
            </w:tcMar>
            <w:vAlign w:val="center"/>
          </w:tcPr>
          <w:p w14:paraId="7BEC6709">
            <w:pPr>
              <w:widowControl/>
              <w:snapToGrid w:val="0"/>
              <w:jc w:val="left"/>
              <w:rPr>
                <w:rFonts w:hint="eastAsia" w:ascii="宋体" w:hAnsi="宋体" w:cs="宋体"/>
                <w:sz w:val="24"/>
              </w:rPr>
            </w:pPr>
            <w:r>
              <w:rPr>
                <w:rFonts w:hint="eastAsia" w:ascii="宋体" w:hAnsi="宋体" w:cs="宋体"/>
                <w:kern w:val="0"/>
                <w:sz w:val="24"/>
                <w:lang w:bidi="ar"/>
              </w:rPr>
              <w:t>1～3个小关节（伴或不伴大关节受累）</w:t>
            </w:r>
          </w:p>
        </w:tc>
        <w:tc>
          <w:tcPr>
            <w:tcW w:w="750" w:type="dxa"/>
            <w:tcBorders>
              <w:top w:val="nil"/>
              <w:left w:val="nil"/>
              <w:bottom w:val="nil"/>
              <w:right w:val="nil"/>
            </w:tcBorders>
            <w:noWrap w:val="0"/>
            <w:tcMar>
              <w:top w:w="75" w:type="dxa"/>
              <w:left w:w="120" w:type="dxa"/>
              <w:bottom w:w="75" w:type="dxa"/>
              <w:right w:w="-1" w:type="dxa"/>
            </w:tcMar>
            <w:vAlign w:val="center"/>
          </w:tcPr>
          <w:p w14:paraId="357583EB">
            <w:pPr>
              <w:widowControl/>
              <w:snapToGrid w:val="0"/>
              <w:jc w:val="left"/>
              <w:rPr>
                <w:rFonts w:hint="eastAsia" w:ascii="宋体" w:hAnsi="宋体" w:cs="宋体"/>
                <w:sz w:val="24"/>
              </w:rPr>
            </w:pPr>
            <w:r>
              <w:rPr>
                <w:rFonts w:hint="eastAsia" w:ascii="宋体" w:hAnsi="宋体" w:cs="宋体"/>
                <w:kern w:val="0"/>
                <w:sz w:val="24"/>
                <w:lang w:bidi="ar"/>
              </w:rPr>
              <w:t>2</w:t>
            </w:r>
          </w:p>
        </w:tc>
      </w:tr>
      <w:tr w14:paraId="4FA61EC5">
        <w:tblPrEx>
          <w:tblCellMar>
            <w:top w:w="15" w:type="dxa"/>
            <w:left w:w="15" w:type="dxa"/>
            <w:bottom w:w="15" w:type="dxa"/>
            <w:right w:w="15" w:type="dxa"/>
          </w:tblCellMar>
        </w:tblPrEx>
        <w:trPr>
          <w:jc w:val="center"/>
        </w:trPr>
        <w:tc>
          <w:tcPr>
            <w:tcBorders>
              <w:top w:val="nil"/>
              <w:left w:val="nil"/>
              <w:bottom w:val="nil"/>
              <w:right w:val="nil"/>
            </w:tcBorders>
            <w:noWrap w:val="0"/>
            <w:tcMar>
              <w:top w:w="75" w:type="dxa"/>
              <w:left w:w="-1" w:type="dxa"/>
              <w:bottom w:w="75" w:type="dxa"/>
              <w:right w:w="120" w:type="dxa"/>
            </w:tcMar>
            <w:vAlign w:val="center"/>
          </w:tcPr>
          <w:p w14:paraId="53DA3A04">
            <w:pPr>
              <w:snapToGrid w:val="0"/>
              <w:jc w:val="center"/>
              <w:rPr>
                <w:rFonts w:hint="eastAsia" w:ascii="宋体" w:hAnsi="宋体" w:cs="宋体"/>
                <w:sz w:val="24"/>
              </w:rPr>
            </w:pPr>
          </w:p>
        </w:tc>
        <w:tc>
          <w:tcPr>
            <w:tcBorders>
              <w:top w:val="nil"/>
              <w:left w:val="nil"/>
              <w:bottom w:val="nil"/>
              <w:right w:val="nil"/>
            </w:tcBorders>
            <w:noWrap w:val="0"/>
            <w:tcMar>
              <w:top w:w="75" w:type="dxa"/>
              <w:left w:w="120" w:type="dxa"/>
              <w:bottom w:w="75" w:type="dxa"/>
              <w:right w:w="120" w:type="dxa"/>
            </w:tcMar>
            <w:vAlign w:val="center"/>
          </w:tcPr>
          <w:p w14:paraId="0B9DF71E">
            <w:pPr>
              <w:widowControl/>
              <w:snapToGrid w:val="0"/>
              <w:jc w:val="left"/>
              <w:rPr>
                <w:rFonts w:hint="eastAsia" w:ascii="宋体" w:hAnsi="宋体" w:cs="宋体"/>
                <w:sz w:val="24"/>
              </w:rPr>
            </w:pPr>
            <w:r>
              <w:rPr>
                <w:rFonts w:hint="eastAsia" w:ascii="宋体" w:hAnsi="宋体" w:cs="宋体"/>
                <w:kern w:val="0"/>
                <w:sz w:val="24"/>
                <w:lang w:bidi="ar"/>
              </w:rPr>
              <w:t>4～10个小关节（伴或不伴大关节受累）</w:t>
            </w:r>
          </w:p>
        </w:tc>
        <w:tc>
          <w:tcPr>
            <w:tcW w:w="750" w:type="dxa"/>
            <w:tcBorders>
              <w:top w:val="nil"/>
              <w:left w:val="nil"/>
              <w:bottom w:val="nil"/>
              <w:right w:val="nil"/>
            </w:tcBorders>
            <w:noWrap w:val="0"/>
            <w:tcMar>
              <w:top w:w="75" w:type="dxa"/>
              <w:left w:w="120" w:type="dxa"/>
              <w:bottom w:w="75" w:type="dxa"/>
              <w:right w:w="-1" w:type="dxa"/>
            </w:tcMar>
            <w:vAlign w:val="center"/>
          </w:tcPr>
          <w:p w14:paraId="1FC84B8C">
            <w:pPr>
              <w:widowControl/>
              <w:snapToGrid w:val="0"/>
              <w:jc w:val="left"/>
              <w:rPr>
                <w:rFonts w:hint="eastAsia" w:ascii="宋体" w:hAnsi="宋体" w:cs="宋体"/>
                <w:sz w:val="24"/>
              </w:rPr>
            </w:pPr>
            <w:r>
              <w:rPr>
                <w:rFonts w:hint="eastAsia" w:ascii="宋体" w:hAnsi="宋体" w:cs="宋体"/>
                <w:kern w:val="0"/>
                <w:sz w:val="24"/>
                <w:lang w:bidi="ar"/>
              </w:rPr>
              <w:t>3</w:t>
            </w:r>
          </w:p>
        </w:tc>
      </w:tr>
      <w:tr w14:paraId="6F1A3E1F">
        <w:tblPrEx>
          <w:tblCellMar>
            <w:top w:w="15" w:type="dxa"/>
            <w:left w:w="15" w:type="dxa"/>
            <w:bottom w:w="15" w:type="dxa"/>
            <w:right w:w="15" w:type="dxa"/>
          </w:tblCellMar>
        </w:tblPrEx>
        <w:trPr>
          <w:jc w:val="center"/>
        </w:trPr>
        <w:tc>
          <w:tcPr>
            <w:tcBorders>
              <w:top w:val="nil"/>
              <w:left w:val="nil"/>
              <w:bottom w:val="nil"/>
              <w:right w:val="nil"/>
            </w:tcBorders>
            <w:noWrap w:val="0"/>
            <w:tcMar>
              <w:top w:w="75" w:type="dxa"/>
              <w:left w:w="-1" w:type="dxa"/>
              <w:bottom w:w="75" w:type="dxa"/>
              <w:right w:w="120" w:type="dxa"/>
            </w:tcMar>
            <w:vAlign w:val="center"/>
          </w:tcPr>
          <w:p w14:paraId="1121321C">
            <w:pPr>
              <w:snapToGrid w:val="0"/>
              <w:jc w:val="center"/>
              <w:rPr>
                <w:rFonts w:hint="eastAsia" w:ascii="宋体" w:hAnsi="宋体" w:cs="宋体"/>
                <w:sz w:val="24"/>
              </w:rPr>
            </w:pPr>
          </w:p>
        </w:tc>
        <w:tc>
          <w:tcPr>
            <w:tcBorders>
              <w:top w:val="nil"/>
              <w:left w:val="nil"/>
              <w:bottom w:val="nil"/>
              <w:right w:val="nil"/>
            </w:tcBorders>
            <w:noWrap w:val="0"/>
            <w:tcMar>
              <w:top w:w="75" w:type="dxa"/>
              <w:left w:w="120" w:type="dxa"/>
              <w:bottom w:w="75" w:type="dxa"/>
              <w:right w:w="120" w:type="dxa"/>
            </w:tcMar>
            <w:vAlign w:val="center"/>
          </w:tcPr>
          <w:p w14:paraId="3A68BD9B">
            <w:pPr>
              <w:widowControl/>
              <w:snapToGrid w:val="0"/>
              <w:jc w:val="left"/>
              <w:rPr>
                <w:rFonts w:hint="eastAsia" w:ascii="宋体" w:hAnsi="宋体" w:cs="宋体"/>
                <w:sz w:val="24"/>
              </w:rPr>
            </w:pPr>
            <w:r>
              <w:rPr>
                <w:rFonts w:hint="eastAsia" w:ascii="宋体" w:hAnsi="宋体" w:cs="宋体"/>
                <w:kern w:val="0"/>
                <w:sz w:val="24"/>
                <w:lang w:bidi="ar"/>
              </w:rPr>
              <w:t>&gt;10个关节（至少1个小关节）</w:t>
            </w:r>
          </w:p>
        </w:tc>
        <w:tc>
          <w:tcPr>
            <w:tcW w:w="750" w:type="dxa"/>
            <w:tcBorders>
              <w:top w:val="nil"/>
              <w:left w:val="nil"/>
              <w:bottom w:val="nil"/>
              <w:right w:val="nil"/>
            </w:tcBorders>
            <w:noWrap w:val="0"/>
            <w:tcMar>
              <w:top w:w="75" w:type="dxa"/>
              <w:left w:w="120" w:type="dxa"/>
              <w:bottom w:w="75" w:type="dxa"/>
              <w:right w:w="-1" w:type="dxa"/>
            </w:tcMar>
            <w:vAlign w:val="center"/>
          </w:tcPr>
          <w:p w14:paraId="5696A7ED">
            <w:pPr>
              <w:widowControl/>
              <w:snapToGrid w:val="0"/>
              <w:jc w:val="left"/>
              <w:rPr>
                <w:rFonts w:hint="eastAsia" w:ascii="宋体" w:hAnsi="宋体" w:cs="宋体"/>
                <w:sz w:val="24"/>
              </w:rPr>
            </w:pPr>
            <w:r>
              <w:rPr>
                <w:rFonts w:hint="eastAsia" w:ascii="宋体" w:hAnsi="宋体" w:cs="宋体"/>
                <w:kern w:val="0"/>
                <w:sz w:val="24"/>
                <w:lang w:bidi="ar"/>
              </w:rPr>
              <w:t>5</w:t>
            </w:r>
          </w:p>
        </w:tc>
      </w:tr>
      <w:tr w14:paraId="7FDB6F63">
        <w:tblPrEx>
          <w:tblCellMar>
            <w:top w:w="15" w:type="dxa"/>
            <w:left w:w="15" w:type="dxa"/>
            <w:bottom w:w="15" w:type="dxa"/>
            <w:right w:w="15" w:type="dxa"/>
          </w:tblCellMar>
        </w:tblPrEx>
        <w:trPr>
          <w:jc w:val="center"/>
        </w:trPr>
        <w:tc>
          <w:tcPr>
            <w:tcBorders>
              <w:top w:val="nil"/>
              <w:left w:val="nil"/>
              <w:bottom w:val="nil"/>
              <w:right w:val="nil"/>
            </w:tcBorders>
            <w:noWrap w:val="0"/>
            <w:tcMar>
              <w:top w:w="75" w:type="dxa"/>
              <w:left w:w="-1" w:type="dxa"/>
              <w:bottom w:w="75" w:type="dxa"/>
              <w:right w:w="120" w:type="dxa"/>
            </w:tcMar>
            <w:vAlign w:val="center"/>
          </w:tcPr>
          <w:p w14:paraId="08410084">
            <w:pPr>
              <w:widowControl/>
              <w:snapToGrid w:val="0"/>
              <w:jc w:val="center"/>
              <w:rPr>
                <w:rFonts w:hint="eastAsia" w:ascii="宋体" w:hAnsi="宋体" w:cs="宋体"/>
                <w:sz w:val="24"/>
              </w:rPr>
            </w:pPr>
            <w:r>
              <w:rPr>
                <w:rStyle w:val="12"/>
                <w:rFonts w:hint="eastAsia" w:ascii="宋体" w:hAnsi="宋体" w:cs="宋体"/>
                <w:bCs/>
                <w:kern w:val="0"/>
                <w:sz w:val="24"/>
                <w:lang w:bidi="ar"/>
              </w:rPr>
              <w:t>B.血清学</w:t>
            </w:r>
          </w:p>
        </w:tc>
        <w:tc>
          <w:tcPr>
            <w:tcBorders>
              <w:top w:val="nil"/>
              <w:left w:val="nil"/>
              <w:bottom w:val="nil"/>
              <w:right w:val="nil"/>
            </w:tcBorders>
            <w:noWrap w:val="0"/>
            <w:tcMar>
              <w:top w:w="75" w:type="dxa"/>
              <w:left w:w="120" w:type="dxa"/>
              <w:bottom w:w="75" w:type="dxa"/>
              <w:right w:w="120" w:type="dxa"/>
            </w:tcMar>
            <w:vAlign w:val="center"/>
          </w:tcPr>
          <w:p w14:paraId="4DBE89FD">
            <w:pPr>
              <w:widowControl/>
              <w:snapToGrid w:val="0"/>
              <w:jc w:val="left"/>
              <w:rPr>
                <w:rFonts w:hint="eastAsia" w:ascii="宋体" w:hAnsi="宋体" w:cs="宋体"/>
                <w:sz w:val="24"/>
              </w:rPr>
            </w:pPr>
            <w:r>
              <w:rPr>
                <w:rFonts w:hint="eastAsia" w:ascii="宋体" w:hAnsi="宋体" w:cs="宋体"/>
                <w:kern w:val="0"/>
                <w:sz w:val="24"/>
                <w:lang w:bidi="ar"/>
              </w:rPr>
              <w:t>RF和抗CCP抗体均阴性</w:t>
            </w:r>
          </w:p>
        </w:tc>
        <w:tc>
          <w:tcPr>
            <w:tcW w:w="750" w:type="dxa"/>
            <w:tcBorders>
              <w:top w:val="nil"/>
              <w:left w:val="nil"/>
              <w:bottom w:val="nil"/>
              <w:right w:val="nil"/>
            </w:tcBorders>
            <w:noWrap w:val="0"/>
            <w:tcMar>
              <w:top w:w="75" w:type="dxa"/>
              <w:left w:w="120" w:type="dxa"/>
              <w:bottom w:w="75" w:type="dxa"/>
              <w:right w:w="-1" w:type="dxa"/>
            </w:tcMar>
            <w:vAlign w:val="center"/>
          </w:tcPr>
          <w:p w14:paraId="51ABC965">
            <w:pPr>
              <w:widowControl/>
              <w:snapToGrid w:val="0"/>
              <w:jc w:val="left"/>
              <w:rPr>
                <w:rFonts w:hint="eastAsia" w:ascii="宋体" w:hAnsi="宋体" w:cs="宋体"/>
                <w:sz w:val="24"/>
              </w:rPr>
            </w:pPr>
            <w:r>
              <w:rPr>
                <w:rFonts w:hint="eastAsia" w:ascii="宋体" w:hAnsi="宋体" w:cs="宋体"/>
                <w:kern w:val="0"/>
                <w:sz w:val="24"/>
                <w:lang w:bidi="ar"/>
              </w:rPr>
              <w:t>0</w:t>
            </w:r>
          </w:p>
        </w:tc>
      </w:tr>
      <w:tr w14:paraId="08F62F7F">
        <w:tblPrEx>
          <w:tblCellMar>
            <w:top w:w="15" w:type="dxa"/>
            <w:left w:w="15" w:type="dxa"/>
            <w:bottom w:w="15" w:type="dxa"/>
            <w:right w:w="15" w:type="dxa"/>
          </w:tblCellMar>
        </w:tblPrEx>
        <w:trPr>
          <w:jc w:val="center"/>
        </w:trPr>
        <w:tc>
          <w:tcPr>
            <w:tcBorders>
              <w:top w:val="nil"/>
              <w:left w:val="nil"/>
              <w:bottom w:val="nil"/>
              <w:right w:val="nil"/>
            </w:tcBorders>
            <w:noWrap w:val="0"/>
            <w:tcMar>
              <w:top w:w="75" w:type="dxa"/>
              <w:left w:w="-1" w:type="dxa"/>
              <w:bottom w:w="75" w:type="dxa"/>
              <w:right w:w="120" w:type="dxa"/>
            </w:tcMar>
            <w:vAlign w:val="center"/>
          </w:tcPr>
          <w:p w14:paraId="7753F3FD">
            <w:pPr>
              <w:snapToGrid w:val="0"/>
              <w:jc w:val="center"/>
              <w:rPr>
                <w:rFonts w:hint="eastAsia" w:ascii="宋体" w:hAnsi="宋体" w:cs="宋体"/>
                <w:sz w:val="24"/>
              </w:rPr>
            </w:pPr>
          </w:p>
        </w:tc>
        <w:tc>
          <w:tcPr>
            <w:tcBorders>
              <w:top w:val="nil"/>
              <w:left w:val="nil"/>
              <w:bottom w:val="nil"/>
              <w:right w:val="nil"/>
            </w:tcBorders>
            <w:noWrap w:val="0"/>
            <w:tcMar>
              <w:top w:w="75" w:type="dxa"/>
              <w:left w:w="120" w:type="dxa"/>
              <w:bottom w:w="75" w:type="dxa"/>
              <w:right w:w="120" w:type="dxa"/>
            </w:tcMar>
            <w:vAlign w:val="center"/>
          </w:tcPr>
          <w:p w14:paraId="1BA9EC1B">
            <w:pPr>
              <w:widowControl/>
              <w:snapToGrid w:val="0"/>
              <w:jc w:val="left"/>
              <w:rPr>
                <w:rFonts w:hint="eastAsia" w:ascii="宋体" w:hAnsi="宋体" w:cs="宋体"/>
                <w:sz w:val="24"/>
              </w:rPr>
            </w:pPr>
            <w:r>
              <w:rPr>
                <w:rFonts w:hint="eastAsia" w:ascii="宋体" w:hAnsi="宋体" w:cs="宋体"/>
                <w:kern w:val="0"/>
                <w:sz w:val="24"/>
                <w:lang w:bidi="ar"/>
              </w:rPr>
              <w:t>RF或抗CCP抗体至少一项低滴度阳性（&gt;正常上限，≤3倍正常。</w:t>
            </w:r>
          </w:p>
        </w:tc>
        <w:tc>
          <w:tcPr>
            <w:tcW w:w="750" w:type="dxa"/>
            <w:tcBorders>
              <w:top w:val="nil"/>
              <w:left w:val="nil"/>
              <w:bottom w:val="nil"/>
              <w:right w:val="nil"/>
            </w:tcBorders>
            <w:noWrap w:val="0"/>
            <w:tcMar>
              <w:top w:w="75" w:type="dxa"/>
              <w:left w:w="120" w:type="dxa"/>
              <w:bottom w:w="75" w:type="dxa"/>
              <w:right w:w="-1" w:type="dxa"/>
            </w:tcMar>
            <w:vAlign w:val="center"/>
          </w:tcPr>
          <w:p w14:paraId="6C2F321C">
            <w:pPr>
              <w:widowControl/>
              <w:snapToGrid w:val="0"/>
              <w:jc w:val="left"/>
              <w:rPr>
                <w:rFonts w:hint="eastAsia" w:ascii="宋体" w:hAnsi="宋体" w:cs="宋体"/>
                <w:sz w:val="24"/>
              </w:rPr>
            </w:pPr>
            <w:r>
              <w:rPr>
                <w:rFonts w:hint="eastAsia" w:ascii="宋体" w:hAnsi="宋体" w:cs="宋体"/>
                <w:kern w:val="0"/>
                <w:sz w:val="24"/>
                <w:lang w:bidi="ar"/>
              </w:rPr>
              <w:t>2</w:t>
            </w:r>
          </w:p>
        </w:tc>
      </w:tr>
      <w:tr w14:paraId="105A88B3">
        <w:tblPrEx>
          <w:tblCellMar>
            <w:top w:w="15" w:type="dxa"/>
            <w:left w:w="15" w:type="dxa"/>
            <w:bottom w:w="15" w:type="dxa"/>
            <w:right w:w="15" w:type="dxa"/>
          </w:tblCellMar>
        </w:tblPrEx>
        <w:trPr>
          <w:jc w:val="center"/>
        </w:trPr>
        <w:tc>
          <w:tcPr>
            <w:tcBorders>
              <w:top w:val="nil"/>
              <w:left w:val="nil"/>
              <w:bottom w:val="nil"/>
              <w:right w:val="nil"/>
            </w:tcBorders>
            <w:noWrap w:val="0"/>
            <w:tcMar>
              <w:top w:w="75" w:type="dxa"/>
              <w:left w:w="-1" w:type="dxa"/>
              <w:bottom w:w="75" w:type="dxa"/>
              <w:right w:w="120" w:type="dxa"/>
            </w:tcMar>
            <w:vAlign w:val="center"/>
          </w:tcPr>
          <w:p w14:paraId="604921CC">
            <w:pPr>
              <w:snapToGrid w:val="0"/>
              <w:jc w:val="center"/>
              <w:rPr>
                <w:rFonts w:hint="eastAsia" w:ascii="宋体" w:hAnsi="宋体" w:cs="宋体"/>
                <w:sz w:val="24"/>
              </w:rPr>
            </w:pPr>
          </w:p>
        </w:tc>
        <w:tc>
          <w:tcPr>
            <w:tcBorders>
              <w:top w:val="nil"/>
              <w:left w:val="nil"/>
              <w:bottom w:val="nil"/>
              <w:right w:val="nil"/>
            </w:tcBorders>
            <w:noWrap w:val="0"/>
            <w:tcMar>
              <w:top w:w="75" w:type="dxa"/>
              <w:left w:w="120" w:type="dxa"/>
              <w:bottom w:w="75" w:type="dxa"/>
              <w:right w:w="120" w:type="dxa"/>
            </w:tcMar>
            <w:vAlign w:val="center"/>
          </w:tcPr>
          <w:p w14:paraId="55B0558D">
            <w:pPr>
              <w:widowControl/>
              <w:snapToGrid w:val="0"/>
              <w:jc w:val="left"/>
              <w:rPr>
                <w:rFonts w:hint="eastAsia" w:ascii="宋体" w:hAnsi="宋体" w:cs="宋体"/>
                <w:sz w:val="24"/>
              </w:rPr>
            </w:pPr>
            <w:r>
              <w:rPr>
                <w:rFonts w:hint="eastAsia" w:ascii="宋体" w:hAnsi="宋体" w:cs="宋体"/>
                <w:kern w:val="0"/>
                <w:sz w:val="24"/>
                <w:lang w:bidi="ar"/>
              </w:rPr>
              <w:t>RF或抗CCP抗体至少一项高滴度阳性（&gt;3倍正常上限）</w:t>
            </w:r>
          </w:p>
        </w:tc>
        <w:tc>
          <w:tcPr>
            <w:tcW w:w="750" w:type="dxa"/>
            <w:tcBorders>
              <w:top w:val="nil"/>
              <w:left w:val="nil"/>
              <w:bottom w:val="nil"/>
              <w:right w:val="nil"/>
            </w:tcBorders>
            <w:noWrap w:val="0"/>
            <w:tcMar>
              <w:top w:w="75" w:type="dxa"/>
              <w:left w:w="120" w:type="dxa"/>
              <w:bottom w:w="75" w:type="dxa"/>
              <w:right w:w="-1" w:type="dxa"/>
            </w:tcMar>
            <w:vAlign w:val="center"/>
          </w:tcPr>
          <w:p w14:paraId="5D1A92A8">
            <w:pPr>
              <w:widowControl/>
              <w:snapToGrid w:val="0"/>
              <w:jc w:val="left"/>
              <w:rPr>
                <w:rFonts w:hint="eastAsia" w:ascii="宋体" w:hAnsi="宋体" w:cs="宋体"/>
                <w:sz w:val="24"/>
              </w:rPr>
            </w:pPr>
            <w:r>
              <w:rPr>
                <w:rFonts w:hint="eastAsia" w:ascii="宋体" w:hAnsi="宋体" w:cs="宋体"/>
                <w:kern w:val="0"/>
                <w:sz w:val="24"/>
                <w:lang w:bidi="ar"/>
              </w:rPr>
              <w:t>3</w:t>
            </w:r>
          </w:p>
        </w:tc>
      </w:tr>
      <w:tr w14:paraId="0EFA545B">
        <w:tblPrEx>
          <w:tblCellMar>
            <w:top w:w="15" w:type="dxa"/>
            <w:left w:w="15" w:type="dxa"/>
            <w:bottom w:w="15" w:type="dxa"/>
            <w:right w:w="15" w:type="dxa"/>
          </w:tblCellMar>
        </w:tblPrEx>
        <w:trPr>
          <w:jc w:val="center"/>
        </w:trPr>
        <w:tc>
          <w:tcPr>
            <w:tcBorders>
              <w:top w:val="nil"/>
              <w:left w:val="nil"/>
              <w:bottom w:val="nil"/>
              <w:right w:val="nil"/>
            </w:tcBorders>
            <w:noWrap w:val="0"/>
            <w:tcMar>
              <w:top w:w="75" w:type="dxa"/>
              <w:left w:w="-1" w:type="dxa"/>
              <w:bottom w:w="75" w:type="dxa"/>
              <w:right w:w="120" w:type="dxa"/>
            </w:tcMar>
            <w:vAlign w:val="center"/>
          </w:tcPr>
          <w:p w14:paraId="3CA69CCC">
            <w:pPr>
              <w:widowControl/>
              <w:snapToGrid w:val="0"/>
              <w:jc w:val="center"/>
              <w:rPr>
                <w:rFonts w:hint="eastAsia" w:ascii="宋体" w:hAnsi="宋体" w:cs="宋体"/>
                <w:sz w:val="24"/>
              </w:rPr>
            </w:pPr>
            <w:r>
              <w:rPr>
                <w:rStyle w:val="12"/>
                <w:rFonts w:hint="eastAsia" w:ascii="宋体" w:hAnsi="宋体" w:cs="宋体"/>
                <w:bCs/>
                <w:kern w:val="0"/>
                <w:sz w:val="24"/>
                <w:lang w:bidi="ar"/>
              </w:rPr>
              <w:t>C.急性时相反应</w:t>
            </w:r>
          </w:p>
        </w:tc>
        <w:tc>
          <w:tcPr>
            <w:tcBorders>
              <w:top w:val="nil"/>
              <w:left w:val="nil"/>
              <w:bottom w:val="nil"/>
              <w:right w:val="nil"/>
            </w:tcBorders>
            <w:noWrap w:val="0"/>
            <w:tcMar>
              <w:top w:w="75" w:type="dxa"/>
              <w:left w:w="120" w:type="dxa"/>
              <w:bottom w:w="75" w:type="dxa"/>
              <w:right w:w="120" w:type="dxa"/>
            </w:tcMar>
            <w:vAlign w:val="center"/>
          </w:tcPr>
          <w:p w14:paraId="0A6A7E08">
            <w:pPr>
              <w:widowControl/>
              <w:snapToGrid w:val="0"/>
              <w:jc w:val="left"/>
              <w:rPr>
                <w:rFonts w:hint="eastAsia" w:ascii="宋体" w:hAnsi="宋体" w:cs="宋体"/>
                <w:sz w:val="24"/>
              </w:rPr>
            </w:pPr>
            <w:r>
              <w:rPr>
                <w:rFonts w:hint="eastAsia" w:ascii="宋体" w:hAnsi="宋体" w:cs="宋体"/>
                <w:kern w:val="0"/>
                <w:sz w:val="24"/>
                <w:lang w:bidi="ar"/>
              </w:rPr>
              <w:t>CRP和ESR均正常</w:t>
            </w:r>
          </w:p>
        </w:tc>
        <w:tc>
          <w:tcPr>
            <w:tcW w:w="750" w:type="dxa"/>
            <w:tcBorders>
              <w:top w:val="nil"/>
              <w:left w:val="nil"/>
              <w:bottom w:val="nil"/>
              <w:right w:val="nil"/>
            </w:tcBorders>
            <w:noWrap w:val="0"/>
            <w:tcMar>
              <w:top w:w="75" w:type="dxa"/>
              <w:left w:w="120" w:type="dxa"/>
              <w:bottom w:w="75" w:type="dxa"/>
              <w:right w:w="-1" w:type="dxa"/>
            </w:tcMar>
            <w:vAlign w:val="center"/>
          </w:tcPr>
          <w:p w14:paraId="5795716C">
            <w:pPr>
              <w:widowControl/>
              <w:snapToGrid w:val="0"/>
              <w:jc w:val="left"/>
              <w:rPr>
                <w:rFonts w:hint="eastAsia" w:ascii="宋体" w:hAnsi="宋体" w:cs="宋体"/>
                <w:sz w:val="24"/>
              </w:rPr>
            </w:pPr>
            <w:r>
              <w:rPr>
                <w:rFonts w:hint="eastAsia" w:ascii="宋体" w:hAnsi="宋体" w:cs="宋体"/>
                <w:kern w:val="0"/>
                <w:sz w:val="24"/>
                <w:lang w:bidi="ar"/>
              </w:rPr>
              <w:t>0</w:t>
            </w:r>
          </w:p>
        </w:tc>
      </w:tr>
      <w:tr w14:paraId="65170D0B">
        <w:tblPrEx>
          <w:tblCellMar>
            <w:top w:w="15" w:type="dxa"/>
            <w:left w:w="15" w:type="dxa"/>
            <w:bottom w:w="15" w:type="dxa"/>
            <w:right w:w="15" w:type="dxa"/>
          </w:tblCellMar>
        </w:tblPrEx>
        <w:trPr>
          <w:jc w:val="center"/>
        </w:trPr>
        <w:tc>
          <w:tcPr>
            <w:tcBorders>
              <w:top w:val="nil"/>
              <w:left w:val="nil"/>
              <w:bottom w:val="nil"/>
              <w:right w:val="nil"/>
            </w:tcBorders>
            <w:noWrap w:val="0"/>
            <w:tcMar>
              <w:top w:w="75" w:type="dxa"/>
              <w:left w:w="-1" w:type="dxa"/>
              <w:bottom w:w="75" w:type="dxa"/>
              <w:right w:w="120" w:type="dxa"/>
            </w:tcMar>
            <w:vAlign w:val="center"/>
          </w:tcPr>
          <w:p w14:paraId="75E678B6">
            <w:pPr>
              <w:snapToGrid w:val="0"/>
              <w:jc w:val="center"/>
              <w:rPr>
                <w:rFonts w:hint="eastAsia" w:ascii="宋体" w:hAnsi="宋体" w:cs="宋体"/>
                <w:sz w:val="24"/>
              </w:rPr>
            </w:pPr>
          </w:p>
        </w:tc>
        <w:tc>
          <w:tcPr>
            <w:tcBorders>
              <w:top w:val="nil"/>
              <w:left w:val="nil"/>
              <w:bottom w:val="nil"/>
              <w:right w:val="nil"/>
            </w:tcBorders>
            <w:noWrap w:val="0"/>
            <w:tcMar>
              <w:top w:w="75" w:type="dxa"/>
              <w:left w:w="120" w:type="dxa"/>
              <w:bottom w:w="75" w:type="dxa"/>
              <w:right w:w="120" w:type="dxa"/>
            </w:tcMar>
            <w:vAlign w:val="center"/>
          </w:tcPr>
          <w:p w14:paraId="23E2427E">
            <w:pPr>
              <w:widowControl/>
              <w:snapToGrid w:val="0"/>
              <w:jc w:val="left"/>
              <w:rPr>
                <w:rFonts w:hint="eastAsia" w:ascii="宋体" w:hAnsi="宋体" w:cs="宋体"/>
                <w:sz w:val="24"/>
              </w:rPr>
            </w:pPr>
            <w:r>
              <w:rPr>
                <w:rFonts w:hint="eastAsia" w:ascii="宋体" w:hAnsi="宋体" w:cs="宋体"/>
                <w:kern w:val="0"/>
                <w:sz w:val="24"/>
                <w:lang w:bidi="ar"/>
              </w:rPr>
              <w:t>CRP或ESR升高</w:t>
            </w:r>
          </w:p>
        </w:tc>
        <w:tc>
          <w:tcPr>
            <w:tcW w:w="750" w:type="dxa"/>
            <w:tcBorders>
              <w:top w:val="nil"/>
              <w:left w:val="nil"/>
              <w:bottom w:val="nil"/>
              <w:right w:val="nil"/>
            </w:tcBorders>
            <w:noWrap w:val="0"/>
            <w:tcMar>
              <w:top w:w="75" w:type="dxa"/>
              <w:left w:w="120" w:type="dxa"/>
              <w:bottom w:w="75" w:type="dxa"/>
              <w:right w:w="-1" w:type="dxa"/>
            </w:tcMar>
            <w:vAlign w:val="center"/>
          </w:tcPr>
          <w:p w14:paraId="762296A9">
            <w:pPr>
              <w:widowControl/>
              <w:snapToGrid w:val="0"/>
              <w:jc w:val="left"/>
              <w:rPr>
                <w:rFonts w:hint="eastAsia" w:ascii="宋体" w:hAnsi="宋体" w:cs="宋体"/>
                <w:sz w:val="24"/>
              </w:rPr>
            </w:pPr>
            <w:r>
              <w:rPr>
                <w:rFonts w:hint="eastAsia" w:ascii="宋体" w:hAnsi="宋体" w:cs="宋体"/>
                <w:kern w:val="0"/>
                <w:sz w:val="24"/>
                <w:lang w:bidi="ar"/>
              </w:rPr>
              <w:t>1</w:t>
            </w:r>
          </w:p>
        </w:tc>
      </w:tr>
      <w:tr w14:paraId="40E0D3CB">
        <w:tblPrEx>
          <w:tblCellMar>
            <w:top w:w="15" w:type="dxa"/>
            <w:left w:w="15" w:type="dxa"/>
            <w:bottom w:w="15" w:type="dxa"/>
            <w:right w:w="15" w:type="dxa"/>
          </w:tblCellMar>
        </w:tblPrEx>
        <w:trPr>
          <w:jc w:val="center"/>
        </w:trPr>
        <w:tc>
          <w:tcPr>
            <w:tcBorders>
              <w:top w:val="nil"/>
              <w:left w:val="nil"/>
              <w:bottom w:val="nil"/>
              <w:right w:val="nil"/>
            </w:tcBorders>
            <w:noWrap w:val="0"/>
            <w:tcMar>
              <w:top w:w="75" w:type="dxa"/>
              <w:left w:w="-1" w:type="dxa"/>
              <w:bottom w:w="75" w:type="dxa"/>
              <w:right w:w="120" w:type="dxa"/>
            </w:tcMar>
            <w:vAlign w:val="center"/>
          </w:tcPr>
          <w:p w14:paraId="07CA6F91">
            <w:pPr>
              <w:widowControl/>
              <w:snapToGrid w:val="0"/>
              <w:jc w:val="center"/>
              <w:rPr>
                <w:rFonts w:hint="eastAsia" w:ascii="宋体" w:hAnsi="宋体" w:cs="宋体"/>
                <w:sz w:val="24"/>
              </w:rPr>
            </w:pPr>
            <w:r>
              <w:rPr>
                <w:rStyle w:val="12"/>
                <w:rFonts w:hint="eastAsia" w:ascii="宋体" w:hAnsi="宋体" w:cs="宋体"/>
                <w:bCs/>
                <w:kern w:val="0"/>
                <w:sz w:val="24"/>
                <w:lang w:bidi="ar"/>
              </w:rPr>
              <w:t>D.症状持续时间</w:t>
            </w:r>
          </w:p>
        </w:tc>
        <w:tc>
          <w:tcPr>
            <w:tcBorders>
              <w:top w:val="nil"/>
              <w:left w:val="nil"/>
              <w:bottom w:val="nil"/>
              <w:right w:val="nil"/>
            </w:tcBorders>
            <w:noWrap w:val="0"/>
            <w:tcMar>
              <w:top w:w="75" w:type="dxa"/>
              <w:left w:w="120" w:type="dxa"/>
              <w:bottom w:w="75" w:type="dxa"/>
              <w:right w:w="120" w:type="dxa"/>
            </w:tcMar>
            <w:vAlign w:val="center"/>
          </w:tcPr>
          <w:p w14:paraId="67A1966B">
            <w:pPr>
              <w:widowControl/>
              <w:snapToGrid w:val="0"/>
              <w:jc w:val="left"/>
              <w:rPr>
                <w:rFonts w:hint="eastAsia" w:ascii="宋体" w:hAnsi="宋体" w:cs="宋体"/>
                <w:sz w:val="24"/>
              </w:rPr>
            </w:pPr>
            <w:r>
              <w:rPr>
                <w:rFonts w:hint="eastAsia" w:ascii="宋体" w:hAnsi="宋体" w:cs="宋体"/>
                <w:kern w:val="0"/>
                <w:sz w:val="24"/>
                <w:lang w:bidi="ar"/>
              </w:rPr>
              <w:t>&lt;6周</w:t>
            </w:r>
          </w:p>
        </w:tc>
        <w:tc>
          <w:tcPr>
            <w:tcW w:w="750" w:type="dxa"/>
            <w:tcBorders>
              <w:top w:val="nil"/>
              <w:left w:val="nil"/>
              <w:bottom w:val="nil"/>
              <w:right w:val="nil"/>
            </w:tcBorders>
            <w:noWrap w:val="0"/>
            <w:tcMar>
              <w:top w:w="75" w:type="dxa"/>
              <w:left w:w="120" w:type="dxa"/>
              <w:bottom w:w="75" w:type="dxa"/>
              <w:right w:w="-1" w:type="dxa"/>
            </w:tcMar>
            <w:vAlign w:val="center"/>
          </w:tcPr>
          <w:p w14:paraId="2EA11155">
            <w:pPr>
              <w:widowControl/>
              <w:snapToGrid w:val="0"/>
              <w:jc w:val="left"/>
              <w:rPr>
                <w:rFonts w:hint="eastAsia" w:ascii="宋体" w:hAnsi="宋体" w:cs="宋体"/>
                <w:sz w:val="24"/>
              </w:rPr>
            </w:pPr>
            <w:r>
              <w:rPr>
                <w:rFonts w:hint="eastAsia" w:ascii="宋体" w:hAnsi="宋体" w:cs="宋体"/>
                <w:kern w:val="0"/>
                <w:sz w:val="24"/>
                <w:lang w:bidi="ar"/>
              </w:rPr>
              <w:t>0</w:t>
            </w:r>
          </w:p>
        </w:tc>
      </w:tr>
      <w:tr w14:paraId="05171B3B">
        <w:tblPrEx>
          <w:tblCellMar>
            <w:top w:w="15" w:type="dxa"/>
            <w:left w:w="15" w:type="dxa"/>
            <w:bottom w:w="15" w:type="dxa"/>
            <w:right w:w="15" w:type="dxa"/>
          </w:tblCellMar>
        </w:tblPrEx>
        <w:trPr>
          <w:jc w:val="center"/>
        </w:trPr>
        <w:tc>
          <w:tcPr>
            <w:tcW w:w="1599" w:type="dxa"/>
            <w:tcBorders>
              <w:top w:val="nil"/>
              <w:left w:val="nil"/>
              <w:bottom w:val="single" w:color="auto" w:sz="12" w:space="0"/>
              <w:right w:val="nil"/>
            </w:tcBorders>
            <w:noWrap w:val="0"/>
            <w:tcMar>
              <w:top w:w="75" w:type="dxa"/>
              <w:left w:w="-1" w:type="dxa"/>
              <w:bottom w:w="75" w:type="dxa"/>
              <w:right w:w="120" w:type="dxa"/>
            </w:tcMar>
            <w:vAlign w:val="center"/>
          </w:tcPr>
          <w:p w14:paraId="421B8EC1">
            <w:pPr>
              <w:snapToGrid w:val="0"/>
              <w:jc w:val="center"/>
              <w:rPr>
                <w:rFonts w:hint="eastAsia" w:ascii="宋体" w:hAnsi="宋体" w:cs="宋体"/>
                <w:sz w:val="24"/>
              </w:rPr>
            </w:pPr>
          </w:p>
        </w:tc>
        <w:tc>
          <w:tcPr>
            <w:tcW w:w="6156" w:type="dxa"/>
            <w:tcBorders>
              <w:top w:val="nil"/>
              <w:left w:val="nil"/>
              <w:bottom w:val="single" w:color="auto" w:sz="12" w:space="0"/>
              <w:right w:val="nil"/>
            </w:tcBorders>
            <w:noWrap w:val="0"/>
            <w:tcMar>
              <w:top w:w="75" w:type="dxa"/>
              <w:left w:w="120" w:type="dxa"/>
              <w:bottom w:w="75" w:type="dxa"/>
              <w:right w:w="120" w:type="dxa"/>
            </w:tcMar>
            <w:vAlign w:val="center"/>
          </w:tcPr>
          <w:p w14:paraId="2EF04101">
            <w:pPr>
              <w:widowControl/>
              <w:snapToGrid w:val="0"/>
              <w:jc w:val="left"/>
              <w:rPr>
                <w:rFonts w:hint="eastAsia" w:ascii="宋体" w:hAnsi="宋体" w:cs="宋体"/>
                <w:sz w:val="24"/>
              </w:rPr>
            </w:pPr>
            <w:r>
              <w:rPr>
                <w:rFonts w:hint="eastAsia" w:ascii="宋体" w:hAnsi="宋体" w:cs="宋体"/>
                <w:kern w:val="0"/>
                <w:sz w:val="24"/>
                <w:lang w:bidi="ar"/>
              </w:rPr>
              <w:t>≥6周</w:t>
            </w:r>
          </w:p>
        </w:tc>
        <w:tc>
          <w:tcPr>
            <w:tcW w:w="750" w:type="dxa"/>
            <w:tcBorders>
              <w:top w:val="nil"/>
              <w:left w:val="nil"/>
              <w:bottom w:val="single" w:color="auto" w:sz="12" w:space="0"/>
              <w:right w:val="nil"/>
            </w:tcBorders>
            <w:noWrap w:val="0"/>
            <w:tcMar>
              <w:top w:w="75" w:type="dxa"/>
              <w:left w:w="120" w:type="dxa"/>
              <w:bottom w:w="75" w:type="dxa"/>
              <w:right w:w="-1" w:type="dxa"/>
            </w:tcMar>
            <w:vAlign w:val="center"/>
          </w:tcPr>
          <w:p w14:paraId="2BDAE254">
            <w:pPr>
              <w:widowControl/>
              <w:snapToGrid w:val="0"/>
              <w:jc w:val="left"/>
              <w:rPr>
                <w:rFonts w:hint="eastAsia" w:ascii="宋体" w:hAnsi="宋体" w:cs="宋体"/>
                <w:sz w:val="24"/>
              </w:rPr>
            </w:pPr>
            <w:r>
              <w:rPr>
                <w:rFonts w:hint="eastAsia" w:ascii="宋体" w:hAnsi="宋体" w:cs="宋体"/>
                <w:kern w:val="0"/>
                <w:sz w:val="24"/>
                <w:lang w:bidi="ar"/>
              </w:rPr>
              <w:t>1</w:t>
            </w:r>
          </w:p>
        </w:tc>
      </w:tr>
    </w:tbl>
    <w:p w14:paraId="19216D37">
      <w:pPr>
        <w:pStyle w:val="9"/>
        <w:widowControl/>
        <w:shd w:val="clear" w:color="auto" w:fill="FFFFFF"/>
        <w:spacing w:before="120" w:beforeAutospacing="0" w:after="120" w:afterAutospacing="0" w:line="360" w:lineRule="auto"/>
        <w:ind w:firstLine="482" w:firstLineChars="200"/>
        <w:rPr>
          <w:rFonts w:hint="eastAsia" w:ascii="宋体" w:hAnsi="宋体" w:cs="宋体"/>
          <w:color w:val="0F1115"/>
        </w:rPr>
      </w:pPr>
      <w:r>
        <w:rPr>
          <w:rStyle w:val="12"/>
          <w:rFonts w:hint="eastAsia" w:ascii="宋体" w:hAnsi="宋体" w:cs="宋体"/>
          <w:bCs/>
          <w:color w:val="0F1115"/>
          <w:shd w:val="clear" w:color="auto" w:fill="FFFFFF"/>
        </w:rPr>
        <w:t>附注</w:t>
      </w:r>
      <w:r>
        <w:rPr>
          <w:rFonts w:hint="eastAsia" w:ascii="宋体" w:hAnsi="宋体" w:cs="宋体"/>
          <w:color w:val="0F1115"/>
          <w:shd w:val="clear" w:color="auto" w:fill="FFFFFF"/>
        </w:rPr>
        <w:t>：（1）本表适用于至少有1个关节存在明确临床滑膜炎、且该滑膜炎不能被其他疾病更好解释的患者。（2）评估时以患者就诊时受累关节状况为准。（3）每项仅取最高分。（4）总分≥6分可分类为RA。（5）典型骨侵蚀改变的患者，即使评分&lt;6分也可分类为RA。总分最高为10分。（6）大关节包括：肩、肘、髋、膝、踝；小关节包括：掌指关节、近端指间关节、第2–5跖趾关节、腕关节；不包括：远端指间关节、第1腕掌关节、第1跖趾关节。</w:t>
      </w:r>
    </w:p>
    <w:p w14:paraId="620886FD">
      <w:pPr>
        <w:pStyle w:val="2"/>
        <w:keepNext/>
        <w:keepLines/>
        <w:spacing w:before="10" w:beforeAutospacing="0" w:after="10" w:afterAutospacing="0" w:line="360" w:lineRule="auto"/>
        <w:jc w:val="center"/>
        <w:rPr>
          <w:rFonts w:ascii="黑体" w:hAnsi="黑体" w:eastAsia="黑体" w:cs="黑体"/>
          <w:b w:val="0"/>
          <w:sz w:val="21"/>
          <w:szCs w:val="21"/>
        </w:rPr>
      </w:pPr>
      <w:r>
        <w:rPr>
          <w:rFonts w:ascii="黑体" w:hAnsi="黑体" w:eastAsia="黑体" w:cs="黑体"/>
          <w:b w:val="0"/>
          <w:sz w:val="21"/>
          <w:szCs w:val="21"/>
        </w:rPr>
        <w:t>附录C</w:t>
      </w:r>
    </w:p>
    <w:p w14:paraId="52EC98E1">
      <w:pPr>
        <w:pStyle w:val="2"/>
        <w:keepNext/>
        <w:keepLines/>
        <w:spacing w:before="10" w:beforeAutospacing="0" w:after="10" w:afterAutospacing="0" w:line="360" w:lineRule="auto"/>
        <w:jc w:val="center"/>
        <w:rPr>
          <w:rFonts w:ascii="黑体" w:hAnsi="黑体" w:eastAsia="黑体" w:cs="黑体"/>
          <w:b w:val="0"/>
          <w:sz w:val="21"/>
          <w:szCs w:val="21"/>
        </w:rPr>
      </w:pPr>
      <w:r>
        <w:rPr>
          <w:rFonts w:ascii="黑体" w:hAnsi="黑体" w:eastAsia="黑体" w:cs="黑体"/>
          <w:b w:val="0"/>
          <w:sz w:val="21"/>
          <w:szCs w:val="21"/>
        </w:rPr>
        <w:t>（资料性）</w:t>
      </w:r>
    </w:p>
    <w:p w14:paraId="2D98C2E8">
      <w:pPr>
        <w:pStyle w:val="2"/>
        <w:keepNext/>
        <w:keepLines/>
        <w:spacing w:before="10" w:beforeAutospacing="0" w:after="10" w:afterAutospacing="0" w:line="360" w:lineRule="auto"/>
        <w:jc w:val="center"/>
        <w:rPr>
          <w:rFonts w:ascii="黑体" w:hAnsi="黑体" w:eastAsia="黑体" w:cs="黑体"/>
          <w:b w:val="0"/>
          <w:sz w:val="21"/>
          <w:szCs w:val="21"/>
        </w:rPr>
      </w:pPr>
      <w:r>
        <w:rPr>
          <w:rFonts w:ascii="黑体" w:hAnsi="黑体" w:eastAsia="黑体" w:cs="黑体"/>
          <w:b w:val="0"/>
          <w:sz w:val="21"/>
          <w:szCs w:val="21"/>
        </w:rPr>
        <w:t>类风湿关节炎疾病活动度评估工具及分层标准</w:t>
      </w:r>
    </w:p>
    <w:p w14:paraId="3C712DAE">
      <w:pPr>
        <w:pStyle w:val="9"/>
        <w:widowControl/>
        <w:shd w:val="clear" w:color="auto" w:fill="FFFFFF"/>
        <w:spacing w:before="120" w:beforeAutospacing="0" w:after="120" w:afterAutospacing="0" w:line="360" w:lineRule="auto"/>
        <w:ind w:firstLine="482" w:firstLineChars="200"/>
        <w:rPr>
          <w:rFonts w:hint="eastAsia" w:ascii="宋体" w:hAnsi="宋体" w:cs="宋体"/>
          <w:color w:val="0F1115"/>
        </w:rPr>
      </w:pPr>
      <w:r>
        <w:rPr>
          <w:rStyle w:val="12"/>
          <w:rFonts w:hint="eastAsia" w:ascii="宋体" w:hAnsi="宋体" w:cs="宋体"/>
          <w:bCs/>
          <w:color w:val="0F1115"/>
          <w:shd w:val="clear" w:color="auto" w:fill="FFFFFF"/>
        </w:rPr>
        <w:t>表C.1 常用疾病活动度评估工具及计算公式</w:t>
      </w:r>
    </w:p>
    <w:tbl>
      <w:tblPr>
        <w:tblStyle w:val="10"/>
        <w:tblW w:w="8522" w:type="dxa"/>
        <w:jc w:val="center"/>
        <w:tblLayout w:type="autofit"/>
        <w:tblCellMar>
          <w:top w:w="15" w:type="dxa"/>
          <w:left w:w="15" w:type="dxa"/>
          <w:bottom w:w="15" w:type="dxa"/>
          <w:right w:w="15" w:type="dxa"/>
        </w:tblCellMar>
      </w:tblPr>
      <w:tblGrid>
        <w:gridCol w:w="1232"/>
        <w:gridCol w:w="1503"/>
        <w:gridCol w:w="3122"/>
        <w:gridCol w:w="2665"/>
      </w:tblGrid>
      <w:tr w14:paraId="0CF95B07">
        <w:tblPrEx>
          <w:tblCellMar>
            <w:top w:w="15" w:type="dxa"/>
            <w:left w:w="15" w:type="dxa"/>
            <w:bottom w:w="15" w:type="dxa"/>
            <w:right w:w="15" w:type="dxa"/>
          </w:tblCellMar>
        </w:tblPrEx>
        <w:trPr>
          <w:tblHeader/>
          <w:jc w:val="center"/>
        </w:trPr>
        <w:tc>
          <w:tcPr>
            <w:tcBorders>
              <w:top w:val="single" w:color="auto" w:sz="12" w:space="0"/>
              <w:left w:val="nil"/>
              <w:bottom w:val="nil"/>
              <w:right w:val="nil"/>
            </w:tcBorders>
            <w:noWrap w:val="0"/>
            <w:tcMar>
              <w:top w:w="75" w:type="dxa"/>
              <w:left w:w="-1" w:type="dxa"/>
              <w:bottom w:w="75" w:type="dxa"/>
              <w:right w:w="120" w:type="dxa"/>
            </w:tcMar>
            <w:vAlign w:val="center"/>
          </w:tcPr>
          <w:p w14:paraId="330875EC">
            <w:pPr>
              <w:widowControl/>
              <w:snapToGrid w:val="0"/>
              <w:jc w:val="center"/>
              <w:rPr>
                <w:rFonts w:hint="eastAsia" w:ascii="宋体" w:hAnsi="宋体" w:cs="宋体"/>
                <w:b/>
                <w:sz w:val="24"/>
              </w:rPr>
            </w:pPr>
            <w:r>
              <w:rPr>
                <w:rStyle w:val="12"/>
                <w:rFonts w:hint="eastAsia" w:ascii="宋体" w:hAnsi="宋体" w:cs="宋体"/>
                <w:bCs/>
                <w:kern w:val="0"/>
                <w:sz w:val="24"/>
                <w:lang w:bidi="ar"/>
              </w:rPr>
              <w:t>评估工具</w:t>
            </w:r>
          </w:p>
        </w:tc>
        <w:tc>
          <w:tcPr>
            <w:tcW w:w="1503" w:type="dxa"/>
            <w:tcBorders>
              <w:top w:val="single" w:color="auto" w:sz="12" w:space="0"/>
              <w:left w:val="nil"/>
              <w:bottom w:val="nil"/>
              <w:right w:val="nil"/>
            </w:tcBorders>
            <w:noWrap w:val="0"/>
            <w:tcMar>
              <w:top w:w="75" w:type="dxa"/>
              <w:left w:w="120" w:type="dxa"/>
              <w:bottom w:w="75" w:type="dxa"/>
              <w:right w:w="120" w:type="dxa"/>
            </w:tcMar>
            <w:vAlign w:val="center"/>
          </w:tcPr>
          <w:p w14:paraId="5B5AA94E">
            <w:pPr>
              <w:widowControl/>
              <w:snapToGrid w:val="0"/>
              <w:jc w:val="center"/>
              <w:rPr>
                <w:rFonts w:hint="eastAsia" w:ascii="宋体" w:hAnsi="宋体" w:cs="宋体"/>
                <w:b/>
                <w:sz w:val="24"/>
              </w:rPr>
            </w:pPr>
            <w:r>
              <w:rPr>
                <w:rStyle w:val="12"/>
                <w:rFonts w:hint="eastAsia" w:ascii="宋体" w:hAnsi="宋体" w:cs="宋体"/>
                <w:bCs/>
                <w:kern w:val="0"/>
                <w:sz w:val="24"/>
                <w:lang w:bidi="ar"/>
              </w:rPr>
              <w:t>缩写</w:t>
            </w:r>
          </w:p>
        </w:tc>
        <w:tc>
          <w:tcPr>
            <w:tcW w:w="3122" w:type="dxa"/>
            <w:tcBorders>
              <w:top w:val="single" w:color="auto" w:sz="12" w:space="0"/>
              <w:left w:val="nil"/>
              <w:bottom w:val="nil"/>
              <w:right w:val="nil"/>
            </w:tcBorders>
            <w:noWrap w:val="0"/>
            <w:tcMar>
              <w:top w:w="75" w:type="dxa"/>
              <w:left w:w="120" w:type="dxa"/>
              <w:bottom w:w="75" w:type="dxa"/>
              <w:right w:w="120" w:type="dxa"/>
            </w:tcMar>
            <w:vAlign w:val="center"/>
          </w:tcPr>
          <w:p w14:paraId="6A8F1A50">
            <w:pPr>
              <w:widowControl/>
              <w:snapToGrid w:val="0"/>
              <w:jc w:val="center"/>
              <w:rPr>
                <w:rFonts w:hint="eastAsia" w:ascii="宋体" w:hAnsi="宋体" w:cs="宋体"/>
                <w:b/>
                <w:sz w:val="24"/>
              </w:rPr>
            </w:pPr>
            <w:r>
              <w:rPr>
                <w:rStyle w:val="12"/>
                <w:rFonts w:hint="eastAsia" w:ascii="宋体" w:hAnsi="宋体" w:cs="宋体"/>
                <w:bCs/>
                <w:kern w:val="0"/>
                <w:sz w:val="24"/>
                <w:lang w:bidi="ar"/>
              </w:rPr>
              <w:t>计算公式/构成要素</w:t>
            </w:r>
          </w:p>
        </w:tc>
        <w:tc>
          <w:tcPr>
            <w:tcW w:w="2665" w:type="dxa"/>
            <w:tcBorders>
              <w:top w:val="single" w:color="auto" w:sz="12" w:space="0"/>
              <w:left w:val="nil"/>
              <w:bottom w:val="nil"/>
              <w:right w:val="nil"/>
            </w:tcBorders>
            <w:noWrap w:val="0"/>
            <w:tcMar>
              <w:top w:w="75" w:type="dxa"/>
              <w:left w:w="120" w:type="dxa"/>
              <w:bottom w:w="75" w:type="dxa"/>
              <w:right w:w="120" w:type="dxa"/>
            </w:tcMar>
            <w:vAlign w:val="center"/>
          </w:tcPr>
          <w:p w14:paraId="05E9EEB4">
            <w:pPr>
              <w:widowControl/>
              <w:snapToGrid w:val="0"/>
              <w:jc w:val="center"/>
              <w:rPr>
                <w:rFonts w:hint="eastAsia" w:ascii="宋体" w:hAnsi="宋体" w:cs="宋体"/>
                <w:b/>
                <w:sz w:val="24"/>
              </w:rPr>
            </w:pPr>
            <w:r>
              <w:rPr>
                <w:rStyle w:val="12"/>
                <w:rFonts w:hint="eastAsia" w:ascii="宋体" w:hAnsi="宋体" w:cs="宋体"/>
                <w:bCs/>
                <w:kern w:val="0"/>
                <w:sz w:val="24"/>
                <w:lang w:bidi="ar"/>
              </w:rPr>
              <w:t>应用特点</w:t>
            </w:r>
          </w:p>
        </w:tc>
      </w:tr>
      <w:tr w14:paraId="679DA9D5">
        <w:tblPrEx>
          <w:tblCellMar>
            <w:top w:w="15" w:type="dxa"/>
            <w:left w:w="15" w:type="dxa"/>
            <w:bottom w:w="15" w:type="dxa"/>
            <w:right w:w="15" w:type="dxa"/>
          </w:tblCellMar>
        </w:tblPrEx>
        <w:trPr>
          <w:jc w:val="center"/>
        </w:trPr>
        <w:tc>
          <w:tcPr>
            <w:tcBorders>
              <w:top w:val="single" w:color="auto" w:sz="4" w:space="0"/>
              <w:left w:val="nil"/>
              <w:bottom w:val="nil"/>
              <w:right w:val="nil"/>
            </w:tcBorders>
            <w:noWrap w:val="0"/>
            <w:tcMar>
              <w:top w:w="75" w:type="dxa"/>
              <w:left w:w="-1" w:type="dxa"/>
              <w:bottom w:w="75" w:type="dxa"/>
              <w:right w:w="120" w:type="dxa"/>
            </w:tcMar>
            <w:vAlign w:val="center"/>
          </w:tcPr>
          <w:p w14:paraId="49DBF87A">
            <w:pPr>
              <w:widowControl/>
              <w:snapToGrid w:val="0"/>
              <w:jc w:val="center"/>
              <w:rPr>
                <w:rFonts w:hint="eastAsia" w:ascii="宋体" w:hAnsi="宋体" w:cs="宋体"/>
                <w:sz w:val="24"/>
              </w:rPr>
            </w:pPr>
            <w:r>
              <w:rPr>
                <w:rFonts w:hint="eastAsia" w:ascii="宋体" w:hAnsi="宋体" w:cs="宋体"/>
                <w:kern w:val="0"/>
                <w:sz w:val="24"/>
                <w:lang w:bidi="ar"/>
              </w:rPr>
              <w:t>DAS28（采用ESR）</w:t>
            </w:r>
          </w:p>
        </w:tc>
        <w:tc>
          <w:tcPr>
            <w:tcW w:w="1503" w:type="dxa"/>
            <w:tcBorders>
              <w:top w:val="single" w:color="auto" w:sz="4" w:space="0"/>
              <w:left w:val="nil"/>
              <w:bottom w:val="nil"/>
              <w:right w:val="nil"/>
            </w:tcBorders>
            <w:noWrap w:val="0"/>
            <w:tcMar>
              <w:top w:w="75" w:type="dxa"/>
              <w:left w:w="120" w:type="dxa"/>
              <w:bottom w:w="75" w:type="dxa"/>
              <w:right w:w="120" w:type="dxa"/>
            </w:tcMar>
            <w:vAlign w:val="center"/>
          </w:tcPr>
          <w:p w14:paraId="15C97D6E">
            <w:pPr>
              <w:widowControl/>
              <w:snapToGrid w:val="0"/>
              <w:jc w:val="left"/>
              <w:rPr>
                <w:rFonts w:hint="eastAsia" w:ascii="宋体" w:hAnsi="宋体" w:cs="宋体"/>
                <w:sz w:val="24"/>
              </w:rPr>
            </w:pPr>
            <w:r>
              <w:rPr>
                <w:rFonts w:hint="eastAsia" w:ascii="宋体" w:hAnsi="宋体" w:cs="宋体"/>
                <w:kern w:val="0"/>
                <w:sz w:val="24"/>
                <w:lang w:bidi="ar"/>
              </w:rPr>
              <w:t>DAS28-ESR</w:t>
            </w:r>
          </w:p>
        </w:tc>
        <w:tc>
          <w:tcPr>
            <w:tcW w:w="3122" w:type="dxa"/>
            <w:tcBorders>
              <w:top w:val="single" w:color="auto" w:sz="4" w:space="0"/>
              <w:left w:val="nil"/>
              <w:bottom w:val="nil"/>
              <w:right w:val="nil"/>
            </w:tcBorders>
            <w:noWrap w:val="0"/>
            <w:tcMar>
              <w:top w:w="75" w:type="dxa"/>
              <w:left w:w="120" w:type="dxa"/>
              <w:bottom w:w="75" w:type="dxa"/>
              <w:right w:w="120" w:type="dxa"/>
            </w:tcMar>
            <w:vAlign w:val="center"/>
          </w:tcPr>
          <w:p w14:paraId="613F00AA">
            <w:pPr>
              <w:widowControl/>
              <w:snapToGrid w:val="0"/>
              <w:jc w:val="left"/>
              <w:rPr>
                <w:rFonts w:hint="eastAsia" w:ascii="宋体" w:hAnsi="宋体" w:cs="宋体"/>
                <w:sz w:val="24"/>
              </w:rPr>
            </w:pPr>
            <w:r>
              <w:rPr>
                <w:rFonts w:hint="eastAsia" w:ascii="宋体" w:hAnsi="宋体" w:cs="宋体"/>
                <w:kern w:val="0"/>
                <w:sz w:val="24"/>
                <w:lang w:bidi="ar"/>
              </w:rPr>
              <w:t>0.56×√(TJC28)+0.28×√(SJC28)+0.70×ln(ESR)。</w:t>
            </w:r>
          </w:p>
        </w:tc>
        <w:tc>
          <w:tcPr>
            <w:tcW w:w="2665" w:type="dxa"/>
            <w:tcBorders>
              <w:top w:val="single" w:color="auto" w:sz="4" w:space="0"/>
              <w:left w:val="nil"/>
              <w:bottom w:val="nil"/>
              <w:right w:val="nil"/>
            </w:tcBorders>
            <w:noWrap w:val="0"/>
            <w:tcMar>
              <w:top w:w="75" w:type="dxa"/>
              <w:left w:w="120" w:type="dxa"/>
              <w:bottom w:w="75" w:type="dxa"/>
              <w:right w:w="-1" w:type="dxa"/>
            </w:tcMar>
            <w:vAlign w:val="center"/>
          </w:tcPr>
          <w:p w14:paraId="61EDAFB2">
            <w:pPr>
              <w:widowControl/>
              <w:snapToGrid w:val="0"/>
              <w:jc w:val="left"/>
              <w:rPr>
                <w:rFonts w:hint="eastAsia" w:ascii="宋体" w:hAnsi="宋体" w:cs="宋体"/>
                <w:sz w:val="24"/>
              </w:rPr>
            </w:pPr>
            <w:r>
              <w:rPr>
                <w:rFonts w:hint="eastAsia" w:ascii="宋体" w:hAnsi="宋体" w:cs="宋体"/>
                <w:kern w:val="0"/>
                <w:sz w:val="24"/>
                <w:lang w:bidi="ar"/>
              </w:rPr>
              <w:t>国际通用，与替代DAS28-CRP有效性被广泛证实</w:t>
            </w:r>
          </w:p>
        </w:tc>
      </w:tr>
      <w:tr w14:paraId="67E29401">
        <w:tblPrEx>
          <w:tblCellMar>
            <w:top w:w="15" w:type="dxa"/>
            <w:left w:w="15" w:type="dxa"/>
            <w:bottom w:w="15" w:type="dxa"/>
            <w:right w:w="15" w:type="dxa"/>
          </w:tblCellMar>
        </w:tblPrEx>
        <w:trPr>
          <w:jc w:val="center"/>
        </w:trPr>
        <w:tc>
          <w:tcPr>
            <w:tcBorders>
              <w:top w:val="nil"/>
              <w:left w:val="nil"/>
              <w:bottom w:val="nil"/>
              <w:right w:val="nil"/>
            </w:tcBorders>
            <w:noWrap w:val="0"/>
            <w:tcMar>
              <w:top w:w="75" w:type="dxa"/>
              <w:left w:w="-1" w:type="dxa"/>
              <w:bottom w:w="75" w:type="dxa"/>
              <w:right w:w="120" w:type="dxa"/>
            </w:tcMar>
            <w:vAlign w:val="center"/>
          </w:tcPr>
          <w:p w14:paraId="4CE2CAC7">
            <w:pPr>
              <w:widowControl/>
              <w:snapToGrid w:val="0"/>
              <w:jc w:val="center"/>
              <w:rPr>
                <w:rFonts w:hint="eastAsia" w:ascii="宋体" w:hAnsi="宋体" w:cs="宋体"/>
                <w:sz w:val="24"/>
              </w:rPr>
            </w:pPr>
            <w:r>
              <w:rPr>
                <w:rFonts w:hint="eastAsia" w:ascii="宋体" w:hAnsi="宋体" w:cs="宋体"/>
                <w:kern w:val="0"/>
                <w:sz w:val="24"/>
                <w:lang w:bidi="ar"/>
              </w:rPr>
              <w:t>DAS28（采用CRP）</w:t>
            </w:r>
          </w:p>
        </w:tc>
        <w:tc>
          <w:tcPr>
            <w:tcW w:w="1503" w:type="dxa"/>
            <w:tcBorders>
              <w:top w:val="nil"/>
              <w:left w:val="nil"/>
              <w:bottom w:val="nil"/>
              <w:right w:val="nil"/>
            </w:tcBorders>
            <w:noWrap w:val="0"/>
            <w:tcMar>
              <w:top w:w="75" w:type="dxa"/>
              <w:left w:w="120" w:type="dxa"/>
              <w:bottom w:w="75" w:type="dxa"/>
              <w:right w:w="120" w:type="dxa"/>
            </w:tcMar>
            <w:vAlign w:val="center"/>
          </w:tcPr>
          <w:p w14:paraId="25847F79">
            <w:pPr>
              <w:widowControl/>
              <w:snapToGrid w:val="0"/>
              <w:jc w:val="left"/>
              <w:rPr>
                <w:rFonts w:hint="eastAsia" w:ascii="宋体" w:hAnsi="宋体" w:cs="宋体"/>
                <w:sz w:val="24"/>
              </w:rPr>
            </w:pPr>
            <w:r>
              <w:rPr>
                <w:rFonts w:hint="eastAsia" w:ascii="宋体" w:hAnsi="宋体" w:cs="宋体"/>
                <w:kern w:val="0"/>
                <w:sz w:val="24"/>
                <w:lang w:bidi="ar"/>
              </w:rPr>
              <w:t>DAS28-CRP</w:t>
            </w:r>
          </w:p>
        </w:tc>
        <w:tc>
          <w:tcPr>
            <w:tcW w:w="3122" w:type="dxa"/>
            <w:tcBorders>
              <w:top w:val="nil"/>
              <w:left w:val="nil"/>
              <w:bottom w:val="nil"/>
              <w:right w:val="nil"/>
            </w:tcBorders>
            <w:noWrap w:val="0"/>
            <w:tcMar>
              <w:top w:w="75" w:type="dxa"/>
              <w:left w:w="120" w:type="dxa"/>
              <w:bottom w:w="75" w:type="dxa"/>
              <w:right w:w="120" w:type="dxa"/>
            </w:tcMar>
            <w:vAlign w:val="center"/>
          </w:tcPr>
          <w:p w14:paraId="468FFCDE">
            <w:pPr>
              <w:widowControl/>
              <w:snapToGrid w:val="0"/>
              <w:jc w:val="left"/>
              <w:rPr>
                <w:rFonts w:hint="eastAsia" w:ascii="宋体" w:hAnsi="宋体" w:cs="宋体"/>
                <w:sz w:val="24"/>
              </w:rPr>
            </w:pPr>
            <w:r>
              <w:rPr>
                <w:rFonts w:hint="eastAsia" w:ascii="宋体" w:hAnsi="宋体" w:cs="宋体"/>
                <w:kern w:val="0"/>
                <w:sz w:val="24"/>
                <w:lang w:bidi="ar"/>
              </w:rPr>
              <w:t>0.56×√(TJC28)+0.28×√(SJC28)+0.36×ln(CRP+。</w:t>
            </w:r>
          </w:p>
        </w:tc>
        <w:tc>
          <w:tcPr>
            <w:tcW w:w="2665" w:type="dxa"/>
            <w:tcBorders>
              <w:top w:val="nil"/>
              <w:left w:val="nil"/>
              <w:bottom w:val="nil"/>
              <w:right w:val="nil"/>
            </w:tcBorders>
            <w:noWrap w:val="0"/>
            <w:tcMar>
              <w:top w:w="75" w:type="dxa"/>
              <w:left w:w="120" w:type="dxa"/>
              <w:bottom w:w="75" w:type="dxa"/>
              <w:right w:w="-1" w:type="dxa"/>
            </w:tcMar>
            <w:vAlign w:val="center"/>
          </w:tcPr>
          <w:p w14:paraId="221C8B24">
            <w:pPr>
              <w:widowControl/>
              <w:snapToGrid w:val="0"/>
              <w:jc w:val="left"/>
              <w:rPr>
                <w:rFonts w:hint="eastAsia" w:ascii="宋体" w:hAnsi="宋体" w:cs="宋体"/>
                <w:sz w:val="24"/>
              </w:rPr>
            </w:pPr>
            <w:r>
              <w:rPr>
                <w:rFonts w:hint="eastAsia" w:ascii="宋体" w:hAnsi="宋体" w:cs="宋体"/>
                <w:kern w:val="0"/>
                <w:sz w:val="24"/>
                <w:lang w:bidi="ar"/>
              </w:rPr>
              <w:t>CRP响应更迅速，临床应用普遍</w:t>
            </w:r>
          </w:p>
        </w:tc>
      </w:tr>
      <w:tr w14:paraId="26618052">
        <w:tblPrEx>
          <w:tblCellMar>
            <w:top w:w="15" w:type="dxa"/>
            <w:left w:w="15" w:type="dxa"/>
            <w:bottom w:w="15" w:type="dxa"/>
            <w:right w:w="15" w:type="dxa"/>
          </w:tblCellMar>
        </w:tblPrEx>
        <w:trPr>
          <w:jc w:val="center"/>
        </w:trPr>
        <w:tc>
          <w:tcPr>
            <w:tcBorders>
              <w:top w:val="nil"/>
              <w:left w:val="nil"/>
              <w:bottom w:val="nil"/>
              <w:right w:val="nil"/>
            </w:tcBorders>
            <w:noWrap w:val="0"/>
            <w:tcMar>
              <w:top w:w="75" w:type="dxa"/>
              <w:left w:w="-1" w:type="dxa"/>
              <w:bottom w:w="75" w:type="dxa"/>
              <w:right w:w="120" w:type="dxa"/>
            </w:tcMar>
            <w:vAlign w:val="center"/>
          </w:tcPr>
          <w:p w14:paraId="05EEEF27">
            <w:pPr>
              <w:widowControl/>
              <w:snapToGrid w:val="0"/>
              <w:jc w:val="center"/>
              <w:rPr>
                <w:rFonts w:hint="eastAsia" w:ascii="宋体" w:hAnsi="宋体" w:cs="宋体"/>
                <w:sz w:val="24"/>
              </w:rPr>
            </w:pPr>
            <w:r>
              <w:rPr>
                <w:rFonts w:hint="eastAsia" w:ascii="宋体" w:hAnsi="宋体" w:cs="宋体"/>
                <w:kern w:val="0"/>
                <w:sz w:val="24"/>
                <w:lang w:bidi="ar"/>
              </w:rPr>
              <w:t>简化疾病活动指数</w:t>
            </w:r>
          </w:p>
        </w:tc>
        <w:tc>
          <w:tcPr>
            <w:tcW w:w="1503" w:type="dxa"/>
            <w:tcBorders>
              <w:top w:val="nil"/>
              <w:left w:val="nil"/>
              <w:bottom w:val="nil"/>
              <w:right w:val="nil"/>
            </w:tcBorders>
            <w:noWrap w:val="0"/>
            <w:tcMar>
              <w:top w:w="75" w:type="dxa"/>
              <w:left w:w="120" w:type="dxa"/>
              <w:bottom w:w="75" w:type="dxa"/>
              <w:right w:w="120" w:type="dxa"/>
            </w:tcMar>
            <w:vAlign w:val="center"/>
          </w:tcPr>
          <w:p w14:paraId="0985230C">
            <w:pPr>
              <w:widowControl/>
              <w:snapToGrid w:val="0"/>
              <w:jc w:val="left"/>
              <w:rPr>
                <w:rFonts w:hint="eastAsia" w:ascii="宋体" w:hAnsi="宋体" w:cs="宋体"/>
                <w:sz w:val="24"/>
              </w:rPr>
            </w:pPr>
            <w:r>
              <w:rPr>
                <w:rFonts w:hint="eastAsia" w:ascii="宋体" w:hAnsi="宋体" w:cs="宋体"/>
                <w:kern w:val="0"/>
                <w:sz w:val="24"/>
                <w:lang w:bidi="ar"/>
              </w:rPr>
              <w:t>SDAI</w:t>
            </w:r>
          </w:p>
        </w:tc>
        <w:tc>
          <w:tcPr>
            <w:tcW w:w="3122" w:type="dxa"/>
            <w:tcBorders>
              <w:top w:val="nil"/>
              <w:left w:val="nil"/>
              <w:bottom w:val="nil"/>
              <w:right w:val="nil"/>
            </w:tcBorders>
            <w:noWrap w:val="0"/>
            <w:tcMar>
              <w:top w:w="75" w:type="dxa"/>
              <w:left w:w="120" w:type="dxa"/>
              <w:bottom w:w="75" w:type="dxa"/>
              <w:right w:w="120" w:type="dxa"/>
            </w:tcMar>
            <w:vAlign w:val="center"/>
          </w:tcPr>
          <w:p w14:paraId="173CA8AF">
            <w:pPr>
              <w:widowControl/>
              <w:snapToGrid w:val="0"/>
              <w:jc w:val="left"/>
              <w:rPr>
                <w:rFonts w:hint="eastAsia" w:ascii="宋体" w:hAnsi="宋体" w:cs="宋体"/>
                <w:sz w:val="24"/>
              </w:rPr>
            </w:pPr>
            <w:r>
              <w:rPr>
                <w:rFonts w:hint="eastAsia" w:ascii="宋体" w:hAnsi="宋体" w:cs="宋体"/>
                <w:kern w:val="0"/>
                <w:sz w:val="24"/>
                <w:lang w:bidi="ar"/>
              </w:rPr>
              <w:t>TJC28+SJC28+PGA（0～10cm）+PGA（0～10cm）+CRP（。</w:t>
            </w:r>
          </w:p>
        </w:tc>
        <w:tc>
          <w:tcPr>
            <w:tcW w:w="2665" w:type="dxa"/>
            <w:tcBorders>
              <w:top w:val="nil"/>
              <w:left w:val="nil"/>
              <w:bottom w:val="nil"/>
              <w:right w:val="nil"/>
            </w:tcBorders>
            <w:noWrap w:val="0"/>
            <w:tcMar>
              <w:top w:w="75" w:type="dxa"/>
              <w:left w:w="120" w:type="dxa"/>
              <w:bottom w:w="75" w:type="dxa"/>
              <w:right w:w="-1" w:type="dxa"/>
            </w:tcMar>
            <w:vAlign w:val="center"/>
          </w:tcPr>
          <w:p w14:paraId="4520A421">
            <w:pPr>
              <w:widowControl/>
              <w:snapToGrid w:val="0"/>
              <w:jc w:val="left"/>
              <w:rPr>
                <w:rFonts w:hint="eastAsia" w:ascii="宋体" w:hAnsi="宋体" w:cs="宋体"/>
                <w:sz w:val="24"/>
              </w:rPr>
            </w:pPr>
            <w:r>
              <w:rPr>
                <w:rFonts w:hint="eastAsia" w:ascii="宋体" w:hAnsi="宋体" w:cs="宋体"/>
                <w:kern w:val="0"/>
                <w:sz w:val="24"/>
                <w:lang w:bidi="ar"/>
              </w:rPr>
              <w:t>无需实验室即可计算，适合床边快速评估</w:t>
            </w:r>
          </w:p>
        </w:tc>
      </w:tr>
      <w:tr w14:paraId="5CE9715D">
        <w:tblPrEx>
          <w:tblCellMar>
            <w:top w:w="15" w:type="dxa"/>
            <w:left w:w="15" w:type="dxa"/>
            <w:bottom w:w="15" w:type="dxa"/>
            <w:right w:w="15" w:type="dxa"/>
          </w:tblCellMar>
        </w:tblPrEx>
        <w:trPr>
          <w:jc w:val="center"/>
        </w:trPr>
        <w:tc>
          <w:tcPr>
            <w:tcBorders>
              <w:top w:val="nil"/>
              <w:left w:val="nil"/>
              <w:bottom w:val="nil"/>
              <w:right w:val="nil"/>
            </w:tcBorders>
            <w:noWrap w:val="0"/>
            <w:tcMar>
              <w:top w:w="75" w:type="dxa"/>
              <w:left w:w="-1" w:type="dxa"/>
              <w:bottom w:w="75" w:type="dxa"/>
              <w:right w:w="120" w:type="dxa"/>
            </w:tcMar>
            <w:vAlign w:val="center"/>
          </w:tcPr>
          <w:p w14:paraId="0F182944">
            <w:pPr>
              <w:widowControl/>
              <w:snapToGrid w:val="0"/>
              <w:jc w:val="center"/>
              <w:rPr>
                <w:rFonts w:hint="eastAsia" w:ascii="宋体" w:hAnsi="宋体" w:cs="宋体"/>
                <w:sz w:val="24"/>
              </w:rPr>
            </w:pPr>
            <w:r>
              <w:rPr>
                <w:rFonts w:hint="eastAsia" w:ascii="宋体" w:hAnsi="宋体" w:cs="宋体"/>
                <w:kern w:val="0"/>
                <w:sz w:val="24"/>
                <w:lang w:bidi="ar"/>
              </w:rPr>
              <w:t>临床疾病活动指数</w:t>
            </w:r>
          </w:p>
        </w:tc>
        <w:tc>
          <w:tcPr>
            <w:tcW w:w="1503" w:type="dxa"/>
            <w:tcBorders>
              <w:top w:val="nil"/>
              <w:left w:val="nil"/>
              <w:bottom w:val="nil"/>
              <w:right w:val="nil"/>
            </w:tcBorders>
            <w:noWrap w:val="0"/>
            <w:tcMar>
              <w:top w:w="75" w:type="dxa"/>
              <w:left w:w="120" w:type="dxa"/>
              <w:bottom w:w="75" w:type="dxa"/>
              <w:right w:w="120" w:type="dxa"/>
            </w:tcMar>
            <w:vAlign w:val="center"/>
          </w:tcPr>
          <w:p w14:paraId="1C22E637">
            <w:pPr>
              <w:widowControl/>
              <w:snapToGrid w:val="0"/>
              <w:jc w:val="left"/>
              <w:rPr>
                <w:rFonts w:hint="eastAsia" w:ascii="宋体" w:hAnsi="宋体" w:cs="宋体"/>
                <w:sz w:val="24"/>
              </w:rPr>
            </w:pPr>
            <w:r>
              <w:rPr>
                <w:rFonts w:hint="eastAsia" w:ascii="宋体" w:hAnsi="宋体" w:cs="宋体"/>
                <w:kern w:val="0"/>
                <w:sz w:val="24"/>
                <w:lang w:bidi="ar"/>
              </w:rPr>
              <w:t>CDAI</w:t>
            </w:r>
          </w:p>
        </w:tc>
        <w:tc>
          <w:tcPr>
            <w:tcW w:w="3122" w:type="dxa"/>
            <w:tcBorders>
              <w:top w:val="nil"/>
              <w:left w:val="nil"/>
              <w:bottom w:val="nil"/>
              <w:right w:val="nil"/>
            </w:tcBorders>
            <w:noWrap w:val="0"/>
            <w:tcMar>
              <w:top w:w="75" w:type="dxa"/>
              <w:left w:w="120" w:type="dxa"/>
              <w:bottom w:w="75" w:type="dxa"/>
              <w:right w:w="120" w:type="dxa"/>
            </w:tcMar>
            <w:vAlign w:val="center"/>
          </w:tcPr>
          <w:p w14:paraId="72A002C9">
            <w:pPr>
              <w:widowControl/>
              <w:snapToGrid w:val="0"/>
              <w:jc w:val="left"/>
              <w:rPr>
                <w:rFonts w:hint="eastAsia" w:ascii="宋体" w:hAnsi="宋体" w:cs="宋体"/>
                <w:sz w:val="24"/>
              </w:rPr>
            </w:pPr>
            <w:r>
              <w:rPr>
                <w:rFonts w:hint="eastAsia" w:ascii="宋体" w:hAnsi="宋体" w:cs="宋体"/>
                <w:kern w:val="0"/>
                <w:sz w:val="24"/>
                <w:lang w:bidi="ar"/>
              </w:rPr>
              <w:t>TJC28+SJC28+PGA（0～10cm）+PGA（0～10cm）</w:t>
            </w:r>
          </w:p>
        </w:tc>
        <w:tc>
          <w:tcPr>
            <w:tcW w:w="2665" w:type="dxa"/>
            <w:tcBorders>
              <w:top w:val="nil"/>
              <w:left w:val="nil"/>
              <w:bottom w:val="nil"/>
              <w:right w:val="nil"/>
            </w:tcBorders>
            <w:noWrap w:val="0"/>
            <w:tcMar>
              <w:top w:w="75" w:type="dxa"/>
              <w:left w:w="120" w:type="dxa"/>
              <w:bottom w:w="75" w:type="dxa"/>
              <w:right w:w="-1" w:type="dxa"/>
            </w:tcMar>
            <w:vAlign w:val="center"/>
          </w:tcPr>
          <w:p w14:paraId="73C41F28">
            <w:pPr>
              <w:widowControl/>
              <w:snapToGrid w:val="0"/>
              <w:jc w:val="left"/>
              <w:rPr>
                <w:rFonts w:hint="eastAsia" w:ascii="宋体" w:hAnsi="宋体" w:cs="宋体"/>
                <w:sz w:val="24"/>
              </w:rPr>
            </w:pPr>
            <w:r>
              <w:rPr>
                <w:rFonts w:hint="eastAsia" w:ascii="宋体" w:hAnsi="宋体" w:cs="宋体"/>
                <w:kern w:val="0"/>
                <w:sz w:val="24"/>
                <w:lang w:bidi="ar"/>
              </w:rPr>
              <w:t>完全无需实验室数据，床旁实时评估最便捷</w:t>
            </w:r>
          </w:p>
        </w:tc>
      </w:tr>
      <w:tr w14:paraId="704FD054">
        <w:tblPrEx>
          <w:tblCellMar>
            <w:top w:w="15" w:type="dxa"/>
            <w:left w:w="15" w:type="dxa"/>
            <w:bottom w:w="15" w:type="dxa"/>
            <w:right w:w="15" w:type="dxa"/>
          </w:tblCellMar>
        </w:tblPrEx>
        <w:trPr>
          <w:jc w:val="center"/>
        </w:trPr>
        <w:tc>
          <w:tcPr>
            <w:tcW w:w="1232" w:type="dxa"/>
            <w:tcBorders>
              <w:top w:val="nil"/>
              <w:left w:val="nil"/>
              <w:bottom w:val="single" w:color="auto" w:sz="12" w:space="0"/>
              <w:right w:val="nil"/>
            </w:tcBorders>
            <w:noWrap w:val="0"/>
            <w:tcMar>
              <w:top w:w="75" w:type="dxa"/>
              <w:left w:w="-1" w:type="dxa"/>
              <w:bottom w:w="75" w:type="dxa"/>
              <w:right w:w="120" w:type="dxa"/>
            </w:tcMar>
            <w:vAlign w:val="center"/>
          </w:tcPr>
          <w:p w14:paraId="6A41FD25">
            <w:pPr>
              <w:widowControl/>
              <w:snapToGrid w:val="0"/>
              <w:jc w:val="center"/>
              <w:rPr>
                <w:rFonts w:hint="eastAsia" w:ascii="宋体" w:hAnsi="宋体" w:cs="宋体"/>
                <w:sz w:val="24"/>
              </w:rPr>
            </w:pPr>
            <w:r>
              <w:rPr>
                <w:rFonts w:hint="eastAsia" w:ascii="宋体" w:hAnsi="宋体" w:cs="宋体"/>
                <w:kern w:val="0"/>
                <w:sz w:val="24"/>
                <w:lang w:bidi="ar"/>
              </w:rPr>
              <w:t>布尔缓解标准</w:t>
            </w:r>
          </w:p>
        </w:tc>
        <w:tc>
          <w:tcPr>
            <w:tcW w:w="1503" w:type="dxa"/>
            <w:tcBorders>
              <w:top w:val="nil"/>
              <w:left w:val="nil"/>
              <w:bottom w:val="single" w:color="auto" w:sz="12" w:space="0"/>
              <w:right w:val="nil"/>
            </w:tcBorders>
            <w:noWrap w:val="0"/>
            <w:tcMar>
              <w:top w:w="75" w:type="dxa"/>
              <w:left w:w="120" w:type="dxa"/>
              <w:bottom w:w="75" w:type="dxa"/>
              <w:right w:w="120" w:type="dxa"/>
            </w:tcMar>
            <w:vAlign w:val="center"/>
          </w:tcPr>
          <w:p w14:paraId="1B758464">
            <w:pPr>
              <w:widowControl/>
              <w:snapToGrid w:val="0"/>
              <w:jc w:val="left"/>
              <w:rPr>
                <w:rFonts w:hint="eastAsia" w:ascii="宋体" w:hAnsi="宋体" w:cs="宋体"/>
                <w:sz w:val="24"/>
              </w:rPr>
            </w:pPr>
            <w:r>
              <w:rPr>
                <w:rFonts w:hint="eastAsia" w:ascii="宋体" w:hAnsi="宋体" w:cs="宋体"/>
                <w:kern w:val="0"/>
                <w:sz w:val="24"/>
                <w:lang w:bidi="ar"/>
              </w:rPr>
              <w:t>Boolean remission</w:t>
            </w:r>
          </w:p>
        </w:tc>
        <w:tc>
          <w:tcPr>
            <w:tcW w:w="3122" w:type="dxa"/>
            <w:tcBorders>
              <w:top w:val="nil"/>
              <w:left w:val="nil"/>
              <w:bottom w:val="single" w:color="auto" w:sz="12" w:space="0"/>
              <w:right w:val="nil"/>
            </w:tcBorders>
            <w:noWrap w:val="0"/>
            <w:tcMar>
              <w:top w:w="75" w:type="dxa"/>
              <w:left w:w="120" w:type="dxa"/>
              <w:bottom w:w="75" w:type="dxa"/>
              <w:right w:w="120" w:type="dxa"/>
            </w:tcMar>
            <w:vAlign w:val="center"/>
          </w:tcPr>
          <w:p w14:paraId="24865D33">
            <w:pPr>
              <w:widowControl/>
              <w:snapToGrid w:val="0"/>
              <w:jc w:val="left"/>
              <w:rPr>
                <w:rFonts w:hint="eastAsia" w:ascii="宋体" w:hAnsi="宋体" w:cs="宋体"/>
                <w:sz w:val="24"/>
              </w:rPr>
            </w:pPr>
            <w:r>
              <w:rPr>
                <w:rFonts w:hint="eastAsia" w:ascii="宋体" w:hAnsi="宋体" w:cs="宋体"/>
                <w:kern w:val="0"/>
                <w:sz w:val="24"/>
                <w:lang w:bidi="ar"/>
              </w:rPr>
              <w:t>TJC28≤1，SJC28≤1，CRP≤1mg/dL，PGA（0～10）≤1</w:t>
            </w:r>
          </w:p>
        </w:tc>
        <w:tc>
          <w:tcPr>
            <w:tcW w:w="2665" w:type="dxa"/>
            <w:tcBorders>
              <w:top w:val="nil"/>
              <w:left w:val="nil"/>
              <w:bottom w:val="single" w:color="auto" w:sz="12" w:space="0"/>
              <w:right w:val="nil"/>
            </w:tcBorders>
            <w:noWrap w:val="0"/>
            <w:tcMar>
              <w:top w:w="75" w:type="dxa"/>
              <w:left w:w="120" w:type="dxa"/>
              <w:bottom w:w="75" w:type="dxa"/>
              <w:right w:w="-1" w:type="dxa"/>
            </w:tcMar>
            <w:vAlign w:val="center"/>
          </w:tcPr>
          <w:p w14:paraId="4FC0E1FE">
            <w:pPr>
              <w:widowControl/>
              <w:snapToGrid w:val="0"/>
              <w:jc w:val="left"/>
              <w:rPr>
                <w:rFonts w:hint="eastAsia" w:ascii="宋体" w:hAnsi="宋体" w:cs="宋体"/>
                <w:sz w:val="24"/>
              </w:rPr>
            </w:pPr>
            <w:r>
              <w:rPr>
                <w:rFonts w:hint="eastAsia" w:ascii="宋体" w:hAnsi="宋体" w:cs="宋体"/>
                <w:kern w:val="0"/>
                <w:sz w:val="24"/>
                <w:lang w:bidi="ar"/>
              </w:rPr>
              <w:t>2025年EULAR指南优先推荐用于判断临床缓解，不建议以D。</w:t>
            </w:r>
          </w:p>
        </w:tc>
      </w:tr>
    </w:tbl>
    <w:p w14:paraId="6FC4D259">
      <w:pPr>
        <w:pStyle w:val="9"/>
        <w:widowControl/>
        <w:shd w:val="clear" w:color="auto" w:fill="FFFFFF"/>
        <w:spacing w:before="120" w:beforeAutospacing="0" w:after="120" w:afterAutospacing="0" w:line="360" w:lineRule="auto"/>
        <w:ind w:firstLine="482" w:firstLineChars="200"/>
        <w:rPr>
          <w:rStyle w:val="12"/>
          <w:rFonts w:hint="eastAsia" w:ascii="宋体" w:hAnsi="宋体" w:cs="宋体"/>
          <w:bCs/>
          <w:color w:val="0F1115"/>
          <w:shd w:val="clear" w:color="auto" w:fill="FFFFFF"/>
        </w:rPr>
      </w:pPr>
    </w:p>
    <w:p w14:paraId="066ABB3A">
      <w:pPr>
        <w:pStyle w:val="9"/>
        <w:widowControl/>
        <w:shd w:val="clear" w:color="auto" w:fill="FFFFFF"/>
        <w:spacing w:before="120" w:beforeAutospacing="0" w:after="120" w:afterAutospacing="0" w:line="360" w:lineRule="auto"/>
        <w:ind w:firstLine="482" w:firstLineChars="200"/>
        <w:rPr>
          <w:rFonts w:hint="eastAsia" w:ascii="宋体" w:hAnsi="宋体" w:cs="宋体"/>
          <w:color w:val="0F1115"/>
        </w:rPr>
      </w:pPr>
      <w:r>
        <w:rPr>
          <w:rStyle w:val="12"/>
          <w:rFonts w:hint="eastAsia" w:ascii="宋体" w:hAnsi="宋体" w:cs="宋体"/>
          <w:bCs/>
          <w:color w:val="0F1115"/>
          <w:shd w:val="clear" w:color="auto" w:fill="FFFFFF"/>
        </w:rPr>
        <w:t>表C.2 RA疾病活动度分层界值与联合用药策略</w:t>
      </w:r>
    </w:p>
    <w:tbl>
      <w:tblPr>
        <w:tblStyle w:val="10"/>
        <w:tblW w:w="8522" w:type="dxa"/>
        <w:jc w:val="center"/>
        <w:tblLayout w:type="autofit"/>
        <w:tblCellMar>
          <w:top w:w="15" w:type="dxa"/>
          <w:left w:w="15" w:type="dxa"/>
          <w:bottom w:w="15" w:type="dxa"/>
          <w:right w:w="15" w:type="dxa"/>
        </w:tblCellMar>
      </w:tblPr>
      <w:tblGrid>
        <w:gridCol w:w="1207"/>
        <w:gridCol w:w="3144"/>
        <w:gridCol w:w="4171"/>
      </w:tblGrid>
      <w:tr w14:paraId="46713384">
        <w:tblPrEx>
          <w:tblCellMar>
            <w:top w:w="15" w:type="dxa"/>
            <w:left w:w="15" w:type="dxa"/>
            <w:bottom w:w="15" w:type="dxa"/>
            <w:right w:w="15" w:type="dxa"/>
          </w:tblCellMar>
        </w:tblPrEx>
        <w:trPr>
          <w:tblHeader/>
          <w:jc w:val="center"/>
        </w:trPr>
        <w:tc>
          <w:tcPr>
            <w:tcW w:w="1207" w:type="dxa"/>
            <w:tcBorders>
              <w:top w:val="single" w:color="auto" w:sz="12" w:space="0"/>
              <w:left w:val="nil"/>
              <w:bottom w:val="nil"/>
              <w:right w:val="nil"/>
            </w:tcBorders>
            <w:noWrap w:val="0"/>
            <w:tcMar>
              <w:top w:w="75" w:type="dxa"/>
              <w:left w:w="-1" w:type="dxa"/>
              <w:bottom w:w="75" w:type="dxa"/>
              <w:right w:w="120" w:type="dxa"/>
            </w:tcMar>
            <w:vAlign w:val="center"/>
          </w:tcPr>
          <w:p w14:paraId="72349E92">
            <w:pPr>
              <w:widowControl/>
              <w:snapToGrid w:val="0"/>
              <w:jc w:val="center"/>
              <w:rPr>
                <w:rFonts w:hint="eastAsia" w:ascii="宋体" w:hAnsi="宋体" w:cs="宋体"/>
                <w:b/>
                <w:sz w:val="24"/>
              </w:rPr>
            </w:pPr>
            <w:r>
              <w:rPr>
                <w:rStyle w:val="12"/>
                <w:rFonts w:hint="eastAsia" w:ascii="宋体" w:hAnsi="宋体" w:cs="宋体"/>
                <w:bCs/>
                <w:kern w:val="0"/>
                <w:sz w:val="24"/>
                <w:lang w:bidi="ar"/>
              </w:rPr>
              <w:t>疾病活动度</w:t>
            </w:r>
          </w:p>
        </w:tc>
        <w:tc>
          <w:tcPr>
            <w:tcW w:w="3144" w:type="dxa"/>
            <w:tcBorders>
              <w:top w:val="single" w:color="auto" w:sz="12" w:space="0"/>
              <w:left w:val="nil"/>
              <w:bottom w:val="nil"/>
              <w:right w:val="nil"/>
            </w:tcBorders>
            <w:noWrap w:val="0"/>
            <w:tcMar>
              <w:top w:w="75" w:type="dxa"/>
              <w:left w:w="120" w:type="dxa"/>
              <w:bottom w:w="75" w:type="dxa"/>
              <w:right w:w="120" w:type="dxa"/>
            </w:tcMar>
            <w:vAlign w:val="center"/>
          </w:tcPr>
          <w:p w14:paraId="07383738">
            <w:pPr>
              <w:widowControl/>
              <w:snapToGrid w:val="0"/>
              <w:jc w:val="center"/>
              <w:rPr>
                <w:rFonts w:hint="eastAsia" w:ascii="宋体" w:hAnsi="宋体" w:cs="宋体"/>
                <w:b/>
                <w:sz w:val="24"/>
              </w:rPr>
            </w:pPr>
            <w:r>
              <w:rPr>
                <w:rStyle w:val="12"/>
                <w:rFonts w:hint="eastAsia" w:ascii="宋体" w:hAnsi="宋体" w:cs="宋体"/>
                <w:bCs/>
                <w:kern w:val="0"/>
                <w:sz w:val="24"/>
                <w:lang w:bidi="ar"/>
              </w:rPr>
              <w:t>定义</w:t>
            </w:r>
          </w:p>
        </w:tc>
        <w:tc>
          <w:tcPr>
            <w:tcW w:w="4171" w:type="dxa"/>
            <w:tcBorders>
              <w:top w:val="single" w:color="auto" w:sz="12" w:space="0"/>
              <w:left w:val="nil"/>
              <w:bottom w:val="nil"/>
              <w:right w:val="nil"/>
            </w:tcBorders>
            <w:noWrap w:val="0"/>
            <w:tcMar>
              <w:top w:w="75" w:type="dxa"/>
              <w:left w:w="120" w:type="dxa"/>
              <w:bottom w:w="75" w:type="dxa"/>
              <w:right w:w="120" w:type="dxa"/>
            </w:tcMar>
            <w:vAlign w:val="center"/>
          </w:tcPr>
          <w:p w14:paraId="505B5629">
            <w:pPr>
              <w:widowControl/>
              <w:snapToGrid w:val="0"/>
              <w:jc w:val="center"/>
              <w:rPr>
                <w:rFonts w:hint="eastAsia" w:ascii="宋体" w:hAnsi="宋体" w:cs="宋体"/>
                <w:b/>
                <w:sz w:val="24"/>
              </w:rPr>
            </w:pPr>
            <w:r>
              <w:rPr>
                <w:rStyle w:val="12"/>
                <w:rFonts w:hint="eastAsia" w:ascii="宋体" w:hAnsi="宋体" w:cs="宋体"/>
                <w:bCs/>
                <w:kern w:val="0"/>
                <w:sz w:val="24"/>
                <w:lang w:bidi="ar"/>
              </w:rPr>
              <w:t>联合用药策略</w:t>
            </w:r>
          </w:p>
        </w:tc>
      </w:tr>
      <w:tr w14:paraId="1F746AB3">
        <w:tblPrEx>
          <w:tblCellMar>
            <w:top w:w="15" w:type="dxa"/>
            <w:left w:w="15" w:type="dxa"/>
            <w:bottom w:w="15" w:type="dxa"/>
            <w:right w:w="15" w:type="dxa"/>
          </w:tblCellMar>
        </w:tblPrEx>
        <w:trPr>
          <w:jc w:val="center"/>
        </w:trPr>
        <w:tc>
          <w:tcPr>
            <w:tcW w:w="1207" w:type="dxa"/>
            <w:tcBorders>
              <w:top w:val="single" w:color="auto" w:sz="4" w:space="0"/>
              <w:left w:val="nil"/>
              <w:bottom w:val="nil"/>
              <w:right w:val="nil"/>
            </w:tcBorders>
            <w:noWrap w:val="0"/>
            <w:tcMar>
              <w:top w:w="75" w:type="dxa"/>
              <w:left w:w="-1" w:type="dxa"/>
              <w:bottom w:w="75" w:type="dxa"/>
              <w:right w:w="120" w:type="dxa"/>
            </w:tcMar>
            <w:vAlign w:val="center"/>
          </w:tcPr>
          <w:p w14:paraId="66E6C4D0">
            <w:pPr>
              <w:widowControl/>
              <w:snapToGrid w:val="0"/>
              <w:jc w:val="center"/>
              <w:rPr>
                <w:rFonts w:hint="eastAsia" w:ascii="宋体" w:hAnsi="宋体" w:cs="宋体"/>
                <w:sz w:val="24"/>
              </w:rPr>
            </w:pPr>
            <w:r>
              <w:rPr>
                <w:rStyle w:val="12"/>
                <w:rFonts w:hint="eastAsia" w:ascii="宋体" w:hAnsi="宋体" w:cs="宋体"/>
                <w:bCs/>
                <w:kern w:val="0"/>
                <w:sz w:val="24"/>
                <w:lang w:bidi="ar"/>
              </w:rPr>
              <w:t>缓解</w:t>
            </w:r>
          </w:p>
        </w:tc>
        <w:tc>
          <w:tcPr>
            <w:tcW w:w="3144" w:type="dxa"/>
            <w:tcBorders>
              <w:top w:val="single" w:color="auto" w:sz="4" w:space="0"/>
              <w:left w:val="nil"/>
              <w:bottom w:val="nil"/>
              <w:right w:val="nil"/>
            </w:tcBorders>
            <w:noWrap w:val="0"/>
            <w:tcMar>
              <w:top w:w="75" w:type="dxa"/>
              <w:left w:w="120" w:type="dxa"/>
              <w:bottom w:w="75" w:type="dxa"/>
              <w:right w:w="120" w:type="dxa"/>
            </w:tcMar>
            <w:vAlign w:val="center"/>
          </w:tcPr>
          <w:p w14:paraId="024131F0">
            <w:pPr>
              <w:widowControl/>
              <w:snapToGrid w:val="0"/>
              <w:jc w:val="left"/>
              <w:rPr>
                <w:rFonts w:hint="eastAsia" w:ascii="宋体" w:hAnsi="宋体" w:cs="宋体"/>
                <w:sz w:val="24"/>
              </w:rPr>
            </w:pPr>
            <w:r>
              <w:rPr>
                <w:rFonts w:hint="eastAsia" w:ascii="宋体" w:hAnsi="宋体" w:cs="宋体"/>
                <w:kern w:val="0"/>
                <w:sz w:val="24"/>
                <w:lang w:bidi="ar"/>
              </w:rPr>
              <w:t>DAS28≤2.6；或CDAI≤2.8；或SDAI≤3.3；或符合布尔缓解标准</w:t>
            </w:r>
          </w:p>
        </w:tc>
        <w:tc>
          <w:tcPr>
            <w:tcW w:w="4171" w:type="dxa"/>
            <w:tcBorders>
              <w:top w:val="single" w:color="auto" w:sz="4" w:space="0"/>
              <w:left w:val="nil"/>
              <w:bottom w:val="nil"/>
              <w:right w:val="nil"/>
            </w:tcBorders>
            <w:noWrap w:val="0"/>
            <w:tcMar>
              <w:top w:w="75" w:type="dxa"/>
              <w:left w:w="120" w:type="dxa"/>
              <w:bottom w:w="75" w:type="dxa"/>
              <w:right w:w="-1" w:type="dxa"/>
            </w:tcMar>
            <w:vAlign w:val="center"/>
          </w:tcPr>
          <w:p w14:paraId="1F224957">
            <w:pPr>
              <w:widowControl/>
              <w:snapToGrid w:val="0"/>
              <w:jc w:val="left"/>
              <w:rPr>
                <w:rFonts w:hint="eastAsia" w:ascii="宋体" w:hAnsi="宋体" w:cs="宋体"/>
                <w:sz w:val="24"/>
              </w:rPr>
            </w:pPr>
            <w:r>
              <w:rPr>
                <w:rFonts w:hint="eastAsia" w:ascii="宋体" w:hAnsi="宋体" w:cs="宋体"/>
                <w:kern w:val="0"/>
                <w:sz w:val="24"/>
                <w:lang w:bidi="ar"/>
              </w:rPr>
              <w:t>维持当前方案，达到持续缓解（&gt;6个月）后可在严密监测下考虑D。</w:t>
            </w:r>
          </w:p>
        </w:tc>
      </w:tr>
      <w:tr w14:paraId="76C78473">
        <w:tblPrEx>
          <w:tblCellMar>
            <w:top w:w="15" w:type="dxa"/>
            <w:left w:w="15" w:type="dxa"/>
            <w:bottom w:w="15" w:type="dxa"/>
            <w:right w:w="15" w:type="dxa"/>
          </w:tblCellMar>
        </w:tblPrEx>
        <w:trPr>
          <w:jc w:val="center"/>
        </w:trPr>
        <w:tc>
          <w:tcPr>
            <w:tcW w:w="1207" w:type="dxa"/>
            <w:tcBorders>
              <w:top w:val="nil"/>
              <w:left w:val="nil"/>
              <w:bottom w:val="nil"/>
              <w:right w:val="nil"/>
            </w:tcBorders>
            <w:noWrap w:val="0"/>
            <w:tcMar>
              <w:top w:w="75" w:type="dxa"/>
              <w:left w:w="-1" w:type="dxa"/>
              <w:bottom w:w="75" w:type="dxa"/>
              <w:right w:w="120" w:type="dxa"/>
            </w:tcMar>
            <w:vAlign w:val="center"/>
          </w:tcPr>
          <w:p w14:paraId="142C9D6F">
            <w:pPr>
              <w:widowControl/>
              <w:snapToGrid w:val="0"/>
              <w:jc w:val="center"/>
              <w:rPr>
                <w:rFonts w:hint="eastAsia" w:ascii="宋体" w:hAnsi="宋体" w:cs="宋体"/>
                <w:sz w:val="24"/>
              </w:rPr>
            </w:pPr>
            <w:r>
              <w:rPr>
                <w:rStyle w:val="12"/>
                <w:rFonts w:hint="eastAsia" w:ascii="宋体" w:hAnsi="宋体" w:cs="宋体"/>
                <w:bCs/>
                <w:kern w:val="0"/>
                <w:sz w:val="24"/>
                <w:lang w:bidi="ar"/>
              </w:rPr>
              <w:t>低活动度</w:t>
            </w:r>
          </w:p>
        </w:tc>
        <w:tc>
          <w:tcPr>
            <w:tcW w:w="3144" w:type="dxa"/>
            <w:tcBorders>
              <w:top w:val="nil"/>
              <w:left w:val="nil"/>
              <w:bottom w:val="nil"/>
              <w:right w:val="nil"/>
            </w:tcBorders>
            <w:noWrap w:val="0"/>
            <w:tcMar>
              <w:top w:w="75" w:type="dxa"/>
              <w:left w:w="120" w:type="dxa"/>
              <w:bottom w:w="75" w:type="dxa"/>
              <w:right w:w="120" w:type="dxa"/>
            </w:tcMar>
            <w:vAlign w:val="center"/>
          </w:tcPr>
          <w:p w14:paraId="2B6F62AE">
            <w:pPr>
              <w:widowControl/>
              <w:snapToGrid w:val="0"/>
              <w:jc w:val="left"/>
              <w:rPr>
                <w:rFonts w:hint="eastAsia" w:ascii="宋体" w:hAnsi="宋体" w:cs="宋体"/>
                <w:sz w:val="24"/>
              </w:rPr>
            </w:pPr>
            <w:r>
              <w:rPr>
                <w:rFonts w:hint="eastAsia" w:ascii="宋体" w:hAnsi="宋体" w:cs="宋体"/>
                <w:kern w:val="0"/>
                <w:sz w:val="24"/>
                <w:lang w:bidi="ar"/>
              </w:rPr>
              <w:t>2.6&lt;DAS28≤3.2；或CDAI≤10；或SDAI≤11</w:t>
            </w:r>
          </w:p>
        </w:tc>
        <w:tc>
          <w:tcPr>
            <w:tcW w:w="4171" w:type="dxa"/>
            <w:tcBorders>
              <w:top w:val="nil"/>
              <w:left w:val="nil"/>
              <w:bottom w:val="nil"/>
              <w:right w:val="nil"/>
            </w:tcBorders>
            <w:noWrap w:val="0"/>
            <w:tcMar>
              <w:top w:w="75" w:type="dxa"/>
              <w:left w:w="120" w:type="dxa"/>
              <w:bottom w:w="75" w:type="dxa"/>
              <w:right w:w="-1" w:type="dxa"/>
            </w:tcMar>
            <w:vAlign w:val="center"/>
          </w:tcPr>
          <w:p w14:paraId="5177FC9E">
            <w:pPr>
              <w:widowControl/>
              <w:snapToGrid w:val="0"/>
              <w:jc w:val="left"/>
              <w:rPr>
                <w:rFonts w:hint="eastAsia" w:ascii="宋体" w:hAnsi="宋体" w:cs="宋体"/>
                <w:sz w:val="24"/>
              </w:rPr>
            </w:pPr>
            <w:r>
              <w:rPr>
                <w:rFonts w:hint="eastAsia" w:ascii="宋体" w:hAnsi="宋体" w:cs="宋体"/>
                <w:kern w:val="0"/>
                <w:sz w:val="24"/>
                <w:lang w:bidi="ar"/>
              </w:rPr>
              <w:t>如已达目标，维持当前方案；如仍高于低活动度，则需升级治疗</w:t>
            </w:r>
          </w:p>
        </w:tc>
      </w:tr>
      <w:tr w14:paraId="66CED204">
        <w:tblPrEx>
          <w:tblCellMar>
            <w:top w:w="15" w:type="dxa"/>
            <w:left w:w="15" w:type="dxa"/>
            <w:bottom w:w="15" w:type="dxa"/>
            <w:right w:w="15" w:type="dxa"/>
          </w:tblCellMar>
        </w:tblPrEx>
        <w:trPr>
          <w:jc w:val="center"/>
        </w:trPr>
        <w:tc>
          <w:tcPr>
            <w:tcW w:w="1207" w:type="dxa"/>
            <w:tcBorders>
              <w:top w:val="nil"/>
              <w:left w:val="nil"/>
              <w:bottom w:val="nil"/>
              <w:right w:val="nil"/>
            </w:tcBorders>
            <w:noWrap w:val="0"/>
            <w:tcMar>
              <w:top w:w="75" w:type="dxa"/>
              <w:left w:w="-1" w:type="dxa"/>
              <w:bottom w:w="75" w:type="dxa"/>
              <w:right w:w="120" w:type="dxa"/>
            </w:tcMar>
            <w:vAlign w:val="center"/>
          </w:tcPr>
          <w:p w14:paraId="6BB03C21">
            <w:pPr>
              <w:widowControl/>
              <w:snapToGrid w:val="0"/>
              <w:jc w:val="center"/>
              <w:rPr>
                <w:rFonts w:hint="eastAsia" w:ascii="宋体" w:hAnsi="宋体" w:cs="宋体"/>
                <w:sz w:val="24"/>
              </w:rPr>
            </w:pPr>
            <w:r>
              <w:rPr>
                <w:rStyle w:val="12"/>
                <w:rFonts w:hint="eastAsia" w:ascii="宋体" w:hAnsi="宋体" w:cs="宋体"/>
                <w:bCs/>
                <w:kern w:val="0"/>
                <w:sz w:val="24"/>
                <w:lang w:bidi="ar"/>
              </w:rPr>
              <w:t>中度活动</w:t>
            </w:r>
          </w:p>
        </w:tc>
        <w:tc>
          <w:tcPr>
            <w:tcW w:w="3144" w:type="dxa"/>
            <w:tcBorders>
              <w:top w:val="nil"/>
              <w:left w:val="nil"/>
              <w:bottom w:val="nil"/>
              <w:right w:val="nil"/>
            </w:tcBorders>
            <w:noWrap w:val="0"/>
            <w:tcMar>
              <w:top w:w="75" w:type="dxa"/>
              <w:left w:w="120" w:type="dxa"/>
              <w:bottom w:w="75" w:type="dxa"/>
              <w:right w:w="120" w:type="dxa"/>
            </w:tcMar>
            <w:vAlign w:val="center"/>
          </w:tcPr>
          <w:p w14:paraId="0A31E26F">
            <w:pPr>
              <w:widowControl/>
              <w:snapToGrid w:val="0"/>
              <w:jc w:val="left"/>
              <w:rPr>
                <w:rFonts w:hint="eastAsia" w:ascii="宋体" w:hAnsi="宋体" w:cs="宋体"/>
                <w:sz w:val="24"/>
              </w:rPr>
            </w:pPr>
            <w:r>
              <w:rPr>
                <w:rFonts w:hint="eastAsia" w:ascii="宋体" w:hAnsi="宋体" w:cs="宋体"/>
                <w:kern w:val="0"/>
                <w:sz w:val="24"/>
                <w:lang w:bidi="ar"/>
              </w:rPr>
              <w:t>3.2&lt;DAS28≤5.1；或10&lt;CDAI≤22；或11&lt;SDAI≤26</w:t>
            </w:r>
          </w:p>
        </w:tc>
        <w:tc>
          <w:tcPr>
            <w:tcW w:w="4171" w:type="dxa"/>
            <w:tcBorders>
              <w:top w:val="nil"/>
              <w:left w:val="nil"/>
              <w:bottom w:val="nil"/>
              <w:right w:val="nil"/>
            </w:tcBorders>
            <w:noWrap w:val="0"/>
            <w:tcMar>
              <w:top w:w="75" w:type="dxa"/>
              <w:left w:w="120" w:type="dxa"/>
              <w:bottom w:w="75" w:type="dxa"/>
              <w:right w:w="-1" w:type="dxa"/>
            </w:tcMar>
            <w:vAlign w:val="center"/>
          </w:tcPr>
          <w:p w14:paraId="5EF7F48C">
            <w:pPr>
              <w:widowControl/>
              <w:snapToGrid w:val="0"/>
              <w:jc w:val="left"/>
              <w:rPr>
                <w:rFonts w:hint="eastAsia" w:ascii="宋体" w:hAnsi="宋体" w:cs="宋体"/>
                <w:sz w:val="24"/>
              </w:rPr>
            </w:pPr>
            <w:r>
              <w:rPr>
                <w:rFonts w:hint="eastAsia" w:ascii="宋体" w:hAnsi="宋体" w:cs="宋体"/>
                <w:kern w:val="0"/>
                <w:sz w:val="24"/>
                <w:lang w:bidi="ar"/>
              </w:rPr>
              <w:t>csDMARDs联合短期GC；如csDMARDs单一治疗后3个月无改善，6个月未达标，应调整或联合b/tsDMARDs</w:t>
            </w:r>
          </w:p>
        </w:tc>
      </w:tr>
      <w:tr w14:paraId="126C9977">
        <w:tblPrEx>
          <w:tblCellMar>
            <w:top w:w="15" w:type="dxa"/>
            <w:left w:w="15" w:type="dxa"/>
            <w:bottom w:w="15" w:type="dxa"/>
            <w:right w:w="15" w:type="dxa"/>
          </w:tblCellMar>
        </w:tblPrEx>
        <w:trPr>
          <w:jc w:val="center"/>
        </w:trPr>
        <w:tc>
          <w:tcPr>
            <w:tcW w:w="1207" w:type="dxa"/>
            <w:tcBorders>
              <w:top w:val="nil"/>
              <w:left w:val="nil"/>
              <w:bottom w:val="single" w:color="auto" w:sz="12" w:space="0"/>
              <w:right w:val="nil"/>
            </w:tcBorders>
            <w:noWrap w:val="0"/>
            <w:tcMar>
              <w:top w:w="75" w:type="dxa"/>
              <w:left w:w="-1" w:type="dxa"/>
              <w:bottom w:w="75" w:type="dxa"/>
              <w:right w:w="120" w:type="dxa"/>
            </w:tcMar>
            <w:vAlign w:val="center"/>
          </w:tcPr>
          <w:p w14:paraId="4E89CF69">
            <w:pPr>
              <w:widowControl/>
              <w:snapToGrid w:val="0"/>
              <w:jc w:val="center"/>
              <w:rPr>
                <w:rFonts w:hint="eastAsia" w:ascii="宋体" w:hAnsi="宋体" w:cs="宋体"/>
                <w:sz w:val="24"/>
              </w:rPr>
            </w:pPr>
            <w:r>
              <w:rPr>
                <w:rStyle w:val="12"/>
                <w:rFonts w:hint="eastAsia" w:ascii="宋体" w:hAnsi="宋体" w:cs="宋体"/>
                <w:bCs/>
                <w:kern w:val="0"/>
                <w:sz w:val="24"/>
                <w:lang w:bidi="ar"/>
              </w:rPr>
              <w:t>高度活动</w:t>
            </w:r>
          </w:p>
        </w:tc>
        <w:tc>
          <w:tcPr>
            <w:tcW w:w="3144" w:type="dxa"/>
            <w:tcBorders>
              <w:top w:val="nil"/>
              <w:left w:val="nil"/>
              <w:bottom w:val="single" w:color="auto" w:sz="12" w:space="0"/>
              <w:right w:val="nil"/>
            </w:tcBorders>
            <w:noWrap w:val="0"/>
            <w:tcMar>
              <w:top w:w="75" w:type="dxa"/>
              <w:left w:w="120" w:type="dxa"/>
              <w:bottom w:w="75" w:type="dxa"/>
              <w:right w:w="120" w:type="dxa"/>
            </w:tcMar>
            <w:vAlign w:val="center"/>
          </w:tcPr>
          <w:p w14:paraId="09FDDB4B">
            <w:pPr>
              <w:widowControl/>
              <w:snapToGrid w:val="0"/>
              <w:jc w:val="left"/>
              <w:rPr>
                <w:rFonts w:hint="eastAsia" w:ascii="宋体" w:hAnsi="宋体" w:cs="宋体"/>
                <w:sz w:val="24"/>
              </w:rPr>
            </w:pPr>
            <w:r>
              <w:rPr>
                <w:rFonts w:hint="eastAsia" w:ascii="宋体" w:hAnsi="宋体" w:cs="宋体"/>
                <w:kern w:val="0"/>
                <w:sz w:val="24"/>
                <w:lang w:bidi="ar"/>
              </w:rPr>
              <w:t>DAS28&gt;5.1；或CDAI&gt;22；或SDAI&gt;26</w:t>
            </w:r>
          </w:p>
        </w:tc>
        <w:tc>
          <w:tcPr>
            <w:tcW w:w="4171" w:type="dxa"/>
            <w:tcBorders>
              <w:top w:val="nil"/>
              <w:left w:val="nil"/>
              <w:bottom w:val="single" w:color="auto" w:sz="12" w:space="0"/>
              <w:right w:val="nil"/>
            </w:tcBorders>
            <w:noWrap w:val="0"/>
            <w:tcMar>
              <w:top w:w="75" w:type="dxa"/>
              <w:left w:w="120" w:type="dxa"/>
              <w:bottom w:w="75" w:type="dxa"/>
              <w:right w:w="-1" w:type="dxa"/>
            </w:tcMar>
            <w:vAlign w:val="center"/>
          </w:tcPr>
          <w:p w14:paraId="4B9F6BC2">
            <w:pPr>
              <w:widowControl/>
              <w:snapToGrid w:val="0"/>
              <w:jc w:val="left"/>
              <w:rPr>
                <w:rFonts w:hint="eastAsia" w:ascii="宋体" w:hAnsi="宋体" w:cs="宋体"/>
                <w:sz w:val="24"/>
              </w:rPr>
            </w:pPr>
            <w:r>
              <w:rPr>
                <w:rFonts w:hint="eastAsia" w:ascii="宋体" w:hAnsi="宋体" w:cs="宋体"/>
                <w:kern w:val="0"/>
                <w:sz w:val="24"/>
                <w:lang w:bidi="ar"/>
              </w:rPr>
              <w:t>应直接csDMARDs+短期GC作为基础方案，若未达标应直接。</w:t>
            </w:r>
          </w:p>
        </w:tc>
      </w:tr>
    </w:tbl>
    <w:p w14:paraId="574A3DAE">
      <w:pPr>
        <w:pStyle w:val="9"/>
        <w:widowControl/>
        <w:shd w:val="clear" w:color="auto" w:fill="FFFFFF"/>
        <w:spacing w:before="120" w:beforeAutospacing="0" w:after="120" w:afterAutospacing="0" w:line="360" w:lineRule="auto"/>
        <w:ind w:firstLine="482" w:firstLineChars="200"/>
        <w:rPr>
          <w:rFonts w:hint="eastAsia" w:ascii="宋体" w:hAnsi="宋体" w:cs="宋体"/>
          <w:color w:val="0F1115"/>
        </w:rPr>
      </w:pPr>
      <w:r>
        <w:rPr>
          <w:rStyle w:val="12"/>
          <w:rFonts w:hint="eastAsia" w:ascii="宋体" w:hAnsi="宋体" w:cs="宋体"/>
          <w:bCs/>
          <w:color w:val="0F1115"/>
          <w:shd w:val="clear" w:color="auto" w:fill="FFFFFF"/>
        </w:rPr>
        <w:t>附注</w:t>
      </w:r>
      <w:r>
        <w:rPr>
          <w:rFonts w:hint="eastAsia" w:ascii="宋体" w:hAnsi="宋体" w:cs="宋体"/>
          <w:color w:val="0F1115"/>
          <w:shd w:val="clear" w:color="auto" w:fill="FFFFFF"/>
        </w:rPr>
        <w:t>：（1）表格中示干预选择可在医患共同决策下，参考新版EULAR指南更新路径。（2）任何高于低疾病活动度的状态均不可接受，除非合并症或患者偏好限制治疗升级。（3）2025年EULAR更新指南优先推荐ACR/EULAR布尔标准或CDAI/SDAI评估临床缓解，不建议继续使用DAS28标准判断缓解。（4）TJC28、SJC28为29个关节计数的对应28个关节指标，PGA为患者整体评估（patient global assessment），CRP单位为mg/dL。</w:t>
      </w:r>
    </w:p>
    <w:p w14:paraId="79EFD73F">
      <w:pPr>
        <w:pStyle w:val="2"/>
        <w:keepNext/>
        <w:keepLines/>
        <w:spacing w:before="10" w:beforeAutospacing="0" w:after="10" w:afterAutospacing="0" w:line="360" w:lineRule="auto"/>
        <w:jc w:val="center"/>
        <w:rPr>
          <w:rFonts w:ascii="黑体" w:hAnsi="黑体" w:eastAsia="黑体" w:cs="黑体"/>
          <w:b w:val="0"/>
          <w:sz w:val="21"/>
          <w:szCs w:val="21"/>
        </w:rPr>
      </w:pPr>
      <w:r>
        <w:rPr>
          <w:rFonts w:ascii="黑体" w:hAnsi="黑体" w:eastAsia="黑体" w:cs="黑体"/>
          <w:b w:val="0"/>
          <w:sz w:val="21"/>
          <w:szCs w:val="21"/>
        </w:rPr>
        <w:t>附录D</w:t>
      </w:r>
    </w:p>
    <w:p w14:paraId="3DD76EE1">
      <w:pPr>
        <w:pStyle w:val="2"/>
        <w:keepNext/>
        <w:keepLines/>
        <w:spacing w:before="10" w:beforeAutospacing="0" w:after="10" w:afterAutospacing="0" w:line="360" w:lineRule="auto"/>
        <w:jc w:val="center"/>
        <w:rPr>
          <w:rFonts w:ascii="黑体" w:hAnsi="黑体" w:eastAsia="黑体" w:cs="黑体"/>
          <w:b w:val="0"/>
          <w:sz w:val="21"/>
          <w:szCs w:val="21"/>
        </w:rPr>
      </w:pPr>
      <w:r>
        <w:rPr>
          <w:rFonts w:ascii="黑体" w:hAnsi="黑体" w:eastAsia="黑体" w:cs="黑体"/>
          <w:b w:val="0"/>
          <w:sz w:val="21"/>
          <w:szCs w:val="21"/>
        </w:rPr>
        <w:t>（资料性）</w:t>
      </w:r>
    </w:p>
    <w:p w14:paraId="6E8F09BD">
      <w:pPr>
        <w:pStyle w:val="2"/>
        <w:keepNext/>
        <w:keepLines/>
        <w:spacing w:before="10" w:beforeAutospacing="0" w:after="10" w:afterAutospacing="0" w:line="360" w:lineRule="auto"/>
        <w:jc w:val="center"/>
        <w:rPr>
          <w:rFonts w:cs="宋体"/>
          <w:color w:val="0F1115"/>
          <w:sz w:val="24"/>
          <w:szCs w:val="24"/>
        </w:rPr>
      </w:pPr>
      <w:r>
        <w:rPr>
          <w:rFonts w:ascii="黑体" w:hAnsi="黑体" w:eastAsia="黑体" w:cs="黑体"/>
          <w:b w:val="0"/>
          <w:sz w:val="21"/>
          <w:szCs w:val="21"/>
        </w:rPr>
        <w:t>类风湿关节炎改善病情抗风湿药汇总</w:t>
      </w:r>
    </w:p>
    <w:p w14:paraId="090FB45D">
      <w:pPr>
        <w:pStyle w:val="9"/>
        <w:widowControl/>
        <w:shd w:val="clear" w:color="auto" w:fill="FFFFFF"/>
        <w:spacing w:before="120" w:beforeAutospacing="0" w:after="120" w:afterAutospacing="0" w:line="360" w:lineRule="auto"/>
        <w:ind w:firstLine="482" w:firstLineChars="200"/>
        <w:rPr>
          <w:rFonts w:hint="eastAsia" w:ascii="宋体" w:hAnsi="宋体" w:cs="宋体"/>
          <w:color w:val="0F1115"/>
        </w:rPr>
      </w:pPr>
      <w:r>
        <w:rPr>
          <w:rStyle w:val="12"/>
          <w:rFonts w:hint="eastAsia" w:ascii="宋体" w:hAnsi="宋体" w:cs="宋体"/>
          <w:bCs/>
          <w:color w:val="0F1115"/>
          <w:shd w:val="clear" w:color="auto" w:fill="FFFFFF"/>
        </w:rPr>
        <w:t>表D.1 传统合成DMARDs（csDMARDs）常用药物剂量与注意事项</w:t>
      </w:r>
    </w:p>
    <w:tbl>
      <w:tblPr>
        <w:tblStyle w:val="10"/>
        <w:tblW w:w="8522" w:type="dxa"/>
        <w:jc w:val="center"/>
        <w:tblLayout w:type="autofit"/>
        <w:tblCellMar>
          <w:top w:w="15" w:type="dxa"/>
          <w:left w:w="15" w:type="dxa"/>
          <w:bottom w:w="15" w:type="dxa"/>
          <w:right w:w="15" w:type="dxa"/>
        </w:tblCellMar>
      </w:tblPr>
      <w:tblGrid>
        <w:gridCol w:w="1317"/>
        <w:gridCol w:w="1867"/>
        <w:gridCol w:w="1204"/>
        <w:gridCol w:w="2067"/>
        <w:gridCol w:w="2067"/>
      </w:tblGrid>
      <w:tr w14:paraId="7D2FC4EA">
        <w:tblPrEx>
          <w:tblCellMar>
            <w:top w:w="15" w:type="dxa"/>
            <w:left w:w="15" w:type="dxa"/>
            <w:bottom w:w="15" w:type="dxa"/>
            <w:right w:w="15" w:type="dxa"/>
          </w:tblCellMar>
        </w:tblPrEx>
        <w:trPr>
          <w:tblHeader/>
          <w:jc w:val="center"/>
        </w:trPr>
        <w:tc>
          <w:tcPr>
            <w:tcBorders>
              <w:top w:val="single" w:color="auto" w:sz="12" w:space="0"/>
              <w:left w:val="nil"/>
              <w:bottom w:val="nil"/>
              <w:right w:val="nil"/>
            </w:tcBorders>
            <w:noWrap w:val="0"/>
            <w:tcMar>
              <w:top w:w="75" w:type="dxa"/>
              <w:left w:w="-1" w:type="dxa"/>
              <w:bottom w:w="75" w:type="dxa"/>
              <w:right w:w="120" w:type="dxa"/>
            </w:tcMar>
            <w:vAlign w:val="center"/>
          </w:tcPr>
          <w:p w14:paraId="7B5B0AC7">
            <w:pPr>
              <w:keepNext/>
              <w:widowControl/>
              <w:snapToGrid w:val="0"/>
              <w:jc w:val="center"/>
              <w:rPr>
                <w:rFonts w:hint="eastAsia" w:ascii="宋体" w:hAnsi="宋体" w:cs="宋体"/>
                <w:b/>
                <w:sz w:val="24"/>
              </w:rPr>
            </w:pPr>
            <w:r>
              <w:rPr>
                <w:rStyle w:val="12"/>
                <w:rFonts w:hint="eastAsia" w:ascii="宋体" w:hAnsi="宋体" w:cs="宋体"/>
                <w:bCs/>
                <w:kern w:val="0"/>
                <w:sz w:val="24"/>
                <w:lang w:bidi="ar"/>
              </w:rPr>
              <w:t>药物</w:t>
            </w:r>
          </w:p>
        </w:tc>
        <w:tc>
          <w:tcPr>
            <w:tcW w:w="1867" w:type="dxa"/>
            <w:tcBorders>
              <w:top w:val="single" w:color="auto" w:sz="12" w:space="0"/>
              <w:left w:val="nil"/>
              <w:bottom w:val="nil"/>
              <w:right w:val="nil"/>
            </w:tcBorders>
            <w:noWrap w:val="0"/>
            <w:tcMar>
              <w:top w:w="75" w:type="dxa"/>
              <w:left w:w="120" w:type="dxa"/>
              <w:bottom w:w="75" w:type="dxa"/>
              <w:right w:w="120" w:type="dxa"/>
            </w:tcMar>
            <w:vAlign w:val="center"/>
          </w:tcPr>
          <w:p w14:paraId="57B81044">
            <w:pPr>
              <w:keepNext/>
              <w:widowControl/>
              <w:snapToGrid w:val="0"/>
              <w:jc w:val="center"/>
              <w:rPr>
                <w:rFonts w:hint="eastAsia" w:ascii="宋体" w:hAnsi="宋体" w:cs="宋体"/>
                <w:b/>
                <w:sz w:val="24"/>
              </w:rPr>
            </w:pPr>
            <w:r>
              <w:rPr>
                <w:rStyle w:val="12"/>
                <w:rFonts w:hint="eastAsia" w:ascii="宋体" w:hAnsi="宋体" w:cs="宋体"/>
                <w:bCs/>
                <w:kern w:val="0"/>
                <w:sz w:val="24"/>
                <w:lang w:bidi="ar"/>
              </w:rPr>
              <w:t>常用剂量</w:t>
            </w:r>
          </w:p>
        </w:tc>
        <w:tc>
          <w:tcPr>
            <w:tcW w:w="1204" w:type="dxa"/>
            <w:tcBorders>
              <w:top w:val="single" w:color="auto" w:sz="12" w:space="0"/>
              <w:left w:val="nil"/>
              <w:bottom w:val="nil"/>
              <w:right w:val="nil"/>
            </w:tcBorders>
            <w:noWrap w:val="0"/>
            <w:tcMar>
              <w:top w:w="75" w:type="dxa"/>
              <w:left w:w="120" w:type="dxa"/>
              <w:bottom w:w="75" w:type="dxa"/>
              <w:right w:w="120" w:type="dxa"/>
            </w:tcMar>
            <w:vAlign w:val="center"/>
          </w:tcPr>
          <w:p w14:paraId="149F7D11">
            <w:pPr>
              <w:keepNext/>
              <w:widowControl/>
              <w:snapToGrid w:val="0"/>
              <w:jc w:val="center"/>
              <w:rPr>
                <w:rFonts w:hint="eastAsia" w:ascii="宋体" w:hAnsi="宋体" w:cs="宋体"/>
                <w:b/>
                <w:sz w:val="24"/>
              </w:rPr>
            </w:pPr>
            <w:r>
              <w:rPr>
                <w:rStyle w:val="12"/>
                <w:rFonts w:hint="eastAsia" w:ascii="宋体" w:hAnsi="宋体" w:cs="宋体"/>
                <w:bCs/>
                <w:kern w:val="0"/>
                <w:sz w:val="24"/>
                <w:lang w:bidi="ar"/>
              </w:rPr>
              <w:t>起效时间</w:t>
            </w:r>
          </w:p>
        </w:tc>
        <w:tc>
          <w:tcPr>
            <w:tcW w:w="2067" w:type="dxa"/>
            <w:tcBorders>
              <w:top w:val="single" w:color="auto" w:sz="12" w:space="0"/>
              <w:left w:val="nil"/>
              <w:bottom w:val="nil"/>
              <w:right w:val="nil"/>
            </w:tcBorders>
            <w:noWrap w:val="0"/>
            <w:tcMar>
              <w:top w:w="75" w:type="dxa"/>
              <w:left w:w="120" w:type="dxa"/>
              <w:bottom w:w="75" w:type="dxa"/>
              <w:right w:w="120" w:type="dxa"/>
            </w:tcMar>
            <w:vAlign w:val="center"/>
          </w:tcPr>
          <w:p w14:paraId="147DBB79">
            <w:pPr>
              <w:keepNext/>
              <w:widowControl/>
              <w:snapToGrid w:val="0"/>
              <w:jc w:val="center"/>
              <w:rPr>
                <w:rFonts w:hint="eastAsia" w:ascii="宋体" w:hAnsi="宋体" w:cs="宋体"/>
                <w:b/>
                <w:sz w:val="24"/>
              </w:rPr>
            </w:pPr>
            <w:r>
              <w:rPr>
                <w:rStyle w:val="12"/>
                <w:rFonts w:hint="eastAsia" w:ascii="宋体" w:hAnsi="宋体" w:cs="宋体"/>
                <w:bCs/>
                <w:kern w:val="0"/>
                <w:sz w:val="24"/>
                <w:lang w:bidi="ar"/>
              </w:rPr>
              <w:t>主要不良反应</w:t>
            </w:r>
          </w:p>
        </w:tc>
        <w:tc>
          <w:tcPr>
            <w:tcW w:w="2067" w:type="dxa"/>
            <w:tcBorders>
              <w:top w:val="single" w:color="auto" w:sz="12" w:space="0"/>
              <w:left w:val="nil"/>
              <w:bottom w:val="nil"/>
              <w:right w:val="nil"/>
            </w:tcBorders>
            <w:noWrap w:val="0"/>
            <w:tcMar>
              <w:top w:w="75" w:type="dxa"/>
              <w:left w:w="120" w:type="dxa"/>
              <w:bottom w:w="75" w:type="dxa"/>
              <w:right w:w="120" w:type="dxa"/>
            </w:tcMar>
            <w:vAlign w:val="center"/>
          </w:tcPr>
          <w:p w14:paraId="020D57DC">
            <w:pPr>
              <w:keepNext/>
              <w:widowControl/>
              <w:snapToGrid w:val="0"/>
              <w:jc w:val="center"/>
              <w:rPr>
                <w:rFonts w:hint="eastAsia" w:ascii="宋体" w:hAnsi="宋体" w:cs="宋体"/>
                <w:b/>
                <w:sz w:val="24"/>
              </w:rPr>
            </w:pPr>
            <w:r>
              <w:rPr>
                <w:rStyle w:val="12"/>
                <w:rFonts w:hint="eastAsia" w:ascii="宋体" w:hAnsi="宋体" w:cs="宋体"/>
                <w:bCs/>
                <w:kern w:val="0"/>
                <w:sz w:val="24"/>
                <w:lang w:bidi="ar"/>
              </w:rPr>
              <w:t>监测建议</w:t>
            </w:r>
          </w:p>
        </w:tc>
      </w:tr>
      <w:tr w14:paraId="7779A8A1">
        <w:tblPrEx>
          <w:tblCellMar>
            <w:top w:w="15" w:type="dxa"/>
            <w:left w:w="15" w:type="dxa"/>
            <w:bottom w:w="15" w:type="dxa"/>
            <w:right w:w="15" w:type="dxa"/>
          </w:tblCellMar>
        </w:tblPrEx>
        <w:trPr>
          <w:jc w:val="center"/>
        </w:trPr>
        <w:tc>
          <w:tcPr>
            <w:tcBorders>
              <w:top w:val="single" w:color="auto" w:sz="4" w:space="0"/>
              <w:left w:val="nil"/>
              <w:bottom w:val="nil"/>
              <w:right w:val="nil"/>
            </w:tcBorders>
            <w:noWrap w:val="0"/>
            <w:tcMar>
              <w:top w:w="75" w:type="dxa"/>
              <w:left w:w="-1" w:type="dxa"/>
              <w:bottom w:w="75" w:type="dxa"/>
              <w:right w:w="120" w:type="dxa"/>
            </w:tcMar>
            <w:vAlign w:val="center"/>
          </w:tcPr>
          <w:p w14:paraId="07E934C2">
            <w:pPr>
              <w:keepNext/>
              <w:widowControl/>
              <w:snapToGrid w:val="0"/>
              <w:jc w:val="center"/>
              <w:rPr>
                <w:rFonts w:hint="eastAsia" w:ascii="宋体" w:hAnsi="宋体" w:cs="宋体"/>
                <w:sz w:val="24"/>
              </w:rPr>
            </w:pPr>
            <w:r>
              <w:rPr>
                <w:rFonts w:hint="eastAsia" w:ascii="宋体" w:hAnsi="宋体" w:cs="宋体"/>
                <w:kern w:val="0"/>
                <w:sz w:val="24"/>
                <w:lang w:bidi="ar"/>
              </w:rPr>
              <w:t>甲氨蝶呤（MTX）</w:t>
            </w:r>
          </w:p>
        </w:tc>
        <w:tc>
          <w:tcPr>
            <w:tcW w:w="1867" w:type="dxa"/>
            <w:tcBorders>
              <w:top w:val="single" w:color="auto" w:sz="4" w:space="0"/>
              <w:left w:val="nil"/>
              <w:bottom w:val="nil"/>
              <w:right w:val="nil"/>
            </w:tcBorders>
            <w:noWrap w:val="0"/>
            <w:tcMar>
              <w:top w:w="75" w:type="dxa"/>
              <w:left w:w="120" w:type="dxa"/>
              <w:bottom w:w="75" w:type="dxa"/>
              <w:right w:w="120" w:type="dxa"/>
            </w:tcMar>
            <w:vAlign w:val="center"/>
          </w:tcPr>
          <w:p w14:paraId="20AEE093">
            <w:pPr>
              <w:keepNext/>
              <w:widowControl/>
              <w:snapToGrid w:val="0"/>
              <w:jc w:val="center"/>
              <w:rPr>
                <w:rFonts w:hint="eastAsia" w:ascii="宋体" w:hAnsi="宋体" w:cs="宋体"/>
                <w:sz w:val="24"/>
              </w:rPr>
            </w:pPr>
            <w:r>
              <w:rPr>
                <w:rFonts w:hint="eastAsia" w:ascii="宋体" w:hAnsi="宋体" w:cs="宋体"/>
                <w:kern w:val="0"/>
                <w:sz w:val="24"/>
                <w:lang w:bidi="ar"/>
              </w:rPr>
              <w:t>10～25mg/周，口服或皮下注射</w:t>
            </w:r>
          </w:p>
        </w:tc>
        <w:tc>
          <w:tcPr>
            <w:tcW w:w="1204" w:type="dxa"/>
            <w:tcBorders>
              <w:top w:val="single" w:color="auto" w:sz="4" w:space="0"/>
              <w:left w:val="nil"/>
              <w:bottom w:val="nil"/>
              <w:right w:val="nil"/>
            </w:tcBorders>
            <w:noWrap w:val="0"/>
            <w:tcMar>
              <w:top w:w="75" w:type="dxa"/>
              <w:left w:w="120" w:type="dxa"/>
              <w:bottom w:w="75" w:type="dxa"/>
              <w:right w:w="120" w:type="dxa"/>
            </w:tcMar>
            <w:vAlign w:val="center"/>
          </w:tcPr>
          <w:p w14:paraId="188C7348">
            <w:pPr>
              <w:keepNext/>
              <w:widowControl/>
              <w:snapToGrid w:val="0"/>
              <w:jc w:val="left"/>
              <w:rPr>
                <w:rFonts w:hint="eastAsia" w:ascii="宋体" w:hAnsi="宋体" w:cs="宋体"/>
                <w:sz w:val="24"/>
              </w:rPr>
            </w:pPr>
            <w:r>
              <w:rPr>
                <w:rFonts w:hint="eastAsia" w:ascii="宋体" w:hAnsi="宋体" w:cs="宋体"/>
                <w:kern w:val="0"/>
                <w:sz w:val="24"/>
                <w:lang w:bidi="ar"/>
              </w:rPr>
              <w:t>4～8周</w:t>
            </w:r>
          </w:p>
        </w:tc>
        <w:tc>
          <w:tcPr>
            <w:tcW w:w="2067" w:type="dxa"/>
            <w:tcBorders>
              <w:top w:val="single" w:color="auto" w:sz="4" w:space="0"/>
              <w:left w:val="nil"/>
              <w:bottom w:val="nil"/>
              <w:right w:val="nil"/>
            </w:tcBorders>
            <w:noWrap w:val="0"/>
            <w:tcMar>
              <w:top w:w="75" w:type="dxa"/>
              <w:left w:w="120" w:type="dxa"/>
              <w:bottom w:w="75" w:type="dxa"/>
              <w:right w:w="120" w:type="dxa"/>
            </w:tcMar>
            <w:vAlign w:val="center"/>
          </w:tcPr>
          <w:p w14:paraId="05796CE4">
            <w:pPr>
              <w:keepNext/>
              <w:widowControl/>
              <w:snapToGrid w:val="0"/>
              <w:jc w:val="center"/>
              <w:rPr>
                <w:rFonts w:hint="eastAsia" w:ascii="宋体" w:hAnsi="宋体" w:cs="宋体"/>
                <w:sz w:val="24"/>
              </w:rPr>
            </w:pPr>
            <w:r>
              <w:rPr>
                <w:rFonts w:hint="eastAsia" w:ascii="宋体" w:hAnsi="宋体" w:cs="宋体"/>
                <w:kern w:val="0"/>
                <w:sz w:val="24"/>
                <w:lang w:bidi="ar"/>
              </w:rPr>
              <w:t>胃肠道反应、肝功能异常、骨髓抑</w:t>
            </w:r>
          </w:p>
        </w:tc>
        <w:tc>
          <w:tcPr>
            <w:tcW w:w="2067" w:type="dxa"/>
            <w:tcBorders>
              <w:top w:val="single" w:color="auto" w:sz="4" w:space="0"/>
              <w:left w:val="nil"/>
              <w:bottom w:val="nil"/>
              <w:right w:val="nil"/>
            </w:tcBorders>
            <w:noWrap w:val="0"/>
            <w:tcMar>
              <w:top w:w="75" w:type="dxa"/>
              <w:left w:w="120" w:type="dxa"/>
              <w:bottom w:w="75" w:type="dxa"/>
              <w:right w:w="-1" w:type="dxa"/>
            </w:tcMar>
            <w:vAlign w:val="center"/>
          </w:tcPr>
          <w:p w14:paraId="21D81511">
            <w:pPr>
              <w:keepNext/>
              <w:widowControl/>
              <w:snapToGrid w:val="0"/>
              <w:jc w:val="left"/>
              <w:rPr>
                <w:rFonts w:hint="eastAsia" w:ascii="宋体" w:hAnsi="宋体" w:cs="宋体"/>
                <w:sz w:val="24"/>
              </w:rPr>
            </w:pPr>
            <w:r>
              <w:rPr>
                <w:rFonts w:hint="eastAsia" w:ascii="宋体" w:hAnsi="宋体" w:cs="宋体"/>
                <w:kern w:val="0"/>
                <w:sz w:val="24"/>
                <w:lang w:bidi="ar"/>
              </w:rPr>
              <w:t>每4～8周监测血常规、肝功能；每年胸片或肺功能</w:t>
            </w:r>
          </w:p>
        </w:tc>
      </w:tr>
      <w:tr w14:paraId="69BA8A18">
        <w:tblPrEx>
          <w:tblCellMar>
            <w:top w:w="15" w:type="dxa"/>
            <w:left w:w="15" w:type="dxa"/>
            <w:bottom w:w="15" w:type="dxa"/>
            <w:right w:w="15" w:type="dxa"/>
          </w:tblCellMar>
        </w:tblPrEx>
        <w:trPr>
          <w:jc w:val="center"/>
        </w:trPr>
        <w:tc>
          <w:tcPr>
            <w:tcBorders>
              <w:top w:val="nil"/>
              <w:left w:val="nil"/>
              <w:bottom w:val="nil"/>
              <w:right w:val="nil"/>
            </w:tcBorders>
            <w:noWrap w:val="0"/>
            <w:tcMar>
              <w:top w:w="75" w:type="dxa"/>
              <w:left w:w="-1" w:type="dxa"/>
              <w:bottom w:w="75" w:type="dxa"/>
              <w:right w:w="120" w:type="dxa"/>
            </w:tcMar>
            <w:vAlign w:val="center"/>
          </w:tcPr>
          <w:p w14:paraId="1F07F113">
            <w:pPr>
              <w:keepNext/>
              <w:widowControl/>
              <w:snapToGrid w:val="0"/>
              <w:jc w:val="center"/>
              <w:rPr>
                <w:rFonts w:hint="eastAsia" w:ascii="宋体" w:hAnsi="宋体" w:cs="宋体"/>
                <w:sz w:val="24"/>
              </w:rPr>
            </w:pPr>
            <w:r>
              <w:rPr>
                <w:rFonts w:hint="eastAsia" w:ascii="宋体" w:hAnsi="宋体" w:cs="宋体"/>
                <w:kern w:val="0"/>
                <w:sz w:val="24"/>
                <w:lang w:bidi="ar"/>
              </w:rPr>
              <w:t>来氟米特（LEF）</w:t>
            </w:r>
          </w:p>
        </w:tc>
        <w:tc>
          <w:tcPr>
            <w:tcW w:w="1867" w:type="dxa"/>
            <w:tcBorders>
              <w:top w:val="nil"/>
              <w:left w:val="nil"/>
              <w:bottom w:val="nil"/>
              <w:right w:val="nil"/>
            </w:tcBorders>
            <w:noWrap w:val="0"/>
            <w:tcMar>
              <w:top w:w="75" w:type="dxa"/>
              <w:left w:w="120" w:type="dxa"/>
              <w:bottom w:w="75" w:type="dxa"/>
              <w:right w:w="120" w:type="dxa"/>
            </w:tcMar>
            <w:vAlign w:val="center"/>
          </w:tcPr>
          <w:p w14:paraId="3E0F70A5">
            <w:pPr>
              <w:keepNext/>
              <w:widowControl/>
              <w:snapToGrid w:val="0"/>
              <w:jc w:val="center"/>
              <w:rPr>
                <w:rFonts w:hint="eastAsia" w:ascii="宋体" w:hAnsi="宋体" w:cs="宋体"/>
                <w:sz w:val="24"/>
              </w:rPr>
            </w:pPr>
            <w:r>
              <w:rPr>
                <w:rFonts w:hint="eastAsia" w:ascii="宋体" w:hAnsi="宋体" w:cs="宋体"/>
                <w:kern w:val="0"/>
                <w:sz w:val="24"/>
                <w:lang w:bidi="ar"/>
              </w:rPr>
              <w:t>10～20mg/d</w:t>
            </w:r>
          </w:p>
        </w:tc>
        <w:tc>
          <w:tcPr>
            <w:tcW w:w="1204" w:type="dxa"/>
            <w:tcBorders>
              <w:top w:val="nil"/>
              <w:left w:val="nil"/>
              <w:bottom w:val="nil"/>
              <w:right w:val="nil"/>
            </w:tcBorders>
            <w:noWrap w:val="0"/>
            <w:tcMar>
              <w:top w:w="75" w:type="dxa"/>
              <w:left w:w="120" w:type="dxa"/>
              <w:bottom w:w="75" w:type="dxa"/>
              <w:right w:w="120" w:type="dxa"/>
            </w:tcMar>
            <w:vAlign w:val="center"/>
          </w:tcPr>
          <w:p w14:paraId="64273D9A">
            <w:pPr>
              <w:keepNext/>
              <w:widowControl/>
              <w:snapToGrid w:val="0"/>
              <w:jc w:val="left"/>
              <w:rPr>
                <w:rFonts w:hint="eastAsia" w:ascii="宋体" w:hAnsi="宋体" w:cs="宋体"/>
                <w:sz w:val="24"/>
              </w:rPr>
            </w:pPr>
            <w:r>
              <w:rPr>
                <w:rFonts w:hint="eastAsia" w:ascii="宋体" w:hAnsi="宋体" w:cs="宋体"/>
                <w:kern w:val="0"/>
                <w:sz w:val="24"/>
                <w:lang w:bidi="ar"/>
              </w:rPr>
              <w:t>4～8周</w:t>
            </w:r>
          </w:p>
        </w:tc>
        <w:tc>
          <w:tcPr>
            <w:tcW w:w="2067" w:type="dxa"/>
            <w:tcBorders>
              <w:top w:val="nil"/>
              <w:left w:val="nil"/>
              <w:bottom w:val="nil"/>
              <w:right w:val="nil"/>
            </w:tcBorders>
            <w:noWrap w:val="0"/>
            <w:tcMar>
              <w:top w:w="75" w:type="dxa"/>
              <w:left w:w="120" w:type="dxa"/>
              <w:bottom w:w="75" w:type="dxa"/>
              <w:right w:w="120" w:type="dxa"/>
            </w:tcMar>
            <w:vAlign w:val="center"/>
          </w:tcPr>
          <w:p w14:paraId="5CABD2E8">
            <w:pPr>
              <w:keepNext/>
              <w:widowControl/>
              <w:snapToGrid w:val="0"/>
              <w:jc w:val="center"/>
              <w:rPr>
                <w:rFonts w:hint="eastAsia" w:ascii="宋体" w:hAnsi="宋体" w:cs="宋体"/>
                <w:sz w:val="24"/>
              </w:rPr>
            </w:pPr>
            <w:r>
              <w:rPr>
                <w:rFonts w:hint="eastAsia" w:ascii="宋体" w:hAnsi="宋体" w:cs="宋体"/>
                <w:kern w:val="0"/>
                <w:sz w:val="24"/>
                <w:lang w:bidi="ar"/>
              </w:rPr>
              <w:t>肝毒性、高血压、腹泻、脱发</w:t>
            </w:r>
          </w:p>
        </w:tc>
        <w:tc>
          <w:tcPr>
            <w:tcW w:w="2067" w:type="dxa"/>
            <w:tcBorders>
              <w:top w:val="nil"/>
              <w:left w:val="nil"/>
              <w:bottom w:val="nil"/>
              <w:right w:val="nil"/>
            </w:tcBorders>
            <w:noWrap w:val="0"/>
            <w:tcMar>
              <w:top w:w="75" w:type="dxa"/>
              <w:left w:w="120" w:type="dxa"/>
              <w:bottom w:w="75" w:type="dxa"/>
              <w:right w:w="-1" w:type="dxa"/>
            </w:tcMar>
            <w:vAlign w:val="center"/>
          </w:tcPr>
          <w:p w14:paraId="20FF46B3">
            <w:pPr>
              <w:keepNext/>
              <w:widowControl/>
              <w:snapToGrid w:val="0"/>
              <w:jc w:val="left"/>
              <w:rPr>
                <w:rFonts w:hint="eastAsia" w:ascii="宋体" w:hAnsi="宋体" w:cs="宋体"/>
                <w:sz w:val="24"/>
              </w:rPr>
            </w:pPr>
            <w:r>
              <w:rPr>
                <w:rFonts w:hint="eastAsia" w:ascii="宋体" w:hAnsi="宋体" w:cs="宋体"/>
                <w:kern w:val="0"/>
                <w:sz w:val="24"/>
                <w:lang w:bidi="ar"/>
              </w:rPr>
              <w:t>初始3个月每月监测肝功能，之后每3个月一次</w:t>
            </w:r>
          </w:p>
        </w:tc>
      </w:tr>
      <w:tr w14:paraId="668F835D">
        <w:tblPrEx>
          <w:tblCellMar>
            <w:top w:w="15" w:type="dxa"/>
            <w:left w:w="15" w:type="dxa"/>
            <w:bottom w:w="15" w:type="dxa"/>
            <w:right w:w="15" w:type="dxa"/>
          </w:tblCellMar>
        </w:tblPrEx>
        <w:trPr>
          <w:jc w:val="center"/>
        </w:trPr>
        <w:tc>
          <w:tcPr>
            <w:tcBorders>
              <w:top w:val="nil"/>
              <w:left w:val="nil"/>
              <w:bottom w:val="nil"/>
              <w:right w:val="nil"/>
            </w:tcBorders>
            <w:noWrap w:val="0"/>
            <w:tcMar>
              <w:top w:w="75" w:type="dxa"/>
              <w:left w:w="-1" w:type="dxa"/>
              <w:bottom w:w="75" w:type="dxa"/>
              <w:right w:w="120" w:type="dxa"/>
            </w:tcMar>
            <w:vAlign w:val="center"/>
          </w:tcPr>
          <w:p w14:paraId="63C8617A">
            <w:pPr>
              <w:keepNext/>
              <w:widowControl/>
              <w:snapToGrid w:val="0"/>
              <w:jc w:val="center"/>
              <w:rPr>
                <w:rFonts w:hint="eastAsia" w:ascii="宋体" w:hAnsi="宋体" w:cs="宋体"/>
                <w:sz w:val="24"/>
              </w:rPr>
            </w:pPr>
            <w:r>
              <w:rPr>
                <w:rFonts w:hint="eastAsia" w:ascii="宋体" w:hAnsi="宋体" w:cs="宋体"/>
                <w:kern w:val="0"/>
                <w:sz w:val="24"/>
                <w:lang w:bidi="ar"/>
              </w:rPr>
              <w:t>柳氮磺吡啶（SSZ）</w:t>
            </w:r>
          </w:p>
        </w:tc>
        <w:tc>
          <w:tcPr>
            <w:tcW w:w="1867" w:type="dxa"/>
            <w:tcBorders>
              <w:top w:val="nil"/>
              <w:left w:val="nil"/>
              <w:bottom w:val="nil"/>
              <w:right w:val="nil"/>
            </w:tcBorders>
            <w:noWrap w:val="0"/>
            <w:tcMar>
              <w:top w:w="75" w:type="dxa"/>
              <w:left w:w="120" w:type="dxa"/>
              <w:bottom w:w="75" w:type="dxa"/>
              <w:right w:w="120" w:type="dxa"/>
            </w:tcMar>
            <w:vAlign w:val="center"/>
          </w:tcPr>
          <w:p w14:paraId="42D6B244">
            <w:pPr>
              <w:keepNext/>
              <w:widowControl/>
              <w:snapToGrid w:val="0"/>
              <w:jc w:val="center"/>
              <w:rPr>
                <w:rFonts w:hint="eastAsia" w:ascii="宋体" w:hAnsi="宋体" w:cs="宋体"/>
                <w:sz w:val="24"/>
              </w:rPr>
            </w:pPr>
            <w:r>
              <w:rPr>
                <w:rFonts w:hint="eastAsia" w:ascii="宋体" w:hAnsi="宋体" w:cs="宋体"/>
                <w:kern w:val="0"/>
                <w:sz w:val="24"/>
                <w:lang w:bidi="ar"/>
              </w:rPr>
              <w:t>1.5～3.0g/d</w:t>
            </w:r>
          </w:p>
        </w:tc>
        <w:tc>
          <w:tcPr>
            <w:tcW w:w="1204" w:type="dxa"/>
            <w:tcBorders>
              <w:top w:val="nil"/>
              <w:left w:val="nil"/>
              <w:bottom w:val="nil"/>
              <w:right w:val="nil"/>
            </w:tcBorders>
            <w:noWrap w:val="0"/>
            <w:tcMar>
              <w:top w:w="75" w:type="dxa"/>
              <w:left w:w="120" w:type="dxa"/>
              <w:bottom w:w="75" w:type="dxa"/>
              <w:right w:w="120" w:type="dxa"/>
            </w:tcMar>
            <w:vAlign w:val="center"/>
          </w:tcPr>
          <w:p w14:paraId="031B991E">
            <w:pPr>
              <w:keepNext/>
              <w:widowControl/>
              <w:snapToGrid w:val="0"/>
              <w:jc w:val="left"/>
              <w:rPr>
                <w:rFonts w:hint="eastAsia" w:ascii="宋体" w:hAnsi="宋体" w:cs="宋体"/>
                <w:sz w:val="24"/>
              </w:rPr>
            </w:pPr>
            <w:r>
              <w:rPr>
                <w:rFonts w:hint="eastAsia" w:ascii="宋体" w:hAnsi="宋体" w:cs="宋体"/>
                <w:kern w:val="0"/>
                <w:sz w:val="24"/>
                <w:lang w:bidi="ar"/>
              </w:rPr>
              <w:t>4～12周</w:t>
            </w:r>
          </w:p>
        </w:tc>
        <w:tc>
          <w:tcPr>
            <w:tcW w:w="2067" w:type="dxa"/>
            <w:tcBorders>
              <w:top w:val="nil"/>
              <w:left w:val="nil"/>
              <w:bottom w:val="nil"/>
              <w:right w:val="nil"/>
            </w:tcBorders>
            <w:noWrap w:val="0"/>
            <w:tcMar>
              <w:top w:w="75" w:type="dxa"/>
              <w:left w:w="120" w:type="dxa"/>
              <w:bottom w:w="75" w:type="dxa"/>
              <w:right w:w="120" w:type="dxa"/>
            </w:tcMar>
            <w:vAlign w:val="center"/>
          </w:tcPr>
          <w:p w14:paraId="4C78E670">
            <w:pPr>
              <w:keepNext/>
              <w:widowControl/>
              <w:snapToGrid w:val="0"/>
              <w:jc w:val="center"/>
              <w:rPr>
                <w:rFonts w:hint="eastAsia" w:ascii="宋体" w:hAnsi="宋体" w:cs="宋体"/>
                <w:sz w:val="24"/>
              </w:rPr>
            </w:pPr>
            <w:r>
              <w:rPr>
                <w:rFonts w:hint="eastAsia" w:ascii="宋体" w:hAnsi="宋体" w:cs="宋体"/>
                <w:kern w:val="0"/>
                <w:sz w:val="24"/>
                <w:lang w:bidi="ar"/>
              </w:rPr>
              <w:t>胃肠道反应、皮疹、肝毒性</w:t>
            </w:r>
          </w:p>
        </w:tc>
        <w:tc>
          <w:tcPr>
            <w:tcW w:w="2067" w:type="dxa"/>
            <w:tcBorders>
              <w:top w:val="nil"/>
              <w:left w:val="nil"/>
              <w:bottom w:val="nil"/>
              <w:right w:val="nil"/>
            </w:tcBorders>
            <w:noWrap w:val="0"/>
            <w:tcMar>
              <w:top w:w="75" w:type="dxa"/>
              <w:left w:w="120" w:type="dxa"/>
              <w:bottom w:w="75" w:type="dxa"/>
              <w:right w:w="-1" w:type="dxa"/>
            </w:tcMar>
            <w:vAlign w:val="center"/>
          </w:tcPr>
          <w:p w14:paraId="1A951C16">
            <w:pPr>
              <w:keepNext/>
              <w:widowControl/>
              <w:snapToGrid w:val="0"/>
              <w:jc w:val="left"/>
              <w:rPr>
                <w:rFonts w:hint="eastAsia" w:ascii="宋体" w:hAnsi="宋体" w:cs="宋体"/>
                <w:sz w:val="24"/>
              </w:rPr>
            </w:pPr>
            <w:r>
              <w:rPr>
                <w:rFonts w:hint="eastAsia" w:ascii="宋体" w:hAnsi="宋体" w:cs="宋体"/>
                <w:kern w:val="0"/>
                <w:sz w:val="24"/>
                <w:lang w:bidi="ar"/>
              </w:rPr>
              <w:t>每2～4周监测血常规、肝功能</w:t>
            </w:r>
          </w:p>
        </w:tc>
      </w:tr>
      <w:tr w14:paraId="2D8BB96A">
        <w:tblPrEx>
          <w:tblCellMar>
            <w:top w:w="15" w:type="dxa"/>
            <w:left w:w="15" w:type="dxa"/>
            <w:bottom w:w="15" w:type="dxa"/>
            <w:right w:w="15" w:type="dxa"/>
          </w:tblCellMar>
        </w:tblPrEx>
        <w:trPr>
          <w:jc w:val="center"/>
        </w:trPr>
        <w:tc>
          <w:tcPr>
            <w:tcW w:w="1317" w:type="dxa"/>
            <w:tcBorders>
              <w:top w:val="nil"/>
              <w:left w:val="nil"/>
              <w:bottom w:val="nil"/>
              <w:right w:val="nil"/>
            </w:tcBorders>
            <w:noWrap w:val="0"/>
            <w:tcMar>
              <w:top w:w="75" w:type="dxa"/>
              <w:left w:w="-1" w:type="dxa"/>
              <w:bottom w:w="75" w:type="dxa"/>
              <w:right w:w="120" w:type="dxa"/>
            </w:tcMar>
            <w:vAlign w:val="center"/>
          </w:tcPr>
          <w:p w14:paraId="7CB7B99F">
            <w:pPr>
              <w:keepNext/>
              <w:widowControl/>
              <w:snapToGrid w:val="0"/>
              <w:jc w:val="center"/>
              <w:rPr>
                <w:rFonts w:hint="eastAsia" w:ascii="宋体" w:hAnsi="宋体" w:cs="宋体"/>
                <w:sz w:val="24"/>
              </w:rPr>
            </w:pPr>
            <w:r>
              <w:rPr>
                <w:rFonts w:hint="eastAsia" w:ascii="宋体" w:hAnsi="宋体" w:cs="宋体"/>
                <w:kern w:val="0"/>
                <w:sz w:val="24"/>
                <w:lang w:bidi="ar"/>
              </w:rPr>
              <w:t>羟氯喹（HCQ）</w:t>
            </w:r>
          </w:p>
        </w:tc>
        <w:tc>
          <w:tcPr>
            <w:tcW w:w="1867" w:type="dxa"/>
            <w:tcBorders>
              <w:top w:val="nil"/>
              <w:left w:val="nil"/>
              <w:bottom w:val="nil"/>
              <w:right w:val="nil"/>
            </w:tcBorders>
            <w:noWrap w:val="0"/>
            <w:tcMar>
              <w:top w:w="75" w:type="dxa"/>
              <w:left w:w="120" w:type="dxa"/>
              <w:bottom w:w="75" w:type="dxa"/>
              <w:right w:w="120" w:type="dxa"/>
            </w:tcMar>
            <w:vAlign w:val="center"/>
          </w:tcPr>
          <w:p w14:paraId="3EBE20B7">
            <w:pPr>
              <w:keepNext/>
              <w:widowControl/>
              <w:snapToGrid w:val="0"/>
              <w:jc w:val="center"/>
              <w:rPr>
                <w:rFonts w:hint="eastAsia" w:ascii="宋体" w:hAnsi="宋体" w:cs="宋体"/>
                <w:sz w:val="24"/>
              </w:rPr>
            </w:pPr>
            <w:r>
              <w:rPr>
                <w:rFonts w:hint="eastAsia" w:ascii="宋体" w:hAnsi="宋体" w:cs="宋体"/>
                <w:kern w:val="0"/>
                <w:sz w:val="24"/>
                <w:lang w:bidi="ar"/>
              </w:rPr>
              <w:t>200～400mg/d</w:t>
            </w:r>
          </w:p>
        </w:tc>
        <w:tc>
          <w:tcPr>
            <w:tcW w:w="1204" w:type="dxa"/>
            <w:tcBorders>
              <w:top w:val="nil"/>
              <w:left w:val="nil"/>
              <w:bottom w:val="nil"/>
              <w:right w:val="nil"/>
            </w:tcBorders>
            <w:noWrap w:val="0"/>
            <w:tcMar>
              <w:top w:w="75" w:type="dxa"/>
              <w:left w:w="120" w:type="dxa"/>
              <w:bottom w:w="75" w:type="dxa"/>
              <w:right w:w="120" w:type="dxa"/>
            </w:tcMar>
            <w:vAlign w:val="center"/>
          </w:tcPr>
          <w:p w14:paraId="6E1C81E5">
            <w:pPr>
              <w:keepNext/>
              <w:widowControl/>
              <w:snapToGrid w:val="0"/>
              <w:jc w:val="left"/>
              <w:rPr>
                <w:rFonts w:hint="eastAsia" w:ascii="宋体" w:hAnsi="宋体" w:cs="宋体"/>
                <w:sz w:val="24"/>
              </w:rPr>
            </w:pPr>
            <w:r>
              <w:rPr>
                <w:rFonts w:hint="eastAsia" w:ascii="宋体" w:hAnsi="宋体" w:cs="宋体"/>
                <w:kern w:val="0"/>
                <w:sz w:val="24"/>
                <w:lang w:bidi="ar"/>
              </w:rPr>
              <w:t>8～24周</w:t>
            </w:r>
          </w:p>
        </w:tc>
        <w:tc>
          <w:tcPr>
            <w:tcW w:w="2067" w:type="dxa"/>
            <w:tcBorders>
              <w:top w:val="nil"/>
              <w:left w:val="nil"/>
              <w:bottom w:val="nil"/>
              <w:right w:val="nil"/>
            </w:tcBorders>
            <w:noWrap w:val="0"/>
            <w:tcMar>
              <w:top w:w="75" w:type="dxa"/>
              <w:left w:w="120" w:type="dxa"/>
              <w:bottom w:w="75" w:type="dxa"/>
              <w:right w:w="120" w:type="dxa"/>
            </w:tcMar>
            <w:vAlign w:val="center"/>
          </w:tcPr>
          <w:p w14:paraId="438BCA56">
            <w:pPr>
              <w:keepNext/>
              <w:widowControl/>
              <w:snapToGrid w:val="0"/>
              <w:jc w:val="center"/>
              <w:rPr>
                <w:rFonts w:hint="eastAsia" w:ascii="宋体" w:hAnsi="宋体" w:cs="宋体"/>
                <w:sz w:val="24"/>
              </w:rPr>
            </w:pPr>
            <w:r>
              <w:rPr>
                <w:rFonts w:hint="eastAsia" w:ascii="宋体" w:hAnsi="宋体" w:cs="宋体"/>
                <w:kern w:val="0"/>
                <w:sz w:val="24"/>
                <w:lang w:bidi="ar"/>
              </w:rPr>
              <w:t>视网膜毒性（长期使用）、皮疹、</w:t>
            </w:r>
          </w:p>
        </w:tc>
        <w:tc>
          <w:tcPr>
            <w:tcW w:w="2067" w:type="dxa"/>
            <w:tcBorders>
              <w:top w:val="nil"/>
              <w:left w:val="nil"/>
              <w:bottom w:val="nil"/>
              <w:right w:val="nil"/>
            </w:tcBorders>
            <w:noWrap w:val="0"/>
            <w:tcMar>
              <w:top w:w="75" w:type="dxa"/>
              <w:left w:w="120" w:type="dxa"/>
              <w:bottom w:w="75" w:type="dxa"/>
              <w:right w:w="-1" w:type="dxa"/>
            </w:tcMar>
            <w:vAlign w:val="center"/>
          </w:tcPr>
          <w:p w14:paraId="50306768">
            <w:pPr>
              <w:keepNext/>
              <w:widowControl/>
              <w:snapToGrid w:val="0"/>
              <w:jc w:val="left"/>
              <w:rPr>
                <w:rFonts w:hint="eastAsia" w:ascii="宋体" w:hAnsi="宋体" w:cs="宋体"/>
                <w:sz w:val="24"/>
              </w:rPr>
            </w:pPr>
            <w:r>
              <w:rPr>
                <w:rFonts w:hint="eastAsia" w:ascii="宋体" w:hAnsi="宋体" w:cs="宋体"/>
                <w:kern w:val="0"/>
                <w:sz w:val="24"/>
                <w:lang w:bidi="ar"/>
              </w:rPr>
              <w:t>基线及5年后每年眼科检查</w:t>
            </w:r>
          </w:p>
        </w:tc>
      </w:tr>
      <w:tr w14:paraId="2137A637">
        <w:tblPrEx>
          <w:tblCellMar>
            <w:top w:w="15" w:type="dxa"/>
            <w:left w:w="15" w:type="dxa"/>
            <w:bottom w:w="15" w:type="dxa"/>
            <w:right w:w="15" w:type="dxa"/>
          </w:tblCellMar>
        </w:tblPrEx>
        <w:trPr>
          <w:jc w:val="center"/>
        </w:trPr>
        <w:tc>
          <w:tcPr>
            <w:tcW w:w="1317" w:type="dxa"/>
            <w:tcBorders>
              <w:top w:val="nil"/>
              <w:left w:val="nil"/>
              <w:bottom w:val="single" w:color="auto" w:sz="12" w:space="0"/>
              <w:right w:val="nil"/>
            </w:tcBorders>
            <w:noWrap w:val="0"/>
            <w:tcMar>
              <w:top w:w="75" w:type="dxa"/>
              <w:left w:w="-1" w:type="dxa"/>
              <w:bottom w:w="75" w:type="dxa"/>
              <w:right w:w="120" w:type="dxa"/>
            </w:tcMar>
            <w:vAlign w:val="center"/>
          </w:tcPr>
          <w:p w14:paraId="685A6E1B">
            <w:pPr>
              <w:keepNext/>
              <w:widowControl/>
              <w:snapToGrid w:val="0"/>
              <w:jc w:val="center"/>
              <w:rPr>
                <w:rFonts w:ascii="宋体" w:hAnsi="宋体" w:cs="宋体"/>
                <w:kern w:val="0"/>
                <w:sz w:val="24"/>
                <w:lang w:bidi="ar"/>
              </w:rPr>
            </w:pPr>
            <w:r>
              <w:rPr>
                <w:rFonts w:hint="eastAsia" w:ascii="宋体" w:hAnsi="宋体" w:cs="宋体"/>
                <w:kern w:val="0"/>
                <w:sz w:val="24"/>
                <w:lang w:bidi="ar"/>
              </w:rPr>
              <w:t>艾拉莫德</w:t>
            </w:r>
          </w:p>
        </w:tc>
        <w:tc>
          <w:tcPr>
            <w:tcW w:w="1867" w:type="dxa"/>
            <w:tcBorders>
              <w:top w:val="nil"/>
              <w:left w:val="nil"/>
              <w:bottom w:val="single" w:color="auto" w:sz="12" w:space="0"/>
              <w:right w:val="nil"/>
            </w:tcBorders>
            <w:noWrap w:val="0"/>
            <w:tcMar>
              <w:top w:w="75" w:type="dxa"/>
              <w:left w:w="120" w:type="dxa"/>
              <w:bottom w:w="75" w:type="dxa"/>
              <w:right w:w="120" w:type="dxa"/>
            </w:tcMar>
            <w:vAlign w:val="center"/>
          </w:tcPr>
          <w:p w14:paraId="3602357E">
            <w:pPr>
              <w:keepNext/>
              <w:widowControl/>
              <w:snapToGrid w:val="0"/>
              <w:jc w:val="center"/>
              <w:rPr>
                <w:rFonts w:hint="eastAsia" w:ascii="宋体" w:hAnsi="宋体" w:cs="宋体"/>
                <w:kern w:val="0"/>
                <w:sz w:val="24"/>
                <w:lang w:bidi="ar"/>
              </w:rPr>
            </w:pPr>
            <w:r>
              <w:rPr>
                <w:rFonts w:hint="eastAsia" w:ascii="宋体" w:hAnsi="宋体" w:cs="宋体"/>
                <w:kern w:val="0"/>
                <w:sz w:val="24"/>
                <w:lang w:bidi="ar"/>
              </w:rPr>
              <w:t>50mg/d</w:t>
            </w:r>
          </w:p>
        </w:tc>
        <w:tc>
          <w:tcPr>
            <w:tcW w:w="1204" w:type="dxa"/>
            <w:tcBorders>
              <w:top w:val="nil"/>
              <w:left w:val="nil"/>
              <w:bottom w:val="single" w:color="auto" w:sz="12" w:space="0"/>
              <w:right w:val="nil"/>
            </w:tcBorders>
            <w:noWrap w:val="0"/>
            <w:tcMar>
              <w:top w:w="75" w:type="dxa"/>
              <w:left w:w="120" w:type="dxa"/>
              <w:bottom w:w="75" w:type="dxa"/>
              <w:right w:w="120" w:type="dxa"/>
            </w:tcMar>
            <w:vAlign w:val="center"/>
          </w:tcPr>
          <w:p w14:paraId="248A3DD6">
            <w:pPr>
              <w:keepNext/>
              <w:widowControl/>
              <w:snapToGrid w:val="0"/>
              <w:jc w:val="left"/>
              <w:rPr>
                <w:rFonts w:hint="eastAsia" w:ascii="宋体" w:hAnsi="宋体" w:cs="宋体"/>
                <w:kern w:val="0"/>
                <w:sz w:val="24"/>
                <w:lang w:bidi="ar"/>
              </w:rPr>
            </w:pPr>
            <w:r>
              <w:rPr>
                <w:rFonts w:hint="eastAsia" w:ascii="宋体" w:hAnsi="宋体" w:cs="宋体"/>
                <w:kern w:val="0"/>
                <w:sz w:val="24"/>
                <w:lang w:bidi="ar"/>
              </w:rPr>
              <w:t>4～6周</w:t>
            </w:r>
          </w:p>
        </w:tc>
        <w:tc>
          <w:tcPr>
            <w:tcW w:w="2067" w:type="dxa"/>
            <w:tcBorders>
              <w:top w:val="nil"/>
              <w:left w:val="nil"/>
              <w:bottom w:val="single" w:color="auto" w:sz="12" w:space="0"/>
              <w:right w:val="nil"/>
            </w:tcBorders>
            <w:noWrap w:val="0"/>
            <w:tcMar>
              <w:top w:w="75" w:type="dxa"/>
              <w:left w:w="120" w:type="dxa"/>
              <w:bottom w:w="75" w:type="dxa"/>
              <w:right w:w="120" w:type="dxa"/>
            </w:tcMar>
            <w:vAlign w:val="center"/>
          </w:tcPr>
          <w:p w14:paraId="1D6C912A">
            <w:pPr>
              <w:keepNext/>
              <w:widowControl/>
              <w:snapToGrid w:val="0"/>
              <w:jc w:val="center"/>
              <w:rPr>
                <w:rFonts w:hint="eastAsia" w:ascii="宋体" w:hAnsi="宋体" w:cs="宋体"/>
                <w:kern w:val="0"/>
                <w:sz w:val="24"/>
                <w:lang w:bidi="ar"/>
              </w:rPr>
            </w:pPr>
            <w:r>
              <w:rPr>
                <w:rFonts w:hint="eastAsia" w:ascii="宋体" w:hAnsi="宋体" w:cs="宋体"/>
                <w:kern w:val="0"/>
                <w:sz w:val="24"/>
                <w:lang w:bidi="ar"/>
              </w:rPr>
              <w:t>转氨酶升高等肝功能异常、恶心、</w:t>
            </w:r>
          </w:p>
        </w:tc>
        <w:tc>
          <w:tcPr>
            <w:tcW w:w="2067" w:type="dxa"/>
            <w:tcBorders>
              <w:top w:val="nil"/>
              <w:left w:val="nil"/>
              <w:bottom w:val="single" w:color="auto" w:sz="12" w:space="0"/>
              <w:right w:val="nil"/>
            </w:tcBorders>
            <w:noWrap w:val="0"/>
            <w:tcMar>
              <w:top w:w="75" w:type="dxa"/>
              <w:left w:w="120" w:type="dxa"/>
              <w:bottom w:w="75" w:type="dxa"/>
              <w:right w:w="-1" w:type="dxa"/>
            </w:tcMar>
            <w:vAlign w:val="center"/>
          </w:tcPr>
          <w:p w14:paraId="04E2897F">
            <w:pPr>
              <w:keepNext/>
              <w:widowControl/>
              <w:snapToGrid w:val="0"/>
              <w:jc w:val="left"/>
              <w:rPr>
                <w:rFonts w:hint="eastAsia" w:ascii="宋体" w:hAnsi="宋体" w:cs="宋体"/>
                <w:kern w:val="0"/>
                <w:sz w:val="24"/>
                <w:lang w:bidi="ar"/>
              </w:rPr>
            </w:pPr>
            <w:r>
              <w:rPr>
                <w:rFonts w:hint="eastAsia" w:ascii="宋体" w:hAnsi="宋体" w:cs="宋体"/>
                <w:kern w:val="0"/>
                <w:sz w:val="24"/>
                <w:lang w:bidi="ar"/>
              </w:rPr>
              <w:t>前3个月每 4～8周复查血常规、肝功能等</w:t>
            </w:r>
          </w:p>
        </w:tc>
      </w:tr>
    </w:tbl>
    <w:p w14:paraId="25D5FF93">
      <w:pPr>
        <w:pStyle w:val="9"/>
        <w:widowControl/>
        <w:shd w:val="clear" w:color="auto" w:fill="FFFFFF"/>
        <w:spacing w:before="120" w:beforeAutospacing="0" w:after="120" w:afterAutospacing="0" w:line="360" w:lineRule="auto"/>
        <w:ind w:firstLine="482" w:firstLineChars="200"/>
        <w:rPr>
          <w:rFonts w:hint="eastAsia" w:ascii="宋体" w:hAnsi="宋体" w:cs="宋体"/>
          <w:color w:val="0F1115"/>
        </w:rPr>
      </w:pPr>
      <w:r>
        <w:rPr>
          <w:rStyle w:val="12"/>
          <w:rFonts w:hint="eastAsia" w:ascii="宋体" w:hAnsi="宋体" w:cs="宋体"/>
          <w:bCs/>
          <w:color w:val="0F1115"/>
          <w:shd w:val="clear" w:color="auto" w:fill="FFFFFF"/>
        </w:rPr>
        <w:t>表D.2 生物制剂DMARDs（bDMARDs）作用靶点与用药推荐</w:t>
      </w:r>
    </w:p>
    <w:tbl>
      <w:tblPr>
        <w:tblStyle w:val="10"/>
        <w:tblW w:w="10386" w:type="dxa"/>
        <w:jc w:val="center"/>
        <w:tblLayout w:type="autofit"/>
        <w:tblCellMar>
          <w:top w:w="15" w:type="dxa"/>
          <w:left w:w="15" w:type="dxa"/>
          <w:bottom w:w="15" w:type="dxa"/>
          <w:right w:w="15" w:type="dxa"/>
        </w:tblCellMar>
      </w:tblPr>
      <w:tblGrid>
        <w:gridCol w:w="1217"/>
        <w:gridCol w:w="2245"/>
        <w:gridCol w:w="2280"/>
        <w:gridCol w:w="1100"/>
        <w:gridCol w:w="2021"/>
        <w:gridCol w:w="1523"/>
      </w:tblGrid>
      <w:tr w14:paraId="5CF0AA21">
        <w:tblPrEx>
          <w:tblCellMar>
            <w:top w:w="15" w:type="dxa"/>
            <w:left w:w="15" w:type="dxa"/>
            <w:bottom w:w="15" w:type="dxa"/>
            <w:right w:w="15" w:type="dxa"/>
          </w:tblCellMar>
        </w:tblPrEx>
        <w:trPr>
          <w:tblHeader/>
          <w:jc w:val="center"/>
        </w:trPr>
        <w:tc>
          <w:tcPr>
            <w:tcBorders>
              <w:top w:val="single" w:color="auto" w:sz="12" w:space="0"/>
              <w:left w:val="nil"/>
              <w:bottom w:val="nil"/>
              <w:right w:val="nil"/>
            </w:tcBorders>
            <w:noWrap w:val="0"/>
            <w:tcMar>
              <w:top w:w="75" w:type="dxa"/>
              <w:left w:w="-1" w:type="dxa"/>
              <w:bottom w:w="75" w:type="dxa"/>
              <w:right w:w="120" w:type="dxa"/>
            </w:tcMar>
            <w:vAlign w:val="center"/>
          </w:tcPr>
          <w:p w14:paraId="72E219D0">
            <w:pPr>
              <w:widowControl/>
              <w:snapToGrid w:val="0"/>
              <w:jc w:val="center"/>
              <w:rPr>
                <w:rFonts w:hint="eastAsia" w:ascii="宋体" w:hAnsi="宋体" w:cs="宋体"/>
                <w:b/>
                <w:sz w:val="24"/>
              </w:rPr>
            </w:pPr>
            <w:r>
              <w:rPr>
                <w:rStyle w:val="12"/>
                <w:rFonts w:hint="eastAsia" w:ascii="宋体" w:hAnsi="宋体" w:cs="宋体"/>
                <w:bCs/>
                <w:kern w:val="0"/>
                <w:sz w:val="24"/>
                <w:lang w:bidi="ar"/>
              </w:rPr>
              <w:t>药物类别</w:t>
            </w:r>
          </w:p>
        </w:tc>
        <w:tc>
          <w:tcPr>
            <w:tcBorders>
              <w:top w:val="single" w:color="auto" w:sz="12" w:space="0"/>
              <w:left w:val="nil"/>
              <w:bottom w:val="nil"/>
              <w:right w:val="nil"/>
            </w:tcBorders>
            <w:noWrap w:val="0"/>
            <w:tcMar>
              <w:top w:w="75" w:type="dxa"/>
              <w:left w:w="120" w:type="dxa"/>
              <w:bottom w:w="75" w:type="dxa"/>
              <w:right w:w="120" w:type="dxa"/>
            </w:tcMar>
            <w:vAlign w:val="center"/>
          </w:tcPr>
          <w:p w14:paraId="20B4B102">
            <w:pPr>
              <w:widowControl/>
              <w:snapToGrid w:val="0"/>
              <w:jc w:val="center"/>
              <w:rPr>
                <w:rFonts w:hint="eastAsia" w:ascii="宋体" w:hAnsi="宋体" w:cs="宋体"/>
                <w:b/>
                <w:sz w:val="24"/>
              </w:rPr>
            </w:pPr>
            <w:r>
              <w:rPr>
                <w:rStyle w:val="12"/>
                <w:rFonts w:hint="eastAsia" w:ascii="宋体" w:hAnsi="宋体" w:cs="宋体"/>
                <w:bCs/>
                <w:kern w:val="0"/>
                <w:sz w:val="24"/>
                <w:lang w:bidi="ar"/>
              </w:rPr>
              <w:t>代表药物</w:t>
            </w:r>
          </w:p>
        </w:tc>
        <w:tc>
          <w:tcPr>
            <w:tcW w:w="1770" w:type="dxa"/>
            <w:tcBorders>
              <w:top w:val="single" w:color="auto" w:sz="12" w:space="0"/>
              <w:left w:val="nil"/>
              <w:bottom w:val="nil"/>
              <w:right w:val="nil"/>
            </w:tcBorders>
            <w:noWrap w:val="0"/>
            <w:tcMar>
              <w:top w:w="75" w:type="dxa"/>
              <w:left w:w="120" w:type="dxa"/>
              <w:bottom w:w="75" w:type="dxa"/>
              <w:right w:w="120" w:type="dxa"/>
            </w:tcMar>
            <w:vAlign w:val="center"/>
          </w:tcPr>
          <w:p w14:paraId="7BF1DFF8">
            <w:pPr>
              <w:widowControl/>
              <w:snapToGrid w:val="0"/>
              <w:jc w:val="center"/>
              <w:rPr>
                <w:rFonts w:hint="eastAsia" w:ascii="宋体" w:hAnsi="宋体" w:cs="宋体"/>
                <w:b/>
                <w:sz w:val="24"/>
              </w:rPr>
            </w:pPr>
            <w:r>
              <w:rPr>
                <w:rStyle w:val="12"/>
                <w:rFonts w:hint="eastAsia" w:ascii="宋体" w:hAnsi="宋体" w:cs="宋体"/>
                <w:bCs/>
                <w:kern w:val="0"/>
                <w:sz w:val="24"/>
                <w:lang w:bidi="ar"/>
              </w:rPr>
              <w:t>作用靶点</w:t>
            </w:r>
          </w:p>
        </w:tc>
        <w:tc>
          <w:tcPr>
            <w:tcBorders>
              <w:top w:val="single" w:color="auto" w:sz="12" w:space="0"/>
              <w:left w:val="nil"/>
              <w:bottom w:val="nil"/>
              <w:right w:val="nil"/>
            </w:tcBorders>
            <w:noWrap w:val="0"/>
            <w:tcMar>
              <w:top w:w="75" w:type="dxa"/>
              <w:left w:w="120" w:type="dxa"/>
              <w:bottom w:w="75" w:type="dxa"/>
              <w:right w:w="120" w:type="dxa"/>
            </w:tcMar>
            <w:vAlign w:val="center"/>
          </w:tcPr>
          <w:p w14:paraId="68846F09">
            <w:pPr>
              <w:widowControl/>
              <w:snapToGrid w:val="0"/>
              <w:jc w:val="center"/>
              <w:rPr>
                <w:rFonts w:hint="eastAsia" w:ascii="宋体" w:hAnsi="宋体" w:cs="宋体"/>
                <w:b/>
                <w:sz w:val="24"/>
              </w:rPr>
            </w:pPr>
            <w:r>
              <w:rPr>
                <w:rStyle w:val="12"/>
                <w:rFonts w:hint="eastAsia" w:ascii="宋体" w:hAnsi="宋体" w:cs="宋体"/>
                <w:bCs/>
                <w:kern w:val="0"/>
                <w:sz w:val="24"/>
                <w:lang w:bidi="ar"/>
              </w:rPr>
              <w:t>用法</w:t>
            </w:r>
          </w:p>
        </w:tc>
        <w:tc>
          <w:tcPr>
            <w:tcBorders>
              <w:top w:val="single" w:color="auto" w:sz="12" w:space="0"/>
              <w:left w:val="nil"/>
              <w:bottom w:val="nil"/>
              <w:right w:val="nil"/>
            </w:tcBorders>
            <w:noWrap w:val="0"/>
            <w:tcMar>
              <w:top w:w="75" w:type="dxa"/>
              <w:left w:w="120" w:type="dxa"/>
              <w:bottom w:w="75" w:type="dxa"/>
              <w:right w:w="120" w:type="dxa"/>
            </w:tcMar>
            <w:vAlign w:val="center"/>
          </w:tcPr>
          <w:p w14:paraId="2C246D94">
            <w:pPr>
              <w:widowControl/>
              <w:snapToGrid w:val="0"/>
              <w:jc w:val="center"/>
              <w:rPr>
                <w:rFonts w:hint="eastAsia" w:ascii="宋体" w:hAnsi="宋体" w:cs="宋体"/>
                <w:b/>
                <w:sz w:val="24"/>
              </w:rPr>
            </w:pPr>
            <w:r>
              <w:rPr>
                <w:rStyle w:val="12"/>
                <w:rFonts w:hint="eastAsia" w:ascii="宋体" w:hAnsi="宋体" w:cs="宋体"/>
                <w:bCs/>
                <w:kern w:val="0"/>
                <w:sz w:val="24"/>
                <w:lang w:bidi="ar"/>
              </w:rPr>
              <w:t>主要不良反应</w:t>
            </w:r>
          </w:p>
        </w:tc>
        <w:tc>
          <w:tcPr>
            <w:tcW w:w="1612" w:type="dxa"/>
            <w:tcBorders>
              <w:top w:val="single" w:color="auto" w:sz="12" w:space="0"/>
              <w:left w:val="nil"/>
              <w:bottom w:val="nil"/>
              <w:right w:val="nil"/>
            </w:tcBorders>
            <w:noWrap w:val="0"/>
            <w:tcMar>
              <w:top w:w="75" w:type="dxa"/>
              <w:left w:w="120" w:type="dxa"/>
              <w:bottom w:w="75" w:type="dxa"/>
              <w:right w:w="120" w:type="dxa"/>
            </w:tcMar>
            <w:vAlign w:val="center"/>
          </w:tcPr>
          <w:p w14:paraId="2EF9A2BC">
            <w:pPr>
              <w:widowControl/>
              <w:snapToGrid w:val="0"/>
              <w:jc w:val="center"/>
              <w:rPr>
                <w:rFonts w:hint="eastAsia" w:ascii="宋体" w:hAnsi="宋体" w:cs="宋体"/>
                <w:b/>
                <w:sz w:val="24"/>
              </w:rPr>
            </w:pPr>
            <w:r>
              <w:rPr>
                <w:rStyle w:val="12"/>
                <w:rFonts w:hint="eastAsia" w:ascii="宋体" w:hAnsi="宋体" w:cs="宋体"/>
                <w:bCs/>
                <w:kern w:val="0"/>
                <w:sz w:val="24"/>
                <w:lang w:bidi="ar"/>
              </w:rPr>
              <w:t>使用推荐</w:t>
            </w:r>
          </w:p>
        </w:tc>
      </w:tr>
      <w:tr w14:paraId="3CF87C1C">
        <w:tblPrEx>
          <w:tblCellMar>
            <w:top w:w="15" w:type="dxa"/>
            <w:left w:w="15" w:type="dxa"/>
            <w:bottom w:w="15" w:type="dxa"/>
            <w:right w:w="15" w:type="dxa"/>
          </w:tblCellMar>
        </w:tblPrEx>
        <w:trPr>
          <w:jc w:val="center"/>
        </w:trPr>
        <w:tc>
          <w:tcPr>
            <w:tcBorders>
              <w:top w:val="single" w:color="auto" w:sz="4" w:space="0"/>
              <w:left w:val="nil"/>
              <w:bottom w:val="nil"/>
              <w:right w:val="nil"/>
            </w:tcBorders>
            <w:noWrap w:val="0"/>
            <w:tcMar>
              <w:top w:w="75" w:type="dxa"/>
              <w:left w:w="-1" w:type="dxa"/>
              <w:bottom w:w="75" w:type="dxa"/>
              <w:right w:w="120" w:type="dxa"/>
            </w:tcMar>
            <w:vAlign w:val="center"/>
          </w:tcPr>
          <w:p w14:paraId="70E09D70">
            <w:pPr>
              <w:widowControl/>
              <w:snapToGrid w:val="0"/>
              <w:jc w:val="center"/>
              <w:rPr>
                <w:rFonts w:hint="eastAsia" w:ascii="宋体" w:hAnsi="宋体" w:cs="宋体"/>
                <w:sz w:val="24"/>
              </w:rPr>
            </w:pPr>
            <w:r>
              <w:rPr>
                <w:rFonts w:hint="eastAsia" w:ascii="宋体" w:hAnsi="宋体" w:cs="宋体"/>
                <w:kern w:val="0"/>
                <w:sz w:val="24"/>
                <w:lang w:bidi="ar"/>
              </w:rPr>
              <w:t>TNF-α抑制剂</w:t>
            </w:r>
          </w:p>
        </w:tc>
        <w:tc>
          <w:tcPr>
            <w:tcBorders>
              <w:top w:val="single" w:color="auto" w:sz="4" w:space="0"/>
              <w:left w:val="nil"/>
              <w:bottom w:val="nil"/>
              <w:right w:val="nil"/>
            </w:tcBorders>
            <w:noWrap w:val="0"/>
            <w:tcMar>
              <w:top w:w="75" w:type="dxa"/>
              <w:left w:w="120" w:type="dxa"/>
              <w:bottom w:w="75" w:type="dxa"/>
              <w:right w:w="120" w:type="dxa"/>
            </w:tcMar>
            <w:vAlign w:val="center"/>
          </w:tcPr>
          <w:p w14:paraId="7B982851">
            <w:pPr>
              <w:widowControl/>
              <w:snapToGrid w:val="0"/>
              <w:jc w:val="left"/>
              <w:rPr>
                <w:rFonts w:hint="eastAsia" w:ascii="宋体" w:hAnsi="宋体" w:cs="宋体"/>
                <w:sz w:val="24"/>
              </w:rPr>
            </w:pPr>
            <w:r>
              <w:rPr>
                <w:rFonts w:hint="eastAsia" w:ascii="宋体" w:hAnsi="宋体" w:cs="宋体"/>
                <w:kern w:val="0"/>
                <w:sz w:val="24"/>
                <w:lang w:bidi="ar"/>
              </w:rPr>
              <w:t>依那西普（ETN）等</w:t>
            </w:r>
          </w:p>
        </w:tc>
        <w:tc>
          <w:tcPr>
            <w:tcW w:w="1770" w:type="dxa"/>
            <w:tcBorders>
              <w:top w:val="single" w:color="auto" w:sz="4" w:space="0"/>
              <w:left w:val="nil"/>
              <w:bottom w:val="nil"/>
              <w:right w:val="nil"/>
            </w:tcBorders>
            <w:noWrap w:val="0"/>
            <w:tcMar>
              <w:top w:w="75" w:type="dxa"/>
              <w:left w:w="120" w:type="dxa"/>
              <w:bottom w:w="75" w:type="dxa"/>
              <w:right w:w="120" w:type="dxa"/>
            </w:tcMar>
            <w:vAlign w:val="center"/>
          </w:tcPr>
          <w:p w14:paraId="4F4FE071">
            <w:pPr>
              <w:widowControl/>
              <w:snapToGrid w:val="0"/>
              <w:jc w:val="left"/>
              <w:rPr>
                <w:rFonts w:hint="eastAsia" w:ascii="宋体" w:hAnsi="宋体" w:cs="宋体"/>
                <w:sz w:val="24"/>
              </w:rPr>
            </w:pPr>
            <w:r>
              <w:rPr>
                <w:rFonts w:hint="eastAsia" w:ascii="宋体" w:hAnsi="宋体" w:cs="宋体"/>
                <w:kern w:val="0"/>
                <w:sz w:val="24"/>
                <w:lang w:bidi="ar"/>
              </w:rPr>
              <w:t>TNF-α</w:t>
            </w:r>
          </w:p>
        </w:tc>
        <w:tc>
          <w:tcPr>
            <w:tcBorders>
              <w:top w:val="single" w:color="auto" w:sz="4" w:space="0"/>
              <w:left w:val="nil"/>
              <w:bottom w:val="nil"/>
              <w:right w:val="nil"/>
            </w:tcBorders>
            <w:noWrap w:val="0"/>
            <w:tcMar>
              <w:top w:w="75" w:type="dxa"/>
              <w:left w:w="120" w:type="dxa"/>
              <w:bottom w:w="75" w:type="dxa"/>
              <w:right w:w="120" w:type="dxa"/>
            </w:tcMar>
            <w:vAlign w:val="center"/>
          </w:tcPr>
          <w:p w14:paraId="1217AECF">
            <w:pPr>
              <w:widowControl/>
              <w:snapToGrid w:val="0"/>
              <w:jc w:val="left"/>
              <w:rPr>
                <w:rFonts w:hint="eastAsia" w:ascii="宋体" w:hAnsi="宋体" w:cs="宋体"/>
                <w:sz w:val="24"/>
              </w:rPr>
            </w:pPr>
            <w:r>
              <w:rPr>
                <w:rFonts w:hint="eastAsia" w:ascii="宋体" w:hAnsi="宋体" w:cs="宋体"/>
                <w:kern w:val="0"/>
                <w:sz w:val="24"/>
                <w:lang w:bidi="ar"/>
              </w:rPr>
              <w:t>皮下或静脉注射</w:t>
            </w:r>
          </w:p>
        </w:tc>
        <w:tc>
          <w:tcPr>
            <w:tcBorders>
              <w:top w:val="single" w:color="auto" w:sz="4" w:space="0"/>
              <w:left w:val="nil"/>
              <w:bottom w:val="nil"/>
              <w:right w:val="nil"/>
            </w:tcBorders>
            <w:noWrap w:val="0"/>
            <w:tcMar>
              <w:top w:w="75" w:type="dxa"/>
              <w:left w:w="120" w:type="dxa"/>
              <w:bottom w:w="75" w:type="dxa"/>
              <w:right w:w="120" w:type="dxa"/>
            </w:tcMar>
            <w:vAlign w:val="center"/>
          </w:tcPr>
          <w:p w14:paraId="6ACA8999">
            <w:pPr>
              <w:widowControl/>
              <w:snapToGrid w:val="0"/>
              <w:jc w:val="left"/>
              <w:rPr>
                <w:rFonts w:hint="eastAsia" w:ascii="宋体" w:hAnsi="宋体" w:cs="宋体"/>
                <w:sz w:val="24"/>
              </w:rPr>
            </w:pPr>
            <w:r>
              <w:rPr>
                <w:rFonts w:hint="eastAsia" w:ascii="宋体" w:hAnsi="宋体" w:cs="宋体"/>
                <w:kern w:val="0"/>
                <w:sz w:val="24"/>
                <w:lang w:bidi="ar"/>
              </w:rPr>
              <w:t>注射部位反应、感染（尤其</w:t>
            </w:r>
          </w:p>
        </w:tc>
        <w:tc>
          <w:tcPr>
            <w:tcW w:w="1612" w:type="dxa"/>
            <w:tcBorders>
              <w:top w:val="single" w:color="auto" w:sz="4" w:space="0"/>
              <w:left w:val="nil"/>
              <w:bottom w:val="nil"/>
              <w:right w:val="nil"/>
            </w:tcBorders>
            <w:noWrap w:val="0"/>
            <w:tcMar>
              <w:top w:w="75" w:type="dxa"/>
              <w:left w:w="120" w:type="dxa"/>
              <w:bottom w:w="75" w:type="dxa"/>
              <w:right w:w="-1" w:type="dxa"/>
            </w:tcMar>
            <w:vAlign w:val="center"/>
          </w:tcPr>
          <w:p w14:paraId="65074B85">
            <w:pPr>
              <w:widowControl/>
              <w:snapToGrid w:val="0"/>
              <w:jc w:val="left"/>
              <w:rPr>
                <w:rFonts w:hint="eastAsia" w:ascii="宋体" w:hAnsi="宋体" w:cs="宋体"/>
                <w:sz w:val="24"/>
              </w:rPr>
            </w:pPr>
            <w:r>
              <w:rPr>
                <w:rFonts w:hint="eastAsia" w:ascii="宋体" w:hAnsi="宋体" w:cs="宋体"/>
                <w:kern w:val="0"/>
                <w:sz w:val="24"/>
                <w:lang w:bidi="ar"/>
              </w:rPr>
              <w:t>csDMARDs应答不足的首选bDMARD等</w:t>
            </w:r>
          </w:p>
        </w:tc>
      </w:tr>
      <w:tr w14:paraId="3B44DD12">
        <w:tblPrEx>
          <w:tblCellMar>
            <w:top w:w="15" w:type="dxa"/>
            <w:left w:w="15" w:type="dxa"/>
            <w:bottom w:w="15" w:type="dxa"/>
            <w:right w:w="15" w:type="dxa"/>
          </w:tblCellMar>
        </w:tblPrEx>
        <w:trPr>
          <w:jc w:val="center"/>
        </w:trPr>
        <w:tc>
          <w:tcPr>
            <w:tcBorders>
              <w:top w:val="nil"/>
              <w:left w:val="nil"/>
              <w:bottom w:val="nil"/>
              <w:right w:val="nil"/>
            </w:tcBorders>
            <w:noWrap w:val="0"/>
            <w:tcMar>
              <w:top w:w="75" w:type="dxa"/>
              <w:left w:w="-1" w:type="dxa"/>
              <w:bottom w:w="75" w:type="dxa"/>
              <w:right w:w="120" w:type="dxa"/>
            </w:tcMar>
            <w:vAlign w:val="center"/>
          </w:tcPr>
          <w:p w14:paraId="2A9717CB">
            <w:pPr>
              <w:widowControl/>
              <w:snapToGrid w:val="0"/>
              <w:jc w:val="center"/>
              <w:rPr>
                <w:rFonts w:hint="eastAsia" w:ascii="宋体" w:hAnsi="宋体" w:cs="宋体"/>
                <w:sz w:val="24"/>
              </w:rPr>
            </w:pPr>
            <w:r>
              <w:rPr>
                <w:rFonts w:hint="eastAsia" w:ascii="宋体" w:hAnsi="宋体" w:cs="宋体"/>
                <w:kern w:val="0"/>
                <w:sz w:val="24"/>
                <w:lang w:bidi="ar"/>
              </w:rPr>
              <w:t>IL-6受体抑制剂</w:t>
            </w:r>
          </w:p>
        </w:tc>
        <w:tc>
          <w:tcPr>
            <w:tcBorders>
              <w:top w:val="nil"/>
              <w:left w:val="nil"/>
              <w:bottom w:val="nil"/>
              <w:right w:val="nil"/>
            </w:tcBorders>
            <w:noWrap w:val="0"/>
            <w:tcMar>
              <w:top w:w="75" w:type="dxa"/>
              <w:left w:w="120" w:type="dxa"/>
              <w:bottom w:w="75" w:type="dxa"/>
              <w:right w:w="120" w:type="dxa"/>
            </w:tcMar>
            <w:vAlign w:val="center"/>
          </w:tcPr>
          <w:p w14:paraId="1F7F1A5A">
            <w:pPr>
              <w:widowControl/>
              <w:snapToGrid w:val="0"/>
              <w:jc w:val="left"/>
              <w:rPr>
                <w:rFonts w:hint="eastAsia" w:ascii="宋体" w:hAnsi="宋体" w:cs="宋体"/>
                <w:sz w:val="24"/>
              </w:rPr>
            </w:pPr>
            <w:r>
              <w:rPr>
                <w:rFonts w:hint="eastAsia" w:ascii="宋体" w:hAnsi="宋体" w:cs="宋体"/>
                <w:kern w:val="0"/>
                <w:sz w:val="24"/>
                <w:lang w:bidi="ar"/>
              </w:rPr>
              <w:t>托珠单抗（TCZ）等</w:t>
            </w:r>
          </w:p>
        </w:tc>
        <w:tc>
          <w:tcPr>
            <w:tcW w:w="1770" w:type="dxa"/>
            <w:tcBorders>
              <w:top w:val="nil"/>
              <w:left w:val="nil"/>
              <w:bottom w:val="nil"/>
              <w:right w:val="nil"/>
            </w:tcBorders>
            <w:noWrap w:val="0"/>
            <w:tcMar>
              <w:top w:w="75" w:type="dxa"/>
              <w:left w:w="120" w:type="dxa"/>
              <w:bottom w:w="75" w:type="dxa"/>
              <w:right w:w="120" w:type="dxa"/>
            </w:tcMar>
            <w:vAlign w:val="center"/>
          </w:tcPr>
          <w:p w14:paraId="2B805B1C">
            <w:pPr>
              <w:widowControl/>
              <w:snapToGrid w:val="0"/>
              <w:jc w:val="left"/>
              <w:rPr>
                <w:rFonts w:hint="eastAsia" w:ascii="宋体" w:hAnsi="宋体" w:cs="宋体"/>
                <w:sz w:val="24"/>
              </w:rPr>
            </w:pPr>
            <w:r>
              <w:rPr>
                <w:rFonts w:hint="eastAsia" w:ascii="宋体" w:hAnsi="宋体" w:cs="宋体"/>
                <w:kern w:val="0"/>
                <w:sz w:val="24"/>
                <w:lang w:bidi="ar"/>
              </w:rPr>
              <w:t>IL-6R（可溶性及膜结合型）</w:t>
            </w:r>
          </w:p>
        </w:tc>
        <w:tc>
          <w:tcPr>
            <w:tcBorders>
              <w:top w:val="nil"/>
              <w:left w:val="nil"/>
              <w:bottom w:val="nil"/>
              <w:right w:val="nil"/>
            </w:tcBorders>
            <w:noWrap w:val="0"/>
            <w:tcMar>
              <w:top w:w="75" w:type="dxa"/>
              <w:left w:w="120" w:type="dxa"/>
              <w:bottom w:w="75" w:type="dxa"/>
              <w:right w:w="120" w:type="dxa"/>
            </w:tcMar>
            <w:vAlign w:val="center"/>
          </w:tcPr>
          <w:p w14:paraId="30EE9763">
            <w:pPr>
              <w:widowControl/>
              <w:snapToGrid w:val="0"/>
              <w:jc w:val="left"/>
              <w:rPr>
                <w:rFonts w:hint="eastAsia" w:ascii="宋体" w:hAnsi="宋体" w:cs="宋体"/>
                <w:sz w:val="24"/>
              </w:rPr>
            </w:pPr>
            <w:r>
              <w:rPr>
                <w:rFonts w:hint="eastAsia" w:ascii="宋体" w:hAnsi="宋体" w:cs="宋体"/>
                <w:kern w:val="0"/>
                <w:sz w:val="24"/>
                <w:lang w:bidi="ar"/>
              </w:rPr>
              <w:t>静脉或皮下注射</w:t>
            </w:r>
          </w:p>
        </w:tc>
        <w:tc>
          <w:tcPr>
            <w:tcBorders>
              <w:top w:val="nil"/>
              <w:left w:val="nil"/>
              <w:bottom w:val="nil"/>
              <w:right w:val="nil"/>
            </w:tcBorders>
            <w:noWrap w:val="0"/>
            <w:tcMar>
              <w:top w:w="75" w:type="dxa"/>
              <w:left w:w="120" w:type="dxa"/>
              <w:bottom w:w="75" w:type="dxa"/>
              <w:right w:w="120" w:type="dxa"/>
            </w:tcMar>
            <w:vAlign w:val="center"/>
          </w:tcPr>
          <w:p w14:paraId="7041FE48">
            <w:pPr>
              <w:widowControl/>
              <w:snapToGrid w:val="0"/>
              <w:jc w:val="left"/>
              <w:rPr>
                <w:rFonts w:hint="eastAsia" w:ascii="宋体" w:hAnsi="宋体" w:cs="宋体"/>
                <w:sz w:val="24"/>
              </w:rPr>
            </w:pPr>
            <w:r>
              <w:rPr>
                <w:rFonts w:hint="eastAsia" w:ascii="宋体" w:hAnsi="宋体" w:cs="宋体"/>
                <w:kern w:val="0"/>
                <w:sz w:val="24"/>
                <w:lang w:bidi="ar"/>
              </w:rPr>
              <w:t>感染、肝酶升高、血脂异常</w:t>
            </w:r>
          </w:p>
        </w:tc>
        <w:tc>
          <w:tcPr>
            <w:tcW w:w="1612" w:type="dxa"/>
            <w:tcBorders>
              <w:top w:val="nil"/>
              <w:left w:val="nil"/>
              <w:bottom w:val="nil"/>
              <w:right w:val="nil"/>
            </w:tcBorders>
            <w:noWrap w:val="0"/>
            <w:tcMar>
              <w:top w:w="75" w:type="dxa"/>
              <w:left w:w="120" w:type="dxa"/>
              <w:bottom w:w="75" w:type="dxa"/>
              <w:right w:w="-1" w:type="dxa"/>
            </w:tcMar>
            <w:vAlign w:val="center"/>
          </w:tcPr>
          <w:p w14:paraId="064BC6CC">
            <w:pPr>
              <w:widowControl/>
              <w:snapToGrid w:val="0"/>
              <w:jc w:val="left"/>
              <w:rPr>
                <w:rFonts w:hint="eastAsia" w:ascii="宋体" w:hAnsi="宋体" w:cs="宋体"/>
                <w:sz w:val="24"/>
              </w:rPr>
            </w:pPr>
            <w:r>
              <w:rPr>
                <w:rFonts w:hint="eastAsia" w:ascii="宋体" w:hAnsi="宋体" w:cs="宋体"/>
                <w:kern w:val="0"/>
                <w:sz w:val="24"/>
                <w:lang w:bidi="ar"/>
              </w:rPr>
              <w:t>高CRP水平患者等</w:t>
            </w:r>
          </w:p>
        </w:tc>
      </w:tr>
      <w:tr w14:paraId="2A5E934A">
        <w:tblPrEx>
          <w:tblCellMar>
            <w:top w:w="15" w:type="dxa"/>
            <w:left w:w="15" w:type="dxa"/>
            <w:bottom w:w="15" w:type="dxa"/>
            <w:right w:w="15" w:type="dxa"/>
          </w:tblCellMar>
        </w:tblPrEx>
        <w:trPr>
          <w:jc w:val="center"/>
        </w:trPr>
        <w:tc>
          <w:tcPr>
            <w:tcBorders>
              <w:top w:val="nil"/>
              <w:left w:val="nil"/>
              <w:bottom w:val="nil"/>
              <w:right w:val="nil"/>
            </w:tcBorders>
            <w:noWrap w:val="0"/>
            <w:tcMar>
              <w:top w:w="75" w:type="dxa"/>
              <w:left w:w="-1" w:type="dxa"/>
              <w:bottom w:w="75" w:type="dxa"/>
              <w:right w:w="120" w:type="dxa"/>
            </w:tcMar>
            <w:vAlign w:val="center"/>
          </w:tcPr>
          <w:p w14:paraId="55AAEFA2">
            <w:pPr>
              <w:widowControl/>
              <w:snapToGrid w:val="0"/>
              <w:jc w:val="center"/>
              <w:rPr>
                <w:rFonts w:hint="eastAsia" w:ascii="宋体" w:hAnsi="宋体" w:cs="宋体"/>
                <w:sz w:val="24"/>
              </w:rPr>
            </w:pPr>
            <w:r>
              <w:rPr>
                <w:rFonts w:hint="eastAsia" w:ascii="宋体" w:hAnsi="宋体" w:cs="宋体"/>
                <w:kern w:val="0"/>
                <w:sz w:val="24"/>
                <w:lang w:bidi="ar"/>
              </w:rPr>
              <w:t>CTLA-4-Ig融合蛋白</w:t>
            </w:r>
          </w:p>
        </w:tc>
        <w:tc>
          <w:tcPr>
            <w:tcBorders>
              <w:top w:val="nil"/>
              <w:left w:val="nil"/>
              <w:bottom w:val="nil"/>
              <w:right w:val="nil"/>
            </w:tcBorders>
            <w:noWrap w:val="0"/>
            <w:tcMar>
              <w:top w:w="75" w:type="dxa"/>
              <w:left w:w="120" w:type="dxa"/>
              <w:bottom w:w="75" w:type="dxa"/>
              <w:right w:w="120" w:type="dxa"/>
            </w:tcMar>
            <w:vAlign w:val="center"/>
          </w:tcPr>
          <w:p w14:paraId="028355AA">
            <w:pPr>
              <w:widowControl/>
              <w:snapToGrid w:val="0"/>
              <w:jc w:val="left"/>
              <w:rPr>
                <w:rFonts w:hint="eastAsia" w:ascii="宋体" w:hAnsi="宋体" w:cs="宋体"/>
                <w:sz w:val="24"/>
              </w:rPr>
            </w:pPr>
            <w:r>
              <w:rPr>
                <w:rFonts w:hint="eastAsia" w:ascii="宋体" w:hAnsi="宋体" w:cs="宋体"/>
                <w:kern w:val="0"/>
                <w:sz w:val="24"/>
                <w:lang w:bidi="ar"/>
              </w:rPr>
              <w:t>阿巴西普（ABA）</w:t>
            </w:r>
          </w:p>
        </w:tc>
        <w:tc>
          <w:tcPr>
            <w:tcW w:w="1770" w:type="dxa"/>
            <w:tcBorders>
              <w:top w:val="nil"/>
              <w:left w:val="nil"/>
              <w:bottom w:val="nil"/>
              <w:right w:val="nil"/>
            </w:tcBorders>
            <w:noWrap w:val="0"/>
            <w:tcMar>
              <w:top w:w="75" w:type="dxa"/>
              <w:left w:w="120" w:type="dxa"/>
              <w:bottom w:w="75" w:type="dxa"/>
              <w:right w:w="120" w:type="dxa"/>
            </w:tcMar>
            <w:vAlign w:val="center"/>
          </w:tcPr>
          <w:p w14:paraId="7CE0CCA0">
            <w:pPr>
              <w:widowControl/>
              <w:snapToGrid w:val="0"/>
              <w:jc w:val="left"/>
              <w:rPr>
                <w:rFonts w:hint="eastAsia" w:ascii="宋体" w:hAnsi="宋体" w:cs="宋体"/>
                <w:sz w:val="24"/>
              </w:rPr>
            </w:pPr>
            <w:r>
              <w:rPr>
                <w:rFonts w:hint="eastAsia" w:ascii="宋体" w:hAnsi="宋体" w:cs="宋体"/>
                <w:kern w:val="0"/>
                <w:sz w:val="24"/>
                <w:lang w:bidi="ar"/>
              </w:rPr>
              <w:t>CD80/CD86–CTLA-4途径</w:t>
            </w:r>
          </w:p>
        </w:tc>
        <w:tc>
          <w:tcPr>
            <w:tcBorders>
              <w:top w:val="nil"/>
              <w:left w:val="nil"/>
              <w:bottom w:val="nil"/>
              <w:right w:val="nil"/>
            </w:tcBorders>
            <w:noWrap w:val="0"/>
            <w:tcMar>
              <w:top w:w="75" w:type="dxa"/>
              <w:left w:w="120" w:type="dxa"/>
              <w:bottom w:w="75" w:type="dxa"/>
              <w:right w:w="120" w:type="dxa"/>
            </w:tcMar>
            <w:vAlign w:val="center"/>
          </w:tcPr>
          <w:p w14:paraId="3BE907D6">
            <w:pPr>
              <w:widowControl/>
              <w:snapToGrid w:val="0"/>
              <w:jc w:val="left"/>
              <w:rPr>
                <w:rFonts w:hint="eastAsia" w:ascii="宋体" w:hAnsi="宋体" w:cs="宋体"/>
                <w:sz w:val="24"/>
              </w:rPr>
            </w:pPr>
            <w:r>
              <w:rPr>
                <w:rFonts w:hint="eastAsia" w:ascii="宋体" w:hAnsi="宋体" w:cs="宋体"/>
                <w:kern w:val="0"/>
                <w:sz w:val="24"/>
                <w:lang w:bidi="ar"/>
              </w:rPr>
              <w:t>静脉或皮下注射</w:t>
            </w:r>
          </w:p>
        </w:tc>
        <w:tc>
          <w:tcPr>
            <w:tcBorders>
              <w:top w:val="nil"/>
              <w:left w:val="nil"/>
              <w:bottom w:val="nil"/>
              <w:right w:val="nil"/>
            </w:tcBorders>
            <w:noWrap w:val="0"/>
            <w:tcMar>
              <w:top w:w="75" w:type="dxa"/>
              <w:left w:w="120" w:type="dxa"/>
              <w:bottom w:w="75" w:type="dxa"/>
              <w:right w:w="120" w:type="dxa"/>
            </w:tcMar>
            <w:vAlign w:val="center"/>
          </w:tcPr>
          <w:p w14:paraId="4FAA9DB5">
            <w:pPr>
              <w:widowControl/>
              <w:snapToGrid w:val="0"/>
              <w:jc w:val="left"/>
              <w:rPr>
                <w:rFonts w:hint="eastAsia" w:ascii="宋体" w:hAnsi="宋体" w:cs="宋体"/>
                <w:sz w:val="24"/>
              </w:rPr>
            </w:pPr>
            <w:r>
              <w:rPr>
                <w:rFonts w:hint="eastAsia" w:ascii="宋体" w:hAnsi="宋体" w:cs="宋体"/>
                <w:kern w:val="0"/>
                <w:sz w:val="24"/>
                <w:lang w:bidi="ar"/>
              </w:rPr>
              <w:t>感染、头痛、鼻咽炎</w:t>
            </w:r>
          </w:p>
        </w:tc>
        <w:tc>
          <w:tcPr>
            <w:tcW w:w="1612" w:type="dxa"/>
            <w:tcBorders>
              <w:top w:val="nil"/>
              <w:left w:val="nil"/>
              <w:bottom w:val="nil"/>
              <w:right w:val="nil"/>
            </w:tcBorders>
            <w:noWrap w:val="0"/>
            <w:tcMar>
              <w:top w:w="75" w:type="dxa"/>
              <w:left w:w="120" w:type="dxa"/>
              <w:bottom w:w="75" w:type="dxa"/>
              <w:right w:w="-1" w:type="dxa"/>
            </w:tcMar>
            <w:vAlign w:val="center"/>
          </w:tcPr>
          <w:p w14:paraId="40CD2F78">
            <w:pPr>
              <w:widowControl/>
              <w:snapToGrid w:val="0"/>
              <w:jc w:val="left"/>
              <w:rPr>
                <w:rFonts w:hint="eastAsia" w:ascii="宋体" w:hAnsi="宋体" w:cs="宋体"/>
                <w:sz w:val="24"/>
              </w:rPr>
            </w:pPr>
            <w:r>
              <w:rPr>
                <w:rFonts w:hint="eastAsia" w:ascii="宋体" w:hAnsi="宋体" w:cs="宋体"/>
                <w:kern w:val="0"/>
                <w:sz w:val="24"/>
                <w:lang w:bidi="ar"/>
              </w:rPr>
              <w:t>TNFi不耐受/失败后适宜选择</w:t>
            </w:r>
          </w:p>
        </w:tc>
      </w:tr>
      <w:tr w14:paraId="762DC692">
        <w:tblPrEx>
          <w:tblCellMar>
            <w:top w:w="15" w:type="dxa"/>
            <w:left w:w="15" w:type="dxa"/>
            <w:bottom w:w="15" w:type="dxa"/>
            <w:right w:w="15" w:type="dxa"/>
          </w:tblCellMar>
        </w:tblPrEx>
        <w:trPr>
          <w:jc w:val="center"/>
        </w:trPr>
        <w:tc>
          <w:tcPr>
            <w:tcBorders>
              <w:top w:val="nil"/>
              <w:left w:val="nil"/>
              <w:bottom w:val="nil"/>
              <w:right w:val="nil"/>
            </w:tcBorders>
            <w:noWrap w:val="0"/>
            <w:tcMar>
              <w:top w:w="75" w:type="dxa"/>
              <w:left w:w="-1" w:type="dxa"/>
              <w:bottom w:w="75" w:type="dxa"/>
              <w:right w:w="120" w:type="dxa"/>
            </w:tcMar>
            <w:vAlign w:val="center"/>
          </w:tcPr>
          <w:p w14:paraId="61AADB8E">
            <w:pPr>
              <w:widowControl/>
              <w:snapToGrid w:val="0"/>
              <w:jc w:val="center"/>
              <w:rPr>
                <w:rFonts w:hint="eastAsia" w:ascii="宋体" w:hAnsi="宋体" w:cs="宋体"/>
                <w:sz w:val="24"/>
              </w:rPr>
            </w:pPr>
            <w:r>
              <w:rPr>
                <w:rFonts w:hint="eastAsia" w:ascii="宋体" w:hAnsi="宋体" w:cs="宋体"/>
                <w:kern w:val="0"/>
                <w:sz w:val="24"/>
                <w:lang w:bidi="ar"/>
              </w:rPr>
              <w:t>抗CD20单抗</w:t>
            </w:r>
          </w:p>
        </w:tc>
        <w:tc>
          <w:tcPr>
            <w:tcBorders>
              <w:top w:val="nil"/>
              <w:left w:val="nil"/>
              <w:bottom w:val="nil"/>
              <w:right w:val="nil"/>
            </w:tcBorders>
            <w:noWrap w:val="0"/>
            <w:tcMar>
              <w:top w:w="75" w:type="dxa"/>
              <w:left w:w="120" w:type="dxa"/>
              <w:bottom w:w="75" w:type="dxa"/>
              <w:right w:w="120" w:type="dxa"/>
            </w:tcMar>
            <w:vAlign w:val="center"/>
          </w:tcPr>
          <w:p w14:paraId="0F64F7CF">
            <w:pPr>
              <w:widowControl/>
              <w:snapToGrid w:val="0"/>
              <w:jc w:val="left"/>
              <w:rPr>
                <w:rFonts w:hint="eastAsia" w:ascii="宋体" w:hAnsi="宋体" w:cs="宋体"/>
                <w:sz w:val="24"/>
              </w:rPr>
            </w:pPr>
            <w:r>
              <w:rPr>
                <w:rFonts w:hint="eastAsia" w:ascii="宋体" w:hAnsi="宋体" w:cs="宋体"/>
                <w:kern w:val="0"/>
                <w:sz w:val="24"/>
                <w:lang w:bidi="ar"/>
              </w:rPr>
              <w:t>利妥昔单抗（RTX）</w:t>
            </w:r>
          </w:p>
        </w:tc>
        <w:tc>
          <w:tcPr>
            <w:tcW w:w="1770" w:type="dxa"/>
            <w:tcBorders>
              <w:top w:val="nil"/>
              <w:left w:val="nil"/>
              <w:bottom w:val="nil"/>
              <w:right w:val="nil"/>
            </w:tcBorders>
            <w:noWrap w:val="0"/>
            <w:tcMar>
              <w:top w:w="75" w:type="dxa"/>
              <w:left w:w="120" w:type="dxa"/>
              <w:bottom w:w="75" w:type="dxa"/>
              <w:right w:w="120" w:type="dxa"/>
            </w:tcMar>
            <w:vAlign w:val="center"/>
          </w:tcPr>
          <w:p w14:paraId="59220BF5">
            <w:pPr>
              <w:widowControl/>
              <w:snapToGrid w:val="0"/>
              <w:jc w:val="left"/>
              <w:rPr>
                <w:rFonts w:hint="eastAsia" w:ascii="宋体" w:hAnsi="宋体" w:cs="宋体"/>
                <w:sz w:val="24"/>
              </w:rPr>
            </w:pPr>
            <w:r>
              <w:rPr>
                <w:rFonts w:hint="eastAsia" w:ascii="宋体" w:hAnsi="宋体" w:cs="宋体"/>
                <w:kern w:val="0"/>
                <w:sz w:val="24"/>
                <w:lang w:bidi="ar"/>
              </w:rPr>
              <w:t>CD20（B细胞）</w:t>
            </w:r>
          </w:p>
        </w:tc>
        <w:tc>
          <w:tcPr>
            <w:tcBorders>
              <w:top w:val="nil"/>
              <w:left w:val="nil"/>
              <w:bottom w:val="nil"/>
              <w:right w:val="nil"/>
            </w:tcBorders>
            <w:noWrap w:val="0"/>
            <w:tcMar>
              <w:top w:w="75" w:type="dxa"/>
              <w:left w:w="120" w:type="dxa"/>
              <w:bottom w:w="75" w:type="dxa"/>
              <w:right w:w="120" w:type="dxa"/>
            </w:tcMar>
            <w:vAlign w:val="center"/>
          </w:tcPr>
          <w:p w14:paraId="1E6E711A">
            <w:pPr>
              <w:widowControl/>
              <w:snapToGrid w:val="0"/>
              <w:jc w:val="left"/>
              <w:rPr>
                <w:rFonts w:hint="eastAsia" w:ascii="宋体" w:hAnsi="宋体" w:cs="宋体"/>
                <w:sz w:val="24"/>
              </w:rPr>
            </w:pPr>
            <w:r>
              <w:rPr>
                <w:rFonts w:hint="eastAsia" w:ascii="宋体" w:hAnsi="宋体" w:cs="宋体"/>
                <w:kern w:val="0"/>
                <w:sz w:val="24"/>
                <w:lang w:bidi="ar"/>
              </w:rPr>
              <w:t>静脉输注</w:t>
            </w:r>
          </w:p>
        </w:tc>
        <w:tc>
          <w:tcPr>
            <w:tcBorders>
              <w:top w:val="nil"/>
              <w:left w:val="nil"/>
              <w:bottom w:val="nil"/>
              <w:right w:val="nil"/>
            </w:tcBorders>
            <w:noWrap w:val="0"/>
            <w:tcMar>
              <w:top w:w="75" w:type="dxa"/>
              <w:left w:w="120" w:type="dxa"/>
              <w:bottom w:w="75" w:type="dxa"/>
              <w:right w:w="120" w:type="dxa"/>
            </w:tcMar>
            <w:vAlign w:val="center"/>
          </w:tcPr>
          <w:p w14:paraId="6DF82DEC">
            <w:pPr>
              <w:widowControl/>
              <w:snapToGrid w:val="0"/>
              <w:jc w:val="left"/>
              <w:rPr>
                <w:rFonts w:hint="eastAsia" w:ascii="宋体" w:hAnsi="宋体" w:cs="宋体"/>
                <w:sz w:val="24"/>
              </w:rPr>
            </w:pPr>
            <w:r>
              <w:rPr>
                <w:rFonts w:hint="eastAsia" w:ascii="宋体" w:hAnsi="宋体" w:cs="宋体"/>
                <w:kern w:val="0"/>
                <w:sz w:val="24"/>
                <w:lang w:bidi="ar"/>
              </w:rPr>
              <w:t>输液反应、感染（尤其结核</w:t>
            </w:r>
          </w:p>
        </w:tc>
        <w:tc>
          <w:tcPr>
            <w:tcW w:w="1612" w:type="dxa"/>
            <w:tcBorders>
              <w:top w:val="nil"/>
              <w:left w:val="nil"/>
              <w:bottom w:val="nil"/>
              <w:right w:val="nil"/>
            </w:tcBorders>
            <w:noWrap w:val="0"/>
            <w:tcMar>
              <w:top w:w="75" w:type="dxa"/>
              <w:left w:w="120" w:type="dxa"/>
              <w:bottom w:w="75" w:type="dxa"/>
              <w:right w:w="-1" w:type="dxa"/>
            </w:tcMar>
            <w:vAlign w:val="center"/>
          </w:tcPr>
          <w:p w14:paraId="7071BFC4">
            <w:pPr>
              <w:widowControl/>
              <w:snapToGrid w:val="0"/>
              <w:jc w:val="left"/>
              <w:rPr>
                <w:rFonts w:hint="eastAsia" w:ascii="宋体" w:hAnsi="宋体" w:cs="宋体"/>
                <w:sz w:val="24"/>
              </w:rPr>
            </w:pPr>
            <w:r>
              <w:rPr>
                <w:rFonts w:hint="eastAsia" w:ascii="宋体" w:hAnsi="宋体" w:cs="宋体"/>
                <w:kern w:val="0"/>
                <w:sz w:val="24"/>
                <w:lang w:bidi="ar"/>
              </w:rPr>
              <w:t>用于TNFi及IL-6i应答不佳的难治性RA</w:t>
            </w:r>
          </w:p>
        </w:tc>
      </w:tr>
      <w:tr w14:paraId="0AE6B2E4">
        <w:tblPrEx>
          <w:tblCellMar>
            <w:top w:w="15" w:type="dxa"/>
            <w:left w:w="15" w:type="dxa"/>
            <w:bottom w:w="15" w:type="dxa"/>
            <w:right w:w="15" w:type="dxa"/>
          </w:tblCellMar>
        </w:tblPrEx>
        <w:trPr>
          <w:jc w:val="center"/>
        </w:trPr>
        <w:tc>
          <w:tcPr>
            <w:tcW w:w="1217" w:type="dxa"/>
            <w:tcBorders>
              <w:top w:val="nil"/>
              <w:left w:val="nil"/>
              <w:bottom w:val="single" w:color="auto" w:sz="12" w:space="0"/>
              <w:right w:val="nil"/>
            </w:tcBorders>
            <w:noWrap w:val="0"/>
            <w:tcMar>
              <w:top w:w="75" w:type="dxa"/>
              <w:left w:w="-1" w:type="dxa"/>
              <w:bottom w:w="75" w:type="dxa"/>
              <w:right w:w="120" w:type="dxa"/>
            </w:tcMar>
            <w:vAlign w:val="center"/>
          </w:tcPr>
          <w:p w14:paraId="562341E5">
            <w:pPr>
              <w:widowControl/>
              <w:snapToGrid w:val="0"/>
              <w:jc w:val="center"/>
              <w:rPr>
                <w:rFonts w:hint="eastAsia" w:ascii="宋体" w:hAnsi="宋体" w:cs="宋体"/>
                <w:sz w:val="24"/>
              </w:rPr>
            </w:pPr>
            <w:r>
              <w:rPr>
                <w:rFonts w:hint="eastAsia" w:ascii="宋体" w:hAnsi="宋体" w:cs="宋体"/>
                <w:kern w:val="0"/>
                <w:sz w:val="24"/>
                <w:lang w:bidi="ar"/>
              </w:rPr>
              <w:t>抗CD20单抗（全人源化）</w:t>
            </w:r>
          </w:p>
        </w:tc>
        <w:tc>
          <w:tcPr>
            <w:tcW w:w="2263" w:type="dxa"/>
            <w:tcBorders>
              <w:top w:val="nil"/>
              <w:left w:val="nil"/>
              <w:bottom w:val="single" w:color="auto" w:sz="12" w:space="0"/>
              <w:right w:val="nil"/>
            </w:tcBorders>
            <w:noWrap w:val="0"/>
            <w:tcMar>
              <w:top w:w="75" w:type="dxa"/>
              <w:left w:w="120" w:type="dxa"/>
              <w:bottom w:w="75" w:type="dxa"/>
              <w:right w:w="120" w:type="dxa"/>
            </w:tcMar>
            <w:vAlign w:val="center"/>
          </w:tcPr>
          <w:p w14:paraId="0B6D364E">
            <w:pPr>
              <w:widowControl/>
              <w:snapToGrid w:val="0"/>
              <w:jc w:val="left"/>
              <w:rPr>
                <w:rFonts w:hint="eastAsia" w:ascii="宋体" w:hAnsi="宋体" w:cs="宋体"/>
                <w:sz w:val="24"/>
              </w:rPr>
            </w:pPr>
            <w:r>
              <w:rPr>
                <w:rFonts w:hint="eastAsia" w:ascii="宋体" w:hAnsi="宋体" w:cs="宋体"/>
                <w:kern w:val="0"/>
                <w:sz w:val="24"/>
                <w:lang w:bidi="ar"/>
              </w:rPr>
              <w:t>奥妥珠单抗（Obinutuzumab）</w:t>
            </w:r>
          </w:p>
        </w:tc>
        <w:tc>
          <w:tcPr>
            <w:tcW w:w="1770" w:type="dxa"/>
            <w:tcBorders>
              <w:top w:val="nil"/>
              <w:left w:val="nil"/>
              <w:bottom w:val="single" w:color="auto" w:sz="12" w:space="0"/>
              <w:right w:val="nil"/>
            </w:tcBorders>
            <w:noWrap w:val="0"/>
            <w:tcMar>
              <w:top w:w="75" w:type="dxa"/>
              <w:left w:w="120" w:type="dxa"/>
              <w:bottom w:w="75" w:type="dxa"/>
              <w:right w:w="120" w:type="dxa"/>
            </w:tcMar>
            <w:vAlign w:val="center"/>
          </w:tcPr>
          <w:p w14:paraId="2741293A">
            <w:pPr>
              <w:widowControl/>
              <w:snapToGrid w:val="0"/>
              <w:jc w:val="left"/>
              <w:rPr>
                <w:rFonts w:hint="eastAsia" w:ascii="宋体" w:hAnsi="宋体" w:cs="宋体"/>
                <w:sz w:val="24"/>
              </w:rPr>
            </w:pPr>
            <w:r>
              <w:rPr>
                <w:rFonts w:hint="eastAsia" w:ascii="宋体" w:hAnsi="宋体" w:cs="宋体"/>
                <w:kern w:val="0"/>
                <w:sz w:val="24"/>
                <w:lang w:bidi="ar"/>
              </w:rPr>
              <w:t>CD20（B细胞）</w:t>
            </w:r>
          </w:p>
        </w:tc>
        <w:tc>
          <w:tcPr>
            <w:tcW w:w="1230" w:type="dxa"/>
            <w:tcBorders>
              <w:top w:val="nil"/>
              <w:left w:val="nil"/>
              <w:bottom w:val="single" w:color="auto" w:sz="12" w:space="0"/>
              <w:right w:val="nil"/>
            </w:tcBorders>
            <w:noWrap w:val="0"/>
            <w:tcMar>
              <w:top w:w="75" w:type="dxa"/>
              <w:left w:w="120" w:type="dxa"/>
              <w:bottom w:w="75" w:type="dxa"/>
              <w:right w:w="120" w:type="dxa"/>
            </w:tcMar>
            <w:vAlign w:val="center"/>
          </w:tcPr>
          <w:p w14:paraId="2527BA6D">
            <w:pPr>
              <w:widowControl/>
              <w:snapToGrid w:val="0"/>
              <w:jc w:val="left"/>
              <w:rPr>
                <w:rFonts w:hint="eastAsia" w:ascii="宋体" w:hAnsi="宋体" w:cs="宋体"/>
                <w:sz w:val="24"/>
              </w:rPr>
            </w:pPr>
            <w:r>
              <w:rPr>
                <w:rFonts w:hint="eastAsia" w:ascii="宋体" w:hAnsi="宋体" w:cs="宋体"/>
                <w:kern w:val="0"/>
                <w:sz w:val="24"/>
                <w:lang w:bidi="ar"/>
              </w:rPr>
              <w:t>静脉输注</w:t>
            </w:r>
          </w:p>
        </w:tc>
        <w:tc>
          <w:tcPr>
            <w:tcW w:w="2294" w:type="dxa"/>
            <w:tcBorders>
              <w:top w:val="nil"/>
              <w:left w:val="nil"/>
              <w:bottom w:val="single" w:color="auto" w:sz="12" w:space="0"/>
              <w:right w:val="nil"/>
            </w:tcBorders>
            <w:noWrap w:val="0"/>
            <w:tcMar>
              <w:top w:w="75" w:type="dxa"/>
              <w:left w:w="120" w:type="dxa"/>
              <w:bottom w:w="75" w:type="dxa"/>
              <w:right w:w="120" w:type="dxa"/>
            </w:tcMar>
            <w:vAlign w:val="center"/>
          </w:tcPr>
          <w:p w14:paraId="2601916A">
            <w:pPr>
              <w:widowControl/>
              <w:snapToGrid w:val="0"/>
              <w:jc w:val="left"/>
              <w:rPr>
                <w:rFonts w:hint="eastAsia" w:ascii="宋体" w:hAnsi="宋体" w:cs="宋体"/>
                <w:sz w:val="24"/>
              </w:rPr>
            </w:pPr>
            <w:r>
              <w:rPr>
                <w:rFonts w:hint="eastAsia" w:ascii="宋体" w:hAnsi="宋体" w:cs="宋体"/>
                <w:kern w:val="0"/>
                <w:sz w:val="24"/>
                <w:lang w:bidi="ar"/>
              </w:rPr>
              <w:t>类似RTX</w:t>
            </w:r>
          </w:p>
        </w:tc>
        <w:tc>
          <w:tcPr>
            <w:tcW w:w="1612" w:type="dxa"/>
            <w:tcBorders>
              <w:top w:val="nil"/>
              <w:left w:val="nil"/>
              <w:bottom w:val="single" w:color="auto" w:sz="12" w:space="0"/>
              <w:right w:val="nil"/>
            </w:tcBorders>
            <w:noWrap w:val="0"/>
            <w:tcMar>
              <w:top w:w="75" w:type="dxa"/>
              <w:left w:w="120" w:type="dxa"/>
              <w:bottom w:w="75" w:type="dxa"/>
              <w:right w:w="-1" w:type="dxa"/>
            </w:tcMar>
            <w:vAlign w:val="center"/>
          </w:tcPr>
          <w:p w14:paraId="2C7364FA">
            <w:pPr>
              <w:widowControl/>
              <w:snapToGrid w:val="0"/>
              <w:jc w:val="left"/>
              <w:rPr>
                <w:rFonts w:hint="eastAsia" w:ascii="宋体" w:hAnsi="宋体" w:cs="宋体"/>
                <w:sz w:val="24"/>
              </w:rPr>
            </w:pPr>
            <w:r>
              <w:rPr>
                <w:rFonts w:hint="eastAsia" w:ascii="宋体" w:hAnsi="宋体" w:cs="宋体"/>
                <w:kern w:val="0"/>
                <w:sz w:val="24"/>
                <w:lang w:bidi="ar"/>
              </w:rPr>
              <w:t>用于RTX不耐受/无效的难治性RA等</w:t>
            </w:r>
          </w:p>
        </w:tc>
      </w:tr>
    </w:tbl>
    <w:p w14:paraId="7FC0A7F3">
      <w:pPr>
        <w:pStyle w:val="9"/>
        <w:widowControl/>
        <w:shd w:val="clear" w:color="auto" w:fill="FFFFFF"/>
        <w:spacing w:before="120" w:beforeAutospacing="0" w:after="120" w:afterAutospacing="0" w:line="360" w:lineRule="auto"/>
        <w:ind w:firstLine="480" w:firstLineChars="200"/>
        <w:rPr>
          <w:rFonts w:hint="eastAsia" w:ascii="宋体" w:hAnsi="宋体" w:cs="宋体"/>
          <w:color w:val="0F1115"/>
        </w:rPr>
      </w:pPr>
      <w:r>
        <w:rPr>
          <w:rFonts w:hint="eastAsia" w:ascii="宋体" w:hAnsi="宋体" w:cs="宋体"/>
          <w:color w:val="0F1115"/>
          <w:shd w:val="clear" w:color="auto" w:fill="FFFFFF"/>
        </w:rPr>
        <w:t>表D.3 靶向合成DMARDs（tsDMARDs）——JAK抑制剂常用药物</w:t>
      </w:r>
    </w:p>
    <w:tbl>
      <w:tblPr>
        <w:tblStyle w:val="10"/>
        <w:tblW w:w="8831" w:type="dxa"/>
        <w:jc w:val="center"/>
        <w:tblLayout w:type="autofit"/>
        <w:tblCellMar>
          <w:top w:w="15" w:type="dxa"/>
          <w:left w:w="15" w:type="dxa"/>
          <w:bottom w:w="15" w:type="dxa"/>
          <w:right w:w="15" w:type="dxa"/>
        </w:tblCellMar>
      </w:tblPr>
      <w:tblGrid>
        <w:gridCol w:w="2288"/>
        <w:gridCol w:w="1777"/>
        <w:gridCol w:w="1244"/>
        <w:gridCol w:w="631"/>
        <w:gridCol w:w="2891"/>
      </w:tblGrid>
      <w:tr w14:paraId="26F1A1DA">
        <w:tblPrEx>
          <w:tblCellMar>
            <w:top w:w="15" w:type="dxa"/>
            <w:left w:w="15" w:type="dxa"/>
            <w:bottom w:w="15" w:type="dxa"/>
            <w:right w:w="15" w:type="dxa"/>
          </w:tblCellMar>
        </w:tblPrEx>
        <w:trPr>
          <w:tblHeader/>
          <w:jc w:val="center"/>
        </w:trPr>
        <w:tc>
          <w:tcPr>
            <w:tcBorders>
              <w:top w:val="single" w:color="auto" w:sz="12" w:space="0"/>
              <w:left w:val="nil"/>
              <w:bottom w:val="nil"/>
              <w:right w:val="nil"/>
            </w:tcBorders>
            <w:noWrap w:val="0"/>
            <w:tcMar>
              <w:top w:w="75" w:type="dxa"/>
              <w:left w:w="-1" w:type="dxa"/>
              <w:bottom w:w="75" w:type="dxa"/>
              <w:right w:w="120" w:type="dxa"/>
            </w:tcMar>
            <w:vAlign w:val="center"/>
          </w:tcPr>
          <w:p w14:paraId="4A9287AF">
            <w:pPr>
              <w:keepNext/>
              <w:widowControl/>
              <w:snapToGrid w:val="0"/>
              <w:jc w:val="center"/>
              <w:rPr>
                <w:rFonts w:hint="eastAsia" w:ascii="宋体" w:hAnsi="宋体" w:cs="宋体"/>
                <w:b/>
                <w:sz w:val="24"/>
              </w:rPr>
            </w:pPr>
            <w:r>
              <w:rPr>
                <w:rStyle w:val="12"/>
                <w:rFonts w:hint="eastAsia" w:ascii="宋体" w:hAnsi="宋体" w:cs="宋体"/>
                <w:bCs/>
                <w:kern w:val="0"/>
                <w:sz w:val="24"/>
                <w:lang w:bidi="ar"/>
              </w:rPr>
              <w:t>药物</w:t>
            </w:r>
          </w:p>
        </w:tc>
        <w:tc>
          <w:tcPr>
            <w:tcW w:w="1777" w:type="dxa"/>
            <w:tcBorders>
              <w:top w:val="single" w:color="auto" w:sz="12" w:space="0"/>
              <w:left w:val="nil"/>
              <w:bottom w:val="nil"/>
              <w:right w:val="nil"/>
            </w:tcBorders>
            <w:noWrap w:val="0"/>
            <w:tcMar>
              <w:top w:w="75" w:type="dxa"/>
              <w:left w:w="120" w:type="dxa"/>
              <w:bottom w:w="75" w:type="dxa"/>
              <w:right w:w="120" w:type="dxa"/>
            </w:tcMar>
            <w:vAlign w:val="center"/>
          </w:tcPr>
          <w:p w14:paraId="476F2638">
            <w:pPr>
              <w:keepNext/>
              <w:widowControl/>
              <w:snapToGrid w:val="0"/>
              <w:jc w:val="center"/>
              <w:rPr>
                <w:rFonts w:hint="eastAsia" w:ascii="宋体" w:hAnsi="宋体" w:cs="宋体"/>
                <w:b/>
                <w:sz w:val="24"/>
              </w:rPr>
            </w:pPr>
            <w:r>
              <w:rPr>
                <w:rStyle w:val="12"/>
                <w:rFonts w:hint="eastAsia" w:ascii="宋体" w:hAnsi="宋体" w:cs="宋体"/>
                <w:bCs/>
                <w:kern w:val="0"/>
                <w:sz w:val="24"/>
                <w:lang w:bidi="ar"/>
              </w:rPr>
              <w:t>JAK靶点选择性</w:t>
            </w:r>
          </w:p>
        </w:tc>
        <w:tc>
          <w:tcPr>
            <w:tcBorders>
              <w:top w:val="single" w:color="auto" w:sz="12" w:space="0"/>
              <w:left w:val="nil"/>
              <w:bottom w:val="nil"/>
              <w:right w:val="nil"/>
            </w:tcBorders>
            <w:noWrap w:val="0"/>
            <w:tcMar>
              <w:top w:w="75" w:type="dxa"/>
              <w:left w:w="120" w:type="dxa"/>
              <w:bottom w:w="75" w:type="dxa"/>
              <w:right w:w="120" w:type="dxa"/>
            </w:tcMar>
            <w:vAlign w:val="center"/>
          </w:tcPr>
          <w:p w14:paraId="1FBDFBBD">
            <w:pPr>
              <w:keepNext/>
              <w:widowControl/>
              <w:snapToGrid w:val="0"/>
              <w:jc w:val="center"/>
              <w:rPr>
                <w:rFonts w:hint="eastAsia" w:ascii="宋体" w:hAnsi="宋体" w:cs="宋体"/>
                <w:b/>
                <w:sz w:val="24"/>
              </w:rPr>
            </w:pPr>
            <w:r>
              <w:rPr>
                <w:rStyle w:val="12"/>
                <w:rFonts w:hint="eastAsia" w:ascii="宋体" w:hAnsi="宋体" w:cs="宋体"/>
                <w:bCs/>
                <w:kern w:val="0"/>
                <w:sz w:val="24"/>
                <w:lang w:bidi="ar"/>
              </w:rPr>
              <w:t>常用剂量</w:t>
            </w:r>
          </w:p>
        </w:tc>
        <w:tc>
          <w:tcPr>
            <w:tcW w:w="631" w:type="dxa"/>
            <w:tcBorders>
              <w:top w:val="single" w:color="auto" w:sz="12" w:space="0"/>
              <w:left w:val="nil"/>
              <w:bottom w:val="nil"/>
              <w:right w:val="nil"/>
            </w:tcBorders>
            <w:noWrap w:val="0"/>
            <w:tcMar>
              <w:top w:w="75" w:type="dxa"/>
              <w:left w:w="120" w:type="dxa"/>
              <w:bottom w:w="75" w:type="dxa"/>
              <w:right w:w="120" w:type="dxa"/>
            </w:tcMar>
            <w:vAlign w:val="center"/>
          </w:tcPr>
          <w:p w14:paraId="0B83AC76">
            <w:pPr>
              <w:keepNext/>
              <w:widowControl/>
              <w:snapToGrid w:val="0"/>
              <w:jc w:val="center"/>
              <w:rPr>
                <w:rFonts w:hint="eastAsia" w:ascii="宋体" w:hAnsi="宋体" w:cs="宋体"/>
                <w:b/>
                <w:sz w:val="24"/>
              </w:rPr>
            </w:pPr>
            <w:r>
              <w:rPr>
                <w:rStyle w:val="12"/>
                <w:rFonts w:hint="eastAsia" w:ascii="宋体" w:hAnsi="宋体" w:cs="宋体"/>
                <w:bCs/>
                <w:kern w:val="0"/>
                <w:sz w:val="24"/>
                <w:lang w:bidi="ar"/>
              </w:rPr>
              <w:t>用法</w:t>
            </w:r>
          </w:p>
        </w:tc>
        <w:tc>
          <w:tcPr>
            <w:tcW w:w="2891" w:type="dxa"/>
            <w:tcBorders>
              <w:top w:val="single" w:color="auto" w:sz="12" w:space="0"/>
              <w:left w:val="nil"/>
              <w:bottom w:val="nil"/>
              <w:right w:val="nil"/>
            </w:tcBorders>
            <w:noWrap w:val="0"/>
            <w:tcMar>
              <w:top w:w="75" w:type="dxa"/>
              <w:left w:w="120" w:type="dxa"/>
              <w:bottom w:w="75" w:type="dxa"/>
              <w:right w:w="120" w:type="dxa"/>
            </w:tcMar>
            <w:vAlign w:val="center"/>
          </w:tcPr>
          <w:p w14:paraId="26A6EDBE">
            <w:pPr>
              <w:keepNext/>
              <w:widowControl/>
              <w:snapToGrid w:val="0"/>
              <w:jc w:val="center"/>
              <w:rPr>
                <w:rFonts w:hint="eastAsia" w:ascii="宋体" w:hAnsi="宋体" w:cs="宋体"/>
                <w:b/>
                <w:sz w:val="24"/>
              </w:rPr>
            </w:pPr>
            <w:r>
              <w:rPr>
                <w:rStyle w:val="12"/>
                <w:rFonts w:hint="eastAsia" w:ascii="宋体" w:hAnsi="宋体" w:cs="宋体"/>
                <w:bCs/>
                <w:kern w:val="0"/>
                <w:sz w:val="24"/>
                <w:lang w:bidi="ar"/>
              </w:rPr>
              <w:t>需严格评估的风险因素</w:t>
            </w:r>
          </w:p>
        </w:tc>
      </w:tr>
      <w:tr w14:paraId="71FA3003">
        <w:tblPrEx>
          <w:tblCellMar>
            <w:top w:w="15" w:type="dxa"/>
            <w:left w:w="15" w:type="dxa"/>
            <w:bottom w:w="15" w:type="dxa"/>
            <w:right w:w="15" w:type="dxa"/>
          </w:tblCellMar>
        </w:tblPrEx>
        <w:trPr>
          <w:jc w:val="center"/>
        </w:trPr>
        <w:tc>
          <w:tcPr>
            <w:tcBorders>
              <w:top w:val="single" w:color="auto" w:sz="4" w:space="0"/>
              <w:left w:val="nil"/>
              <w:bottom w:val="nil"/>
              <w:right w:val="nil"/>
            </w:tcBorders>
            <w:noWrap w:val="0"/>
            <w:tcMar>
              <w:top w:w="75" w:type="dxa"/>
              <w:left w:w="-1" w:type="dxa"/>
              <w:bottom w:w="75" w:type="dxa"/>
              <w:right w:w="120" w:type="dxa"/>
            </w:tcMar>
            <w:vAlign w:val="center"/>
          </w:tcPr>
          <w:p w14:paraId="7C54ECF7">
            <w:pPr>
              <w:keepNext/>
              <w:widowControl/>
              <w:snapToGrid w:val="0"/>
              <w:jc w:val="center"/>
              <w:rPr>
                <w:rFonts w:hint="eastAsia" w:ascii="宋体" w:hAnsi="宋体" w:cs="宋体"/>
                <w:sz w:val="24"/>
              </w:rPr>
            </w:pPr>
            <w:r>
              <w:rPr>
                <w:rFonts w:hint="eastAsia" w:ascii="宋体" w:hAnsi="宋体" w:cs="宋体"/>
                <w:kern w:val="0"/>
                <w:sz w:val="24"/>
                <w:lang w:bidi="ar"/>
              </w:rPr>
              <w:t>托法替布（Tofacitinib）</w:t>
            </w:r>
          </w:p>
        </w:tc>
        <w:tc>
          <w:tcPr>
            <w:tcW w:w="1777" w:type="dxa"/>
            <w:tcBorders>
              <w:top w:val="single" w:color="auto" w:sz="4" w:space="0"/>
              <w:left w:val="nil"/>
              <w:bottom w:val="nil"/>
              <w:right w:val="nil"/>
            </w:tcBorders>
            <w:noWrap w:val="0"/>
            <w:tcMar>
              <w:top w:w="75" w:type="dxa"/>
              <w:left w:w="120" w:type="dxa"/>
              <w:bottom w:w="75" w:type="dxa"/>
              <w:right w:w="120" w:type="dxa"/>
            </w:tcMar>
            <w:vAlign w:val="center"/>
          </w:tcPr>
          <w:p w14:paraId="32355B58">
            <w:pPr>
              <w:keepNext/>
              <w:widowControl/>
              <w:snapToGrid w:val="0"/>
              <w:jc w:val="center"/>
              <w:rPr>
                <w:rFonts w:hint="eastAsia" w:ascii="宋体" w:hAnsi="宋体" w:cs="宋体"/>
                <w:sz w:val="24"/>
              </w:rPr>
            </w:pPr>
            <w:r>
              <w:rPr>
                <w:rFonts w:hint="eastAsia" w:ascii="宋体" w:hAnsi="宋体" w:cs="宋体"/>
                <w:kern w:val="0"/>
                <w:sz w:val="24"/>
                <w:lang w:bidi="ar"/>
              </w:rPr>
              <w:t>JAK1/JAK3为主</w:t>
            </w:r>
          </w:p>
        </w:tc>
        <w:tc>
          <w:tcPr>
            <w:tcBorders>
              <w:top w:val="single" w:color="auto" w:sz="4" w:space="0"/>
              <w:left w:val="nil"/>
              <w:bottom w:val="nil"/>
              <w:right w:val="nil"/>
            </w:tcBorders>
            <w:noWrap w:val="0"/>
            <w:tcMar>
              <w:top w:w="75" w:type="dxa"/>
              <w:left w:w="120" w:type="dxa"/>
              <w:bottom w:w="75" w:type="dxa"/>
              <w:right w:w="120" w:type="dxa"/>
            </w:tcMar>
            <w:vAlign w:val="center"/>
          </w:tcPr>
          <w:p w14:paraId="6723BFC8">
            <w:pPr>
              <w:keepNext/>
              <w:widowControl/>
              <w:snapToGrid w:val="0"/>
              <w:jc w:val="left"/>
              <w:rPr>
                <w:rFonts w:hint="eastAsia" w:ascii="宋体" w:hAnsi="宋体" w:cs="宋体"/>
                <w:sz w:val="24"/>
              </w:rPr>
            </w:pPr>
            <w:r>
              <w:rPr>
                <w:rFonts w:hint="eastAsia" w:ascii="宋体" w:hAnsi="宋体" w:cs="宋体"/>
                <w:kern w:val="0"/>
                <w:sz w:val="24"/>
                <w:lang w:bidi="ar"/>
              </w:rPr>
              <w:t>5mg，每日2次</w:t>
            </w:r>
          </w:p>
        </w:tc>
        <w:tc>
          <w:tcPr>
            <w:tcW w:w="631" w:type="dxa"/>
            <w:tcBorders>
              <w:top w:val="single" w:color="auto" w:sz="4" w:space="0"/>
              <w:left w:val="nil"/>
              <w:bottom w:val="nil"/>
              <w:right w:val="nil"/>
            </w:tcBorders>
            <w:noWrap w:val="0"/>
            <w:tcMar>
              <w:top w:w="75" w:type="dxa"/>
              <w:left w:w="120" w:type="dxa"/>
              <w:bottom w:w="75" w:type="dxa"/>
              <w:right w:w="120" w:type="dxa"/>
            </w:tcMar>
            <w:vAlign w:val="center"/>
          </w:tcPr>
          <w:p w14:paraId="049EEBFF">
            <w:pPr>
              <w:keepNext/>
              <w:widowControl/>
              <w:snapToGrid w:val="0"/>
              <w:jc w:val="left"/>
              <w:rPr>
                <w:rFonts w:hint="eastAsia" w:ascii="宋体" w:hAnsi="宋体" w:cs="宋体"/>
                <w:sz w:val="24"/>
              </w:rPr>
            </w:pPr>
            <w:r>
              <w:rPr>
                <w:rFonts w:hint="eastAsia" w:ascii="宋体" w:hAnsi="宋体" w:cs="宋体"/>
                <w:kern w:val="0"/>
                <w:sz w:val="24"/>
                <w:lang w:bidi="ar"/>
              </w:rPr>
              <w:t>口服</w:t>
            </w:r>
          </w:p>
        </w:tc>
        <w:tc>
          <w:tcPr>
            <w:tcW w:w="2891" w:type="dxa"/>
            <w:tcBorders>
              <w:top w:val="single" w:color="auto" w:sz="4" w:space="0"/>
              <w:left w:val="nil"/>
              <w:bottom w:val="nil"/>
              <w:right w:val="nil"/>
            </w:tcBorders>
            <w:noWrap w:val="0"/>
            <w:tcMar>
              <w:top w:w="75" w:type="dxa"/>
              <w:left w:w="120" w:type="dxa"/>
              <w:bottom w:w="75" w:type="dxa"/>
              <w:right w:w="-1" w:type="dxa"/>
            </w:tcMar>
            <w:vAlign w:val="center"/>
          </w:tcPr>
          <w:p w14:paraId="27A85E54">
            <w:pPr>
              <w:keepNext/>
              <w:widowControl/>
              <w:snapToGrid w:val="0"/>
              <w:jc w:val="center"/>
              <w:rPr>
                <w:rFonts w:hint="eastAsia" w:ascii="宋体" w:hAnsi="宋体" w:cs="宋体"/>
                <w:sz w:val="24"/>
              </w:rPr>
            </w:pPr>
            <w:r>
              <w:rPr>
                <w:rFonts w:hint="eastAsia" w:ascii="宋体" w:hAnsi="宋体" w:cs="宋体"/>
                <w:kern w:val="0"/>
                <w:sz w:val="24"/>
                <w:lang w:bidi="ar"/>
              </w:rPr>
              <w:t>年龄≥65岁、吸烟史等</w:t>
            </w:r>
          </w:p>
        </w:tc>
      </w:tr>
      <w:tr w14:paraId="25652B7B">
        <w:tblPrEx>
          <w:tblCellMar>
            <w:top w:w="15" w:type="dxa"/>
            <w:left w:w="15" w:type="dxa"/>
            <w:bottom w:w="15" w:type="dxa"/>
            <w:right w:w="15" w:type="dxa"/>
          </w:tblCellMar>
        </w:tblPrEx>
        <w:trPr>
          <w:jc w:val="center"/>
        </w:trPr>
        <w:tc>
          <w:tcPr>
            <w:tcBorders>
              <w:top w:val="nil"/>
              <w:left w:val="nil"/>
              <w:bottom w:val="nil"/>
              <w:right w:val="nil"/>
            </w:tcBorders>
            <w:noWrap w:val="0"/>
            <w:tcMar>
              <w:top w:w="75" w:type="dxa"/>
              <w:left w:w="-1" w:type="dxa"/>
              <w:bottom w:w="75" w:type="dxa"/>
              <w:right w:w="120" w:type="dxa"/>
            </w:tcMar>
            <w:vAlign w:val="center"/>
          </w:tcPr>
          <w:p w14:paraId="033356D1">
            <w:pPr>
              <w:keepNext/>
              <w:widowControl/>
              <w:snapToGrid w:val="0"/>
              <w:jc w:val="center"/>
              <w:rPr>
                <w:rFonts w:hint="eastAsia" w:ascii="宋体" w:hAnsi="宋体" w:cs="宋体"/>
                <w:sz w:val="24"/>
              </w:rPr>
            </w:pPr>
            <w:r>
              <w:rPr>
                <w:rFonts w:hint="eastAsia" w:ascii="宋体" w:hAnsi="宋体" w:cs="宋体"/>
                <w:kern w:val="0"/>
                <w:sz w:val="24"/>
                <w:lang w:bidi="ar"/>
              </w:rPr>
              <w:t>巴瑞替尼（Baricitinib）</w:t>
            </w:r>
          </w:p>
        </w:tc>
        <w:tc>
          <w:tcPr>
            <w:tcW w:w="1777" w:type="dxa"/>
            <w:tcBorders>
              <w:top w:val="nil"/>
              <w:left w:val="nil"/>
              <w:bottom w:val="nil"/>
              <w:right w:val="nil"/>
            </w:tcBorders>
            <w:noWrap w:val="0"/>
            <w:tcMar>
              <w:top w:w="75" w:type="dxa"/>
              <w:left w:w="120" w:type="dxa"/>
              <w:bottom w:w="75" w:type="dxa"/>
              <w:right w:w="120" w:type="dxa"/>
            </w:tcMar>
            <w:vAlign w:val="center"/>
          </w:tcPr>
          <w:p w14:paraId="7E0242BA">
            <w:pPr>
              <w:keepNext/>
              <w:widowControl/>
              <w:snapToGrid w:val="0"/>
              <w:jc w:val="center"/>
              <w:rPr>
                <w:rFonts w:hint="eastAsia" w:ascii="宋体" w:hAnsi="宋体" w:cs="宋体"/>
                <w:sz w:val="24"/>
              </w:rPr>
            </w:pPr>
            <w:r>
              <w:rPr>
                <w:rFonts w:hint="eastAsia" w:ascii="宋体" w:hAnsi="宋体" w:cs="宋体"/>
                <w:kern w:val="0"/>
                <w:sz w:val="24"/>
                <w:lang w:bidi="ar"/>
              </w:rPr>
              <w:t>JAK1/JAK2</w:t>
            </w:r>
          </w:p>
        </w:tc>
        <w:tc>
          <w:tcPr>
            <w:tcBorders>
              <w:top w:val="nil"/>
              <w:left w:val="nil"/>
              <w:bottom w:val="nil"/>
              <w:right w:val="nil"/>
            </w:tcBorders>
            <w:noWrap w:val="0"/>
            <w:tcMar>
              <w:top w:w="75" w:type="dxa"/>
              <w:left w:w="120" w:type="dxa"/>
              <w:bottom w:w="75" w:type="dxa"/>
              <w:right w:w="120" w:type="dxa"/>
            </w:tcMar>
            <w:vAlign w:val="center"/>
          </w:tcPr>
          <w:p w14:paraId="171AD493">
            <w:pPr>
              <w:keepNext/>
              <w:widowControl/>
              <w:snapToGrid w:val="0"/>
              <w:jc w:val="left"/>
              <w:rPr>
                <w:rFonts w:hint="eastAsia" w:ascii="宋体" w:hAnsi="宋体" w:cs="宋体"/>
                <w:sz w:val="24"/>
              </w:rPr>
            </w:pPr>
            <w:r>
              <w:rPr>
                <w:rFonts w:hint="eastAsia" w:ascii="宋体" w:hAnsi="宋体" w:cs="宋体"/>
                <w:kern w:val="0"/>
                <w:sz w:val="24"/>
                <w:lang w:bidi="ar"/>
              </w:rPr>
              <w:t>2mg或4mg，每日1次</w:t>
            </w:r>
          </w:p>
        </w:tc>
        <w:tc>
          <w:tcPr>
            <w:tcW w:w="631" w:type="dxa"/>
            <w:tcBorders>
              <w:top w:val="nil"/>
              <w:left w:val="nil"/>
              <w:bottom w:val="nil"/>
              <w:right w:val="nil"/>
            </w:tcBorders>
            <w:noWrap w:val="0"/>
            <w:tcMar>
              <w:top w:w="75" w:type="dxa"/>
              <w:left w:w="120" w:type="dxa"/>
              <w:bottom w:w="75" w:type="dxa"/>
              <w:right w:w="120" w:type="dxa"/>
            </w:tcMar>
            <w:vAlign w:val="center"/>
          </w:tcPr>
          <w:p w14:paraId="6414DEB4">
            <w:pPr>
              <w:keepNext/>
              <w:widowControl/>
              <w:snapToGrid w:val="0"/>
              <w:jc w:val="left"/>
              <w:rPr>
                <w:rFonts w:hint="eastAsia" w:ascii="宋体" w:hAnsi="宋体" w:cs="宋体"/>
                <w:sz w:val="24"/>
              </w:rPr>
            </w:pPr>
            <w:r>
              <w:rPr>
                <w:rFonts w:hint="eastAsia" w:ascii="宋体" w:hAnsi="宋体" w:cs="宋体"/>
                <w:kern w:val="0"/>
                <w:sz w:val="24"/>
                <w:lang w:bidi="ar"/>
              </w:rPr>
              <w:t>口服</w:t>
            </w:r>
          </w:p>
        </w:tc>
        <w:tc>
          <w:tcPr>
            <w:tcW w:w="2891" w:type="dxa"/>
            <w:tcBorders>
              <w:top w:val="nil"/>
              <w:left w:val="nil"/>
              <w:bottom w:val="nil"/>
              <w:right w:val="nil"/>
            </w:tcBorders>
            <w:noWrap w:val="0"/>
            <w:tcMar>
              <w:top w:w="75" w:type="dxa"/>
              <w:left w:w="120" w:type="dxa"/>
              <w:bottom w:w="75" w:type="dxa"/>
              <w:right w:w="-1" w:type="dxa"/>
            </w:tcMar>
            <w:vAlign w:val="center"/>
          </w:tcPr>
          <w:p w14:paraId="7D3C893F">
            <w:pPr>
              <w:keepNext/>
              <w:widowControl/>
              <w:snapToGrid w:val="0"/>
              <w:jc w:val="center"/>
              <w:rPr>
                <w:rFonts w:hint="eastAsia" w:ascii="宋体" w:hAnsi="宋体" w:cs="宋体"/>
                <w:sz w:val="24"/>
              </w:rPr>
            </w:pPr>
            <w:r>
              <w:rPr>
                <w:rFonts w:hint="eastAsia" w:ascii="宋体" w:hAnsi="宋体" w:cs="宋体"/>
                <w:kern w:val="0"/>
                <w:sz w:val="24"/>
                <w:lang w:bidi="ar"/>
              </w:rPr>
              <w:t>同上等</w:t>
            </w:r>
          </w:p>
        </w:tc>
      </w:tr>
      <w:tr w14:paraId="4451B3DE">
        <w:tblPrEx>
          <w:tblCellMar>
            <w:top w:w="15" w:type="dxa"/>
            <w:left w:w="15" w:type="dxa"/>
            <w:bottom w:w="15" w:type="dxa"/>
            <w:right w:w="15" w:type="dxa"/>
          </w:tblCellMar>
        </w:tblPrEx>
        <w:trPr>
          <w:jc w:val="center"/>
        </w:trPr>
        <w:tc>
          <w:tcPr>
            <w:tcBorders>
              <w:top w:val="nil"/>
              <w:left w:val="nil"/>
              <w:bottom w:val="nil"/>
              <w:right w:val="nil"/>
            </w:tcBorders>
            <w:noWrap w:val="0"/>
            <w:tcMar>
              <w:top w:w="75" w:type="dxa"/>
              <w:left w:w="-1" w:type="dxa"/>
              <w:bottom w:w="75" w:type="dxa"/>
              <w:right w:w="120" w:type="dxa"/>
            </w:tcMar>
            <w:vAlign w:val="center"/>
          </w:tcPr>
          <w:p w14:paraId="69BF6064">
            <w:pPr>
              <w:keepNext/>
              <w:widowControl/>
              <w:snapToGrid w:val="0"/>
              <w:jc w:val="center"/>
              <w:rPr>
                <w:rFonts w:hint="eastAsia" w:ascii="宋体" w:hAnsi="宋体" w:cs="宋体"/>
                <w:sz w:val="24"/>
              </w:rPr>
            </w:pPr>
            <w:r>
              <w:rPr>
                <w:rFonts w:hint="eastAsia" w:ascii="宋体" w:hAnsi="宋体" w:cs="宋体"/>
                <w:kern w:val="0"/>
                <w:sz w:val="24"/>
                <w:lang w:bidi="ar"/>
              </w:rPr>
              <w:t>乌帕替尼（Upadacitinib）</w:t>
            </w:r>
          </w:p>
        </w:tc>
        <w:tc>
          <w:tcPr>
            <w:tcW w:w="1777" w:type="dxa"/>
            <w:tcBorders>
              <w:top w:val="nil"/>
              <w:left w:val="nil"/>
              <w:bottom w:val="nil"/>
              <w:right w:val="nil"/>
            </w:tcBorders>
            <w:noWrap w:val="0"/>
            <w:tcMar>
              <w:top w:w="75" w:type="dxa"/>
              <w:left w:w="120" w:type="dxa"/>
              <w:bottom w:w="75" w:type="dxa"/>
              <w:right w:w="120" w:type="dxa"/>
            </w:tcMar>
            <w:vAlign w:val="center"/>
          </w:tcPr>
          <w:p w14:paraId="607CDAE5">
            <w:pPr>
              <w:keepNext/>
              <w:widowControl/>
              <w:snapToGrid w:val="0"/>
              <w:jc w:val="center"/>
              <w:rPr>
                <w:rFonts w:hint="eastAsia" w:ascii="宋体" w:hAnsi="宋体" w:cs="宋体"/>
                <w:sz w:val="24"/>
              </w:rPr>
            </w:pPr>
            <w:r>
              <w:rPr>
                <w:rFonts w:hint="eastAsia" w:ascii="宋体" w:hAnsi="宋体" w:cs="宋体"/>
                <w:kern w:val="0"/>
                <w:sz w:val="24"/>
                <w:lang w:bidi="ar"/>
              </w:rPr>
              <w:t>JAK1选择性</w:t>
            </w:r>
          </w:p>
        </w:tc>
        <w:tc>
          <w:tcPr>
            <w:tcBorders>
              <w:top w:val="nil"/>
              <w:left w:val="nil"/>
              <w:bottom w:val="nil"/>
              <w:right w:val="nil"/>
            </w:tcBorders>
            <w:noWrap w:val="0"/>
            <w:tcMar>
              <w:top w:w="75" w:type="dxa"/>
              <w:left w:w="120" w:type="dxa"/>
              <w:bottom w:w="75" w:type="dxa"/>
              <w:right w:w="120" w:type="dxa"/>
            </w:tcMar>
            <w:vAlign w:val="center"/>
          </w:tcPr>
          <w:p w14:paraId="07ADE4D6">
            <w:pPr>
              <w:keepNext/>
              <w:widowControl/>
              <w:snapToGrid w:val="0"/>
              <w:jc w:val="left"/>
              <w:rPr>
                <w:rFonts w:hint="eastAsia" w:ascii="宋体" w:hAnsi="宋体" w:cs="宋体"/>
                <w:sz w:val="24"/>
              </w:rPr>
            </w:pPr>
            <w:r>
              <w:rPr>
                <w:rFonts w:hint="eastAsia" w:ascii="宋体" w:hAnsi="宋体" w:cs="宋体"/>
                <w:kern w:val="0"/>
                <w:sz w:val="24"/>
                <w:lang w:bidi="ar"/>
              </w:rPr>
              <w:t>15mg，每日1次</w:t>
            </w:r>
          </w:p>
        </w:tc>
        <w:tc>
          <w:tcPr>
            <w:tcW w:w="631" w:type="dxa"/>
            <w:tcBorders>
              <w:top w:val="nil"/>
              <w:left w:val="nil"/>
              <w:bottom w:val="nil"/>
              <w:right w:val="nil"/>
            </w:tcBorders>
            <w:noWrap w:val="0"/>
            <w:tcMar>
              <w:top w:w="75" w:type="dxa"/>
              <w:left w:w="120" w:type="dxa"/>
              <w:bottom w:w="75" w:type="dxa"/>
              <w:right w:w="120" w:type="dxa"/>
            </w:tcMar>
            <w:vAlign w:val="center"/>
          </w:tcPr>
          <w:p w14:paraId="2FACCCCF">
            <w:pPr>
              <w:keepNext/>
              <w:widowControl/>
              <w:snapToGrid w:val="0"/>
              <w:jc w:val="left"/>
              <w:rPr>
                <w:rFonts w:hint="eastAsia" w:ascii="宋体" w:hAnsi="宋体" w:cs="宋体"/>
                <w:sz w:val="24"/>
              </w:rPr>
            </w:pPr>
            <w:r>
              <w:rPr>
                <w:rFonts w:hint="eastAsia" w:ascii="宋体" w:hAnsi="宋体" w:cs="宋体"/>
                <w:kern w:val="0"/>
                <w:sz w:val="24"/>
                <w:lang w:bidi="ar"/>
              </w:rPr>
              <w:t>口服</w:t>
            </w:r>
          </w:p>
        </w:tc>
        <w:tc>
          <w:tcPr>
            <w:tcW w:w="2891" w:type="dxa"/>
            <w:tcBorders>
              <w:top w:val="nil"/>
              <w:left w:val="nil"/>
              <w:bottom w:val="nil"/>
              <w:right w:val="nil"/>
            </w:tcBorders>
            <w:noWrap w:val="0"/>
            <w:tcMar>
              <w:top w:w="75" w:type="dxa"/>
              <w:left w:w="120" w:type="dxa"/>
              <w:bottom w:w="75" w:type="dxa"/>
              <w:right w:w="-1" w:type="dxa"/>
            </w:tcMar>
            <w:vAlign w:val="center"/>
          </w:tcPr>
          <w:p w14:paraId="20660B8D">
            <w:pPr>
              <w:keepNext/>
              <w:widowControl/>
              <w:snapToGrid w:val="0"/>
              <w:jc w:val="center"/>
              <w:rPr>
                <w:rFonts w:hint="eastAsia" w:ascii="宋体" w:hAnsi="宋体" w:cs="宋体"/>
                <w:sz w:val="24"/>
              </w:rPr>
            </w:pPr>
            <w:r>
              <w:rPr>
                <w:rFonts w:hint="eastAsia" w:ascii="宋体" w:hAnsi="宋体" w:cs="宋体"/>
                <w:kern w:val="0"/>
                <w:sz w:val="24"/>
                <w:lang w:bidi="ar"/>
              </w:rPr>
              <w:t>同上等</w:t>
            </w:r>
          </w:p>
        </w:tc>
      </w:tr>
      <w:tr w14:paraId="6F75F3F7">
        <w:tblPrEx>
          <w:tblCellMar>
            <w:top w:w="15" w:type="dxa"/>
            <w:left w:w="15" w:type="dxa"/>
            <w:bottom w:w="15" w:type="dxa"/>
            <w:right w:w="15" w:type="dxa"/>
          </w:tblCellMar>
        </w:tblPrEx>
        <w:trPr>
          <w:jc w:val="center"/>
        </w:trPr>
        <w:tc>
          <w:tcPr>
            <w:tcW w:w="2288" w:type="dxa"/>
            <w:tcBorders>
              <w:top w:val="nil"/>
              <w:left w:val="nil"/>
              <w:bottom w:val="single" w:color="auto" w:sz="12" w:space="0"/>
              <w:right w:val="nil"/>
            </w:tcBorders>
            <w:noWrap w:val="0"/>
            <w:tcMar>
              <w:top w:w="75" w:type="dxa"/>
              <w:left w:w="-1" w:type="dxa"/>
              <w:bottom w:w="75" w:type="dxa"/>
              <w:right w:w="120" w:type="dxa"/>
            </w:tcMar>
            <w:vAlign w:val="center"/>
          </w:tcPr>
          <w:p w14:paraId="148241AB">
            <w:pPr>
              <w:keepNext/>
              <w:widowControl/>
              <w:snapToGrid w:val="0"/>
              <w:jc w:val="center"/>
              <w:rPr>
                <w:rFonts w:hint="eastAsia" w:ascii="宋体" w:hAnsi="宋体" w:cs="宋体"/>
                <w:sz w:val="24"/>
              </w:rPr>
            </w:pPr>
            <w:r>
              <w:rPr>
                <w:rFonts w:hint="eastAsia" w:ascii="宋体" w:hAnsi="宋体" w:cs="宋体"/>
                <w:sz w:val="24"/>
              </w:rPr>
              <w:t>艾玛昔替尼</w:t>
            </w:r>
          </w:p>
        </w:tc>
        <w:tc>
          <w:tcPr>
            <w:tcW w:w="1777" w:type="dxa"/>
            <w:tcBorders>
              <w:top w:val="nil"/>
              <w:left w:val="nil"/>
              <w:bottom w:val="single" w:color="auto" w:sz="12" w:space="0"/>
              <w:right w:val="nil"/>
            </w:tcBorders>
            <w:noWrap w:val="0"/>
            <w:tcMar>
              <w:top w:w="75" w:type="dxa"/>
              <w:left w:w="120" w:type="dxa"/>
              <w:bottom w:w="75" w:type="dxa"/>
              <w:right w:w="120" w:type="dxa"/>
            </w:tcMar>
            <w:vAlign w:val="center"/>
          </w:tcPr>
          <w:p w14:paraId="680A5B9A">
            <w:pPr>
              <w:keepNext/>
              <w:widowControl/>
              <w:snapToGrid w:val="0"/>
              <w:jc w:val="center"/>
              <w:rPr>
                <w:rFonts w:hint="eastAsia" w:ascii="宋体" w:hAnsi="宋体" w:cs="宋体"/>
                <w:sz w:val="24"/>
              </w:rPr>
            </w:pPr>
            <w:r>
              <w:rPr>
                <w:rFonts w:hint="eastAsia" w:ascii="宋体" w:hAnsi="宋体" w:cs="宋体"/>
                <w:kern w:val="0"/>
                <w:sz w:val="24"/>
                <w:lang w:bidi="ar"/>
              </w:rPr>
              <w:t>JAK1选择性</w:t>
            </w:r>
          </w:p>
        </w:tc>
        <w:tc>
          <w:tcPr>
            <w:tcW w:w="1244" w:type="dxa"/>
            <w:tcBorders>
              <w:top w:val="nil"/>
              <w:left w:val="nil"/>
              <w:bottom w:val="single" w:color="auto" w:sz="12" w:space="0"/>
              <w:right w:val="nil"/>
            </w:tcBorders>
            <w:noWrap w:val="0"/>
            <w:tcMar>
              <w:top w:w="75" w:type="dxa"/>
              <w:left w:w="120" w:type="dxa"/>
              <w:bottom w:w="75" w:type="dxa"/>
              <w:right w:w="120" w:type="dxa"/>
            </w:tcMar>
            <w:vAlign w:val="center"/>
          </w:tcPr>
          <w:p w14:paraId="4163F302">
            <w:pPr>
              <w:keepNext/>
              <w:widowControl/>
              <w:snapToGrid w:val="0"/>
              <w:jc w:val="left"/>
              <w:rPr>
                <w:rFonts w:hint="eastAsia" w:ascii="宋体" w:hAnsi="宋体" w:cs="宋体"/>
                <w:sz w:val="24"/>
              </w:rPr>
            </w:pPr>
            <w:r>
              <w:rPr>
                <w:rFonts w:hint="eastAsia" w:ascii="宋体" w:hAnsi="宋体" w:cs="宋体"/>
                <w:kern w:val="0"/>
                <w:sz w:val="24"/>
                <w:lang w:bidi="ar"/>
              </w:rPr>
              <w:t>4mg，每日1次</w:t>
            </w:r>
          </w:p>
        </w:tc>
        <w:tc>
          <w:tcPr>
            <w:tcW w:w="631" w:type="dxa"/>
            <w:tcBorders>
              <w:top w:val="nil"/>
              <w:left w:val="nil"/>
              <w:bottom w:val="single" w:color="auto" w:sz="12" w:space="0"/>
              <w:right w:val="nil"/>
            </w:tcBorders>
            <w:noWrap w:val="0"/>
            <w:tcMar>
              <w:top w:w="75" w:type="dxa"/>
              <w:left w:w="120" w:type="dxa"/>
              <w:bottom w:w="75" w:type="dxa"/>
              <w:right w:w="120" w:type="dxa"/>
            </w:tcMar>
            <w:vAlign w:val="center"/>
          </w:tcPr>
          <w:p w14:paraId="71BAA5C8">
            <w:pPr>
              <w:keepNext/>
              <w:widowControl/>
              <w:snapToGrid w:val="0"/>
              <w:jc w:val="left"/>
              <w:rPr>
                <w:rFonts w:hint="eastAsia" w:ascii="宋体" w:hAnsi="宋体" w:cs="宋体"/>
                <w:sz w:val="24"/>
              </w:rPr>
            </w:pPr>
            <w:r>
              <w:rPr>
                <w:rFonts w:hint="eastAsia" w:ascii="宋体" w:hAnsi="宋体" w:cs="宋体"/>
                <w:kern w:val="0"/>
                <w:sz w:val="24"/>
                <w:lang w:bidi="ar"/>
              </w:rPr>
              <w:t>口服</w:t>
            </w:r>
          </w:p>
        </w:tc>
        <w:tc>
          <w:tcPr>
            <w:tcW w:w="2891" w:type="dxa"/>
            <w:tcBorders>
              <w:top w:val="nil"/>
              <w:left w:val="nil"/>
              <w:bottom w:val="single" w:color="auto" w:sz="12" w:space="0"/>
              <w:right w:val="nil"/>
            </w:tcBorders>
            <w:noWrap w:val="0"/>
            <w:tcMar>
              <w:top w:w="75" w:type="dxa"/>
              <w:left w:w="120" w:type="dxa"/>
              <w:bottom w:w="75" w:type="dxa"/>
              <w:right w:w="-1" w:type="dxa"/>
            </w:tcMar>
            <w:vAlign w:val="center"/>
          </w:tcPr>
          <w:p w14:paraId="010303C1">
            <w:pPr>
              <w:keepNext/>
              <w:widowControl/>
              <w:snapToGrid w:val="0"/>
              <w:jc w:val="center"/>
              <w:rPr>
                <w:rFonts w:hint="eastAsia" w:ascii="宋体" w:hAnsi="宋体" w:cs="宋体"/>
                <w:sz w:val="24"/>
              </w:rPr>
            </w:pPr>
            <w:r>
              <w:rPr>
                <w:rFonts w:hint="eastAsia" w:ascii="宋体" w:hAnsi="宋体" w:cs="宋体"/>
                <w:sz w:val="24"/>
              </w:rPr>
              <w:t>对本品成分过敏者等</w:t>
            </w:r>
          </w:p>
        </w:tc>
      </w:tr>
    </w:tbl>
    <w:p w14:paraId="0945914C">
      <w:pPr>
        <w:pStyle w:val="9"/>
        <w:widowControl/>
        <w:shd w:val="clear" w:color="auto" w:fill="FFFFFF"/>
        <w:spacing w:before="120" w:beforeAutospacing="0" w:after="120" w:afterAutospacing="0" w:line="360" w:lineRule="auto"/>
        <w:ind w:firstLine="482" w:firstLineChars="200"/>
        <w:rPr>
          <w:rFonts w:hint="eastAsia" w:ascii="宋体" w:hAnsi="宋体" w:cs="宋体"/>
          <w:color w:val="0F1115"/>
        </w:rPr>
      </w:pPr>
      <w:r>
        <w:rPr>
          <w:rStyle w:val="12"/>
          <w:rFonts w:hint="eastAsia" w:ascii="宋体" w:hAnsi="宋体" w:cs="宋体"/>
          <w:bCs/>
          <w:color w:val="0F1115"/>
          <w:shd w:val="clear" w:color="auto" w:fill="FFFFFF"/>
        </w:rPr>
        <w:t>附注</w:t>
      </w:r>
      <w:r>
        <w:rPr>
          <w:rFonts w:hint="eastAsia" w:ascii="宋体" w:hAnsi="宋体" w:cs="宋体"/>
          <w:color w:val="0F1115"/>
          <w:shd w:val="clear" w:color="auto" w:fill="FFFFFF"/>
        </w:rPr>
        <w:t>：（1）JAK抑制剂使用前需充分评估心血管事件、血栓栓塞性事件和恶性肿瘤病史。2025年EULAR指南指出，在csDMARDs应答不足后可考虑加用JAK抑制剂，但必须强调严格的风险筛选。（2）APLAR 2025推荐：如有风险因素，JAK抑制剂仍可选用，但应优先考虑IL-6抑制剂。（3）对无上述风险的RA患者，JAK抑制剂可作为一种有效治疗策略，尤其适用于对MTX和bDMARDs应答不佳或不耐受者。</w:t>
      </w:r>
    </w:p>
    <w:p w14:paraId="294EF1B7">
      <w:pPr>
        <w:pStyle w:val="2"/>
        <w:keepNext/>
        <w:keepLines/>
        <w:spacing w:before="10" w:beforeAutospacing="0" w:after="10" w:afterAutospacing="0" w:line="360" w:lineRule="auto"/>
        <w:jc w:val="center"/>
        <w:rPr>
          <w:rFonts w:ascii="黑体" w:hAnsi="黑体" w:eastAsia="黑体" w:cs="黑体"/>
          <w:b w:val="0"/>
          <w:sz w:val="21"/>
          <w:szCs w:val="21"/>
        </w:rPr>
      </w:pPr>
      <w:r>
        <w:rPr>
          <w:rFonts w:ascii="黑体" w:hAnsi="黑体" w:eastAsia="黑体" w:cs="黑体"/>
          <w:b w:val="0"/>
          <w:sz w:val="21"/>
          <w:szCs w:val="21"/>
        </w:rPr>
        <w:t>附录E</w:t>
      </w:r>
    </w:p>
    <w:p w14:paraId="6F8C0D76">
      <w:pPr>
        <w:pStyle w:val="2"/>
        <w:keepNext/>
        <w:keepLines/>
        <w:spacing w:before="10" w:beforeAutospacing="0" w:after="10" w:afterAutospacing="0" w:line="360" w:lineRule="auto"/>
        <w:jc w:val="center"/>
        <w:rPr>
          <w:rFonts w:ascii="黑体" w:hAnsi="黑体" w:eastAsia="黑体" w:cs="黑体"/>
          <w:b w:val="0"/>
          <w:sz w:val="21"/>
          <w:szCs w:val="21"/>
        </w:rPr>
      </w:pPr>
      <w:r>
        <w:rPr>
          <w:rFonts w:ascii="黑体" w:hAnsi="黑体" w:eastAsia="黑体" w:cs="黑体"/>
          <w:b w:val="0"/>
          <w:sz w:val="21"/>
          <w:szCs w:val="21"/>
        </w:rPr>
        <w:t>（资料性）</w:t>
      </w:r>
    </w:p>
    <w:p w14:paraId="5F51E241">
      <w:pPr>
        <w:pStyle w:val="2"/>
        <w:keepNext/>
        <w:keepLines/>
        <w:spacing w:before="10" w:beforeAutospacing="0" w:after="10" w:afterAutospacing="0" w:line="360" w:lineRule="auto"/>
        <w:jc w:val="center"/>
        <w:rPr>
          <w:rFonts w:ascii="黑体" w:hAnsi="黑体" w:eastAsia="黑体" w:cs="黑体"/>
          <w:b w:val="0"/>
          <w:sz w:val="21"/>
          <w:szCs w:val="21"/>
        </w:rPr>
      </w:pPr>
      <w:r>
        <w:rPr>
          <w:rFonts w:ascii="黑体" w:hAnsi="黑体" w:eastAsia="黑体" w:cs="黑体"/>
          <w:b w:val="0"/>
          <w:sz w:val="21"/>
          <w:szCs w:val="21"/>
        </w:rPr>
        <w:t>常见风湿骨病中西医结合临床诊疗指南 类风湿关节炎诊疗指南流程图</w:t>
      </w:r>
    </w:p>
    <w:p w14:paraId="6FCC32FE">
      <w:pPr>
        <w:pStyle w:val="9"/>
        <w:widowControl/>
        <w:shd w:val="clear" w:color="auto" w:fill="FFFFFF"/>
        <w:spacing w:before="120" w:beforeAutospacing="0" w:after="120" w:afterAutospacing="0" w:line="360" w:lineRule="auto"/>
        <w:ind w:firstLine="482" w:firstLineChars="200"/>
        <w:rPr>
          <w:rStyle w:val="12"/>
          <w:rFonts w:hint="eastAsia" w:ascii="宋体" w:hAnsi="宋体" w:cs="宋体"/>
          <w:bCs/>
          <w:color w:val="0F1115"/>
          <w:shd w:val="clear" w:color="auto" w:fill="FFFFFF"/>
        </w:rPr>
      </w:pPr>
    </w:p>
    <w:p w14:paraId="2714E16D">
      <w:pPr>
        <w:pStyle w:val="9"/>
        <w:widowControl/>
        <w:shd w:val="clear" w:color="auto" w:fill="FFFFFF"/>
        <w:spacing w:before="120" w:beforeAutospacing="0" w:after="120" w:afterAutospacing="0" w:line="360" w:lineRule="auto"/>
        <w:ind w:firstLine="482" w:firstLineChars="200"/>
        <w:rPr>
          <w:rStyle w:val="12"/>
          <w:rFonts w:hint="eastAsia" w:ascii="宋体" w:hAnsi="宋体" w:cs="宋体"/>
          <w:bCs/>
          <w:color w:val="0F1115"/>
          <w:shd w:val="clear" w:color="auto" w:fill="FFFFFF"/>
        </w:rPr>
      </w:pPr>
      <w:r>
        <w:rPr>
          <w:rStyle w:val="12"/>
          <w:rFonts w:hint="eastAsia" w:ascii="宋体" w:hAnsi="宋体" w:cs="宋体"/>
          <w:bCs/>
          <w:color w:val="0F1115"/>
          <w:shd w:val="clear" w:color="auto" w:fill="FFFFFF"/>
        </w:rPr>
        <w:t>图E.1 类风湿关节炎（RA）中西医结合诊疗流程图</w:t>
      </w:r>
    </w:p>
    <w:p w14:paraId="3AC395A6">
      <w:pPr>
        <w:pStyle w:val="9"/>
        <w:widowControl/>
        <w:shd w:val="clear" w:color="auto" w:fill="FFFFFF"/>
        <w:spacing w:before="120" w:beforeAutospacing="0" w:after="120" w:afterAutospacing="0" w:line="360" w:lineRule="auto"/>
        <w:ind w:firstLine="482" w:firstLineChars="200"/>
        <w:rPr>
          <w:rStyle w:val="12"/>
          <w:rFonts w:hint="eastAsia" w:ascii="宋体" w:hAnsi="宋体" w:cs="宋体"/>
          <w:bCs/>
          <w:color w:val="0F1115"/>
          <w:shd w:val="clear" w:color="auto" w:fill="FFFFFF"/>
        </w:rPr>
      </w:pPr>
    </w:p>
    <w:p w14:paraId="2EF41FC2">
      <w:pPr>
        <w:pStyle w:val="9"/>
        <w:widowControl/>
        <w:shd w:val="clear" w:color="auto" w:fill="FFFFFF"/>
        <w:spacing w:before="120" w:beforeAutospacing="0" w:after="120" w:afterAutospacing="0" w:line="360" w:lineRule="auto"/>
        <w:ind w:firstLine="482" w:firstLineChars="200"/>
        <w:rPr>
          <w:rStyle w:val="12"/>
          <w:rFonts w:hint="eastAsia" w:ascii="宋体" w:hAnsi="宋体" w:cs="宋体"/>
          <w:bCs/>
          <w:color w:val="0F1115"/>
          <w:shd w:val="clear" w:color="auto" w:fill="FFFFFF"/>
        </w:rPr>
      </w:pPr>
    </w:p>
    <w:p w14:paraId="1BD31326">
      <w:pPr>
        <w:pStyle w:val="9"/>
        <w:widowControl/>
        <w:shd w:val="clear" w:color="auto" w:fill="FFFFFF"/>
        <w:spacing w:before="120" w:beforeAutospacing="0" w:after="120" w:afterAutospacing="0" w:line="360" w:lineRule="auto"/>
        <w:ind w:firstLine="482" w:firstLineChars="200"/>
        <w:rPr>
          <w:rStyle w:val="12"/>
          <w:rFonts w:hint="eastAsia" w:ascii="宋体" w:hAnsi="宋体" w:cs="宋体"/>
          <w:bCs/>
          <w:color w:val="0F1115"/>
          <w:shd w:val="clear" w:color="auto" w:fill="FFFFFF"/>
        </w:rPr>
      </w:pPr>
      <w:r>
        <w:rPr>
          <w:rStyle w:val="12"/>
          <w:rFonts w:hint="eastAsia" w:ascii="宋体" w:hAnsi="宋体" w:cs="宋体"/>
          <w:bCs/>
          <w:color w:val="0F1115"/>
          <w:shd w:val="clear" w:color="auto" w:fill="FFFFFF"/>
        </w:rPr>
        <w:pict>
          <v:shape id="_x0000_i1025" o:spt="75" alt="流程图-类风湿000" type="#_x0000_t75" style="height:414.5pt;width:414.5pt;" filled="f" o:preferrelative="t" stroked="f" coordsize="21600,21600">
            <v:path/>
            <v:fill on="f" focussize="0,0"/>
            <v:stroke on="f" joinstyle="miter"/>
            <v:imagedata r:id="rId6" o:title="流程图-类风湿000"/>
            <o:lock v:ext="edit" aspectratio="t"/>
            <w10:wrap type="none"/>
            <w10:anchorlock/>
          </v:shape>
        </w:pict>
      </w:r>
    </w:p>
    <w:p w14:paraId="710DDB94">
      <w:pPr>
        <w:spacing w:line="360" w:lineRule="auto"/>
        <w:ind w:firstLine="480" w:firstLineChars="200"/>
        <w:rPr>
          <w:rFonts w:hint="eastAsia" w:ascii="宋体" w:hAnsi="宋体" w:cs="宋体"/>
          <w:sz w:val="24"/>
        </w:rPr>
      </w:pPr>
    </w:p>
    <w:p w14:paraId="118E7822">
      <w:pPr>
        <w:spacing w:line="360" w:lineRule="auto"/>
        <w:ind w:firstLine="480" w:firstLineChars="200"/>
        <w:rPr>
          <w:rFonts w:hint="eastAsia" w:ascii="宋体" w:hAnsi="宋体" w:cs="宋体"/>
          <w:sz w:val="24"/>
        </w:rPr>
      </w:pPr>
    </w:p>
    <w:p w14:paraId="09FAB651">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120" w:beforeAutospacing="0" w:after="120" w:afterAutospacing="0" w:line="360" w:lineRule="auto"/>
        <w:ind w:left="0" w:right="0" w:firstLine="482" w:firstLineChars="200"/>
        <w:textAlignment w:val="auto"/>
        <w:rPr>
          <w:rFonts w:hint="eastAsia" w:ascii="宋体" w:hAnsi="宋体" w:eastAsia="宋体" w:cs="宋体"/>
          <w:i w:val="0"/>
          <w:iCs w:val="0"/>
          <w:caps w:val="0"/>
          <w:color w:val="0F1115"/>
          <w:spacing w:val="0"/>
          <w:sz w:val="24"/>
          <w:szCs w:val="24"/>
        </w:rPr>
      </w:pPr>
      <w:r>
        <w:rPr>
          <w:rStyle w:val="12"/>
          <w:rFonts w:hint="eastAsia" w:ascii="宋体" w:hAnsi="宋体" w:eastAsia="宋体" w:cs="宋体"/>
          <w:b/>
          <w:bCs/>
          <w:i w:val="0"/>
          <w:iCs w:val="0"/>
          <w:caps w:val="0"/>
          <w:color w:val="0F1115"/>
          <w:spacing w:val="0"/>
          <w:sz w:val="24"/>
          <w:szCs w:val="24"/>
          <w:shd w:val="clear" w:color="auto" w:fill="FFFFFF"/>
        </w:rPr>
        <w:t>图E.2 类风湿关节炎中西医结合治疗方案概要</w:t>
      </w:r>
    </w:p>
    <w:tbl>
      <w:tblPr>
        <w:tblStyle w:val="10"/>
        <w:tblW w:w="987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15" w:type="dxa"/>
          <w:left w:w="15" w:type="dxa"/>
          <w:bottom w:w="15" w:type="dxa"/>
          <w:right w:w="15" w:type="dxa"/>
        </w:tblCellMar>
      </w:tblPr>
      <w:tblGrid>
        <w:gridCol w:w="1353"/>
        <w:gridCol w:w="2670"/>
        <w:gridCol w:w="2825"/>
        <w:gridCol w:w="3030"/>
      </w:tblGrid>
      <w:tr w14:paraId="66E50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Header/>
          <w:jc w:val="center"/>
        </w:trPr>
        <w:tc>
          <w:tcPr>
            <w:tcBorders>
              <w:top w:val="single" w:color="auto" w:sz="12" w:space="0"/>
              <w:left w:val="nil"/>
              <w:bottom w:val="nil"/>
              <w:right w:val="nil"/>
            </w:tcBorders>
            <w:noWrap w:val="0"/>
            <w:tcMar>
              <w:top w:w="75" w:type="dxa"/>
              <w:left w:w="-1" w:type="dxa"/>
              <w:bottom w:w="75" w:type="dxa"/>
              <w:right w:w="120" w:type="dxa"/>
            </w:tcMar>
            <w:vAlign w:val="center"/>
          </w:tcPr>
          <w:p w14:paraId="66002477">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sz w:val="24"/>
                <w:szCs w:val="24"/>
              </w:rPr>
            </w:pPr>
            <w:r>
              <w:rPr>
                <w:rStyle w:val="12"/>
                <w:rFonts w:hint="eastAsia" w:ascii="宋体" w:hAnsi="宋体" w:eastAsia="宋体" w:cs="宋体"/>
                <w:b/>
                <w:bCs/>
                <w:kern w:val="0"/>
                <w:sz w:val="24"/>
                <w:szCs w:val="24"/>
                <w:lang w:val="en-US" w:eastAsia="zh-CN" w:bidi="ar"/>
              </w:rPr>
              <w:t>分期/分类</w:t>
            </w:r>
          </w:p>
        </w:tc>
        <w:tc>
          <w:tcPr>
            <w:tcW w:w="2670" w:type="dxa"/>
            <w:tcBorders>
              <w:top w:val="single" w:color="auto" w:sz="12" w:space="0"/>
              <w:left w:val="nil"/>
              <w:bottom w:val="nil"/>
              <w:right w:val="nil"/>
            </w:tcBorders>
            <w:noWrap w:val="0"/>
            <w:tcMar>
              <w:top w:w="75" w:type="dxa"/>
              <w:left w:w="120" w:type="dxa"/>
              <w:bottom w:w="75" w:type="dxa"/>
              <w:right w:w="120" w:type="dxa"/>
            </w:tcMar>
            <w:vAlign w:val="center"/>
          </w:tcPr>
          <w:p w14:paraId="2C3DE96F">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sz w:val="24"/>
                <w:szCs w:val="24"/>
              </w:rPr>
            </w:pPr>
            <w:r>
              <w:rPr>
                <w:rStyle w:val="12"/>
                <w:rFonts w:hint="eastAsia" w:ascii="宋体" w:hAnsi="宋体" w:eastAsia="宋体" w:cs="宋体"/>
                <w:b/>
                <w:bCs/>
                <w:kern w:val="0"/>
                <w:sz w:val="24"/>
                <w:szCs w:val="24"/>
                <w:lang w:val="en-US" w:eastAsia="zh-CN" w:bidi="ar"/>
              </w:rPr>
              <w:t>中西医结合要点</w:t>
            </w:r>
          </w:p>
        </w:tc>
        <w:tc>
          <w:tcPr>
            <w:tcBorders>
              <w:top w:val="single" w:color="auto" w:sz="12" w:space="0"/>
              <w:left w:val="nil"/>
              <w:bottom w:val="nil"/>
              <w:right w:val="nil"/>
            </w:tcBorders>
            <w:noWrap w:val="0"/>
            <w:tcMar>
              <w:top w:w="75" w:type="dxa"/>
              <w:left w:w="120" w:type="dxa"/>
              <w:bottom w:w="75" w:type="dxa"/>
              <w:right w:w="120" w:type="dxa"/>
            </w:tcMar>
            <w:vAlign w:val="center"/>
          </w:tcPr>
          <w:p w14:paraId="2070143F">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sz w:val="24"/>
                <w:szCs w:val="24"/>
              </w:rPr>
            </w:pPr>
            <w:r>
              <w:rPr>
                <w:rStyle w:val="12"/>
                <w:rFonts w:hint="eastAsia" w:ascii="宋体" w:hAnsi="宋体" w:eastAsia="宋体" w:cs="宋体"/>
                <w:b/>
                <w:bCs/>
                <w:kern w:val="0"/>
                <w:sz w:val="24"/>
                <w:szCs w:val="24"/>
                <w:lang w:val="en-US" w:eastAsia="zh-CN" w:bidi="ar"/>
              </w:rPr>
              <w:t>西医核心治疗/监测</w:t>
            </w:r>
          </w:p>
        </w:tc>
        <w:tc>
          <w:tcPr>
            <w:tcW w:w="3030" w:type="dxa"/>
            <w:tcBorders>
              <w:top w:val="single" w:color="auto" w:sz="12" w:space="0"/>
              <w:left w:val="nil"/>
              <w:bottom w:val="nil"/>
              <w:right w:val="nil"/>
            </w:tcBorders>
            <w:noWrap w:val="0"/>
            <w:tcMar>
              <w:top w:w="75" w:type="dxa"/>
              <w:left w:w="120" w:type="dxa"/>
              <w:bottom w:w="75" w:type="dxa"/>
              <w:right w:w="120" w:type="dxa"/>
            </w:tcMar>
            <w:vAlign w:val="center"/>
          </w:tcPr>
          <w:p w14:paraId="21FB196C">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sz w:val="24"/>
                <w:szCs w:val="24"/>
              </w:rPr>
            </w:pPr>
            <w:r>
              <w:rPr>
                <w:rStyle w:val="12"/>
                <w:rFonts w:hint="eastAsia" w:ascii="宋体" w:hAnsi="宋体" w:eastAsia="宋体" w:cs="宋体"/>
                <w:b/>
                <w:bCs/>
                <w:kern w:val="0"/>
                <w:sz w:val="24"/>
                <w:szCs w:val="24"/>
                <w:lang w:val="en-US" w:eastAsia="zh-CN" w:bidi="ar"/>
              </w:rPr>
              <w:t>中医干预</w:t>
            </w:r>
          </w:p>
        </w:tc>
      </w:tr>
      <w:tr w14:paraId="10802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Borders>
              <w:top w:val="single" w:color="auto" w:sz="4" w:space="0"/>
              <w:left w:val="nil"/>
              <w:bottom w:val="nil"/>
              <w:right w:val="nil"/>
            </w:tcBorders>
            <w:noWrap w:val="0"/>
            <w:tcMar>
              <w:top w:w="75" w:type="dxa"/>
              <w:left w:w="-1" w:type="dxa"/>
              <w:bottom w:w="75" w:type="dxa"/>
              <w:right w:w="120" w:type="dxa"/>
            </w:tcMar>
            <w:vAlign w:val="center"/>
          </w:tcPr>
          <w:p w14:paraId="182ACC79">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sz w:val="24"/>
                <w:szCs w:val="24"/>
              </w:rPr>
            </w:pPr>
            <w:r>
              <w:rPr>
                <w:rStyle w:val="12"/>
                <w:rFonts w:hint="eastAsia" w:ascii="宋体" w:hAnsi="宋体" w:eastAsia="宋体" w:cs="宋体"/>
                <w:b/>
                <w:bCs/>
                <w:kern w:val="0"/>
                <w:sz w:val="24"/>
                <w:szCs w:val="24"/>
                <w:lang w:val="en-US" w:eastAsia="zh-CN" w:bidi="ar"/>
              </w:rPr>
              <w:t>活动期</w:t>
            </w:r>
          </w:p>
        </w:tc>
        <w:tc>
          <w:tcPr>
            <w:tcW w:w="2670" w:type="dxa"/>
            <w:tcBorders>
              <w:top w:val="single" w:color="auto" w:sz="4" w:space="0"/>
              <w:left w:val="nil"/>
              <w:bottom w:val="nil"/>
              <w:right w:val="nil"/>
            </w:tcBorders>
            <w:noWrap w:val="0"/>
            <w:tcMar>
              <w:top w:w="75" w:type="dxa"/>
              <w:left w:w="120" w:type="dxa"/>
              <w:bottom w:w="75" w:type="dxa"/>
              <w:right w:w="120" w:type="dxa"/>
            </w:tcMar>
            <w:vAlign w:val="center"/>
          </w:tcPr>
          <w:p w14:paraId="7019EBE6">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DAS28&gt;3.2，ESR/CRP升高，中医多属湿热蕴结证、寒湿阻络证或寒热错杂证</w:t>
            </w:r>
          </w:p>
        </w:tc>
        <w:tc>
          <w:tcPr>
            <w:tcBorders>
              <w:top w:val="single" w:color="auto" w:sz="4" w:space="0"/>
              <w:left w:val="nil"/>
              <w:bottom w:val="nil"/>
              <w:right w:val="nil"/>
            </w:tcBorders>
            <w:noWrap w:val="0"/>
            <w:tcMar>
              <w:top w:w="75" w:type="dxa"/>
              <w:left w:w="120" w:type="dxa"/>
              <w:bottom w:w="75" w:type="dxa"/>
              <w:right w:w="120" w:type="dxa"/>
            </w:tcMar>
            <w:vAlign w:val="center"/>
          </w:tcPr>
          <w:p w14:paraId="644D79A2">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csDMARDs（首选MTX，不耐受者可换用LEF或SSZ），可根据疾病活动度短期联合小剂量GC（≤15mg/d泼尼松当量，疗程≤3个月）</w:t>
            </w:r>
          </w:p>
        </w:tc>
        <w:tc>
          <w:tcPr>
            <w:tcW w:w="3030" w:type="dxa"/>
            <w:tcBorders>
              <w:top w:val="single" w:color="auto" w:sz="4" w:space="0"/>
              <w:left w:val="nil"/>
              <w:bottom w:val="nil"/>
              <w:right w:val="nil"/>
            </w:tcBorders>
            <w:noWrap w:val="0"/>
            <w:tcMar>
              <w:top w:w="75" w:type="dxa"/>
              <w:left w:w="120" w:type="dxa"/>
              <w:bottom w:w="75" w:type="dxa"/>
              <w:right w:w="-1" w:type="dxa"/>
            </w:tcMar>
            <w:vAlign w:val="center"/>
          </w:tcPr>
          <w:p w14:paraId="01D21D9A">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清热利湿、祛风散寒、通络止痛。主方四妙丸、蠲痹汤、桂枝白芍药知母汤等加减，针灸、中药熏洗或离子导入、艾灸（温针灸）治痹</w:t>
            </w:r>
          </w:p>
        </w:tc>
      </w:tr>
      <w:tr w14:paraId="7B897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Borders>
              <w:top w:val="nil"/>
              <w:left w:val="nil"/>
              <w:bottom w:val="nil"/>
              <w:right w:val="nil"/>
            </w:tcBorders>
            <w:noWrap w:val="0"/>
            <w:tcMar>
              <w:top w:w="75" w:type="dxa"/>
              <w:left w:w="-1" w:type="dxa"/>
              <w:bottom w:w="75" w:type="dxa"/>
              <w:right w:w="120" w:type="dxa"/>
            </w:tcMar>
            <w:vAlign w:val="center"/>
          </w:tcPr>
          <w:p w14:paraId="3F619536">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sz w:val="24"/>
                <w:szCs w:val="24"/>
              </w:rPr>
            </w:pPr>
            <w:r>
              <w:rPr>
                <w:rStyle w:val="12"/>
                <w:rFonts w:hint="eastAsia" w:ascii="宋体" w:hAnsi="宋体" w:eastAsia="宋体" w:cs="宋体"/>
                <w:b/>
                <w:bCs/>
                <w:kern w:val="0"/>
                <w:sz w:val="24"/>
                <w:szCs w:val="24"/>
                <w:lang w:val="en-US" w:eastAsia="zh-CN" w:bidi="ar"/>
              </w:rPr>
              <w:t>缓解期</w:t>
            </w:r>
          </w:p>
        </w:tc>
        <w:tc>
          <w:tcPr>
            <w:tcW w:w="2670" w:type="dxa"/>
            <w:tcBorders>
              <w:top w:val="nil"/>
              <w:left w:val="nil"/>
              <w:bottom w:val="nil"/>
              <w:right w:val="nil"/>
            </w:tcBorders>
            <w:noWrap w:val="0"/>
            <w:tcMar>
              <w:top w:w="75" w:type="dxa"/>
              <w:left w:w="120" w:type="dxa"/>
              <w:bottom w:w="75" w:type="dxa"/>
              <w:right w:w="120" w:type="dxa"/>
            </w:tcMar>
            <w:vAlign w:val="center"/>
          </w:tcPr>
          <w:p w14:paraId="2E493A83">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DAS28≤3.2，CDAI≤10，SDAI≤11，晨僵缓解。中医多属痰瘀痹阻证、肝肾亏虚、气血不足</w:t>
            </w:r>
          </w:p>
        </w:tc>
        <w:tc>
          <w:tcPr>
            <w:tcBorders>
              <w:top w:val="nil"/>
              <w:left w:val="nil"/>
              <w:bottom w:val="nil"/>
              <w:right w:val="nil"/>
            </w:tcBorders>
            <w:noWrap w:val="0"/>
            <w:tcMar>
              <w:top w:w="75" w:type="dxa"/>
              <w:left w:w="120" w:type="dxa"/>
              <w:bottom w:w="75" w:type="dxa"/>
              <w:right w:w="120" w:type="dxa"/>
            </w:tcMar>
            <w:vAlign w:val="center"/>
          </w:tcPr>
          <w:p w14:paraId="52A9989F">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csDMARDs维持；若持续缓解&gt;6个月可考虑b/tsDMARDs减量，但必须长期维持DMARDs治疗</w:t>
            </w:r>
          </w:p>
        </w:tc>
        <w:tc>
          <w:tcPr>
            <w:tcW w:w="3030" w:type="dxa"/>
            <w:tcBorders>
              <w:top w:val="nil"/>
              <w:left w:val="nil"/>
              <w:bottom w:val="nil"/>
              <w:right w:val="nil"/>
            </w:tcBorders>
            <w:noWrap w:val="0"/>
            <w:tcMar>
              <w:top w:w="75" w:type="dxa"/>
              <w:left w:w="120" w:type="dxa"/>
              <w:bottom w:w="75" w:type="dxa"/>
              <w:right w:w="-1" w:type="dxa"/>
            </w:tcMar>
            <w:vAlign w:val="center"/>
          </w:tcPr>
          <w:p w14:paraId="0C35B4E9">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化痰祛瘀，补益肝肾，益气养血。主方桃红饮、独活寄生汤、当归补血汤，配合八段锦、太极拳、推拿等康复训练</w:t>
            </w:r>
          </w:p>
        </w:tc>
      </w:tr>
      <w:tr w14:paraId="50D00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Borders>
              <w:top w:val="nil"/>
              <w:left w:val="nil"/>
              <w:bottom w:val="nil"/>
              <w:right w:val="nil"/>
            </w:tcBorders>
            <w:noWrap w:val="0"/>
            <w:tcMar>
              <w:top w:w="75" w:type="dxa"/>
              <w:left w:w="-1" w:type="dxa"/>
              <w:bottom w:w="75" w:type="dxa"/>
              <w:right w:w="120" w:type="dxa"/>
            </w:tcMar>
            <w:vAlign w:val="center"/>
          </w:tcPr>
          <w:p w14:paraId="5E21C98F">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sz w:val="24"/>
                <w:szCs w:val="24"/>
              </w:rPr>
            </w:pPr>
            <w:r>
              <w:rPr>
                <w:rStyle w:val="12"/>
                <w:rFonts w:hint="eastAsia" w:ascii="宋体" w:hAnsi="宋体" w:eastAsia="宋体" w:cs="宋体"/>
                <w:b/>
                <w:bCs/>
                <w:kern w:val="0"/>
                <w:sz w:val="24"/>
                <w:szCs w:val="24"/>
                <w:lang w:val="en-US" w:eastAsia="zh-CN" w:bidi="ar"/>
              </w:rPr>
              <w:t>难治性RA（D2T RA）</w:t>
            </w:r>
          </w:p>
        </w:tc>
        <w:tc>
          <w:tcPr>
            <w:tcW w:w="2670" w:type="dxa"/>
            <w:tcBorders>
              <w:top w:val="nil"/>
              <w:left w:val="nil"/>
              <w:bottom w:val="nil"/>
              <w:right w:val="nil"/>
            </w:tcBorders>
            <w:noWrap w:val="0"/>
            <w:tcMar>
              <w:top w:w="75" w:type="dxa"/>
              <w:left w:w="120" w:type="dxa"/>
              <w:bottom w:w="75" w:type="dxa"/>
              <w:right w:w="120" w:type="dxa"/>
            </w:tcMar>
            <w:vAlign w:val="center"/>
          </w:tcPr>
          <w:p w14:paraId="305D163B">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csDMARDs及≥2种b/tsDMARDs充分治疗后仍处于中高活动度，需多学科团队共同管理</w:t>
            </w:r>
          </w:p>
        </w:tc>
        <w:tc>
          <w:tcPr>
            <w:tcBorders>
              <w:top w:val="nil"/>
              <w:left w:val="nil"/>
              <w:bottom w:val="nil"/>
              <w:right w:val="nil"/>
            </w:tcBorders>
            <w:noWrap w:val="0"/>
            <w:tcMar>
              <w:top w:w="75" w:type="dxa"/>
              <w:left w:w="120" w:type="dxa"/>
              <w:bottom w:w="75" w:type="dxa"/>
              <w:right w:w="120" w:type="dxa"/>
            </w:tcMar>
            <w:vAlign w:val="center"/>
          </w:tcPr>
          <w:p w14:paraId="635F8E94">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重新评估活动性、排除合并感染/纤维肌痛。调整用药（IL-6Ri、JAKi、RTX等），个体化靶向治疗</w:t>
            </w:r>
          </w:p>
        </w:tc>
        <w:tc>
          <w:tcPr>
            <w:tcW w:w="3030" w:type="dxa"/>
            <w:tcBorders>
              <w:top w:val="nil"/>
              <w:left w:val="nil"/>
              <w:bottom w:val="nil"/>
              <w:right w:val="nil"/>
            </w:tcBorders>
            <w:noWrap w:val="0"/>
            <w:tcMar>
              <w:top w:w="75" w:type="dxa"/>
              <w:left w:w="120" w:type="dxa"/>
              <w:bottom w:w="75" w:type="dxa"/>
              <w:right w:w="-1" w:type="dxa"/>
            </w:tcMar>
            <w:vAlign w:val="center"/>
          </w:tcPr>
          <w:p w14:paraId="5C447DBF">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辨证调整中药联合治疗，针灸、艾灸治痹法及功能康复训练，必要时引入免疫吸附或临床试验</w:t>
            </w:r>
          </w:p>
        </w:tc>
      </w:tr>
      <w:tr w14:paraId="27D23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353" w:type="dxa"/>
            <w:tcBorders>
              <w:top w:val="nil"/>
              <w:left w:val="nil"/>
              <w:bottom w:val="single" w:color="auto" w:sz="12" w:space="0"/>
              <w:right w:val="nil"/>
            </w:tcBorders>
            <w:noWrap w:val="0"/>
            <w:tcMar>
              <w:top w:w="75" w:type="dxa"/>
              <w:left w:w="-1" w:type="dxa"/>
              <w:bottom w:w="75" w:type="dxa"/>
              <w:right w:w="120" w:type="dxa"/>
            </w:tcMar>
            <w:vAlign w:val="center"/>
          </w:tcPr>
          <w:p w14:paraId="206EF0B0">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sz w:val="24"/>
                <w:szCs w:val="24"/>
              </w:rPr>
            </w:pPr>
            <w:r>
              <w:rPr>
                <w:rStyle w:val="12"/>
                <w:rFonts w:hint="eastAsia" w:ascii="宋体" w:hAnsi="宋体" w:eastAsia="宋体" w:cs="宋体"/>
                <w:b/>
                <w:bCs/>
                <w:kern w:val="0"/>
                <w:sz w:val="24"/>
                <w:szCs w:val="24"/>
                <w:lang w:val="en-US" w:eastAsia="zh-CN" w:bidi="ar"/>
              </w:rPr>
              <w:t>关节畸形/功能丧失</w:t>
            </w:r>
          </w:p>
        </w:tc>
        <w:tc>
          <w:tcPr>
            <w:tcW w:w="2670" w:type="dxa"/>
            <w:tcBorders>
              <w:top w:val="nil"/>
              <w:left w:val="nil"/>
              <w:bottom w:val="single" w:color="auto" w:sz="12" w:space="0"/>
              <w:right w:val="nil"/>
            </w:tcBorders>
            <w:noWrap w:val="0"/>
            <w:tcMar>
              <w:top w:w="75" w:type="dxa"/>
              <w:left w:w="120" w:type="dxa"/>
              <w:bottom w:w="75" w:type="dxa"/>
              <w:right w:w="120" w:type="dxa"/>
            </w:tcMar>
            <w:vAlign w:val="center"/>
          </w:tcPr>
          <w:p w14:paraId="033E34AF">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长期或晚期RA，影像学显示骨侵蚀及关节间隙严重狭窄</w:t>
            </w:r>
          </w:p>
        </w:tc>
        <w:tc>
          <w:tcPr>
            <w:tcW w:w="2825" w:type="dxa"/>
            <w:tcBorders>
              <w:top w:val="nil"/>
              <w:left w:val="nil"/>
              <w:bottom w:val="single" w:color="auto" w:sz="12" w:space="0"/>
              <w:right w:val="nil"/>
            </w:tcBorders>
            <w:noWrap w:val="0"/>
            <w:tcMar>
              <w:top w:w="75" w:type="dxa"/>
              <w:left w:w="120" w:type="dxa"/>
              <w:bottom w:w="75" w:type="dxa"/>
              <w:right w:w="120" w:type="dxa"/>
            </w:tcMar>
            <w:vAlign w:val="center"/>
          </w:tcPr>
          <w:p w14:paraId="1174FD74">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DAS28可能已达标但关节不可逆破坏。csDMARDs联合生物制剂（TNFi或IL-6Ri）或JAKi，必要时外科手术（关节置换、滑膜切除术）</w:t>
            </w:r>
          </w:p>
        </w:tc>
        <w:tc>
          <w:tcPr>
            <w:tcW w:w="3030" w:type="dxa"/>
            <w:tcBorders>
              <w:top w:val="nil"/>
              <w:left w:val="nil"/>
              <w:bottom w:val="single" w:color="auto" w:sz="12" w:space="0"/>
              <w:right w:val="nil"/>
            </w:tcBorders>
            <w:noWrap w:val="0"/>
            <w:tcMar>
              <w:top w:w="75" w:type="dxa"/>
              <w:left w:w="120" w:type="dxa"/>
              <w:bottom w:w="75" w:type="dxa"/>
              <w:right w:w="-1" w:type="dxa"/>
            </w:tcMar>
            <w:vAlign w:val="center"/>
          </w:tcPr>
          <w:p w14:paraId="639D1C2B">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中药内服（补益肝肾、活血通络为主）+药浴+针灸+康复训练（作业治疗/关节保护）；长期管理避免废用萎缩。</w:t>
            </w:r>
          </w:p>
        </w:tc>
      </w:tr>
    </w:tbl>
    <w:p w14:paraId="5742B6EC">
      <w:pPr>
        <w:spacing w:line="360" w:lineRule="auto"/>
        <w:ind w:firstLine="480" w:firstLineChars="200"/>
        <w:rPr>
          <w:rFonts w:hint="eastAsia" w:ascii="宋体" w:hAnsi="宋体" w:cs="宋体"/>
          <w:sz w:val="24"/>
        </w:rPr>
      </w:pPr>
    </w:p>
    <w:p w14:paraId="3D86386D">
      <w:pPr>
        <w:ind w:firstLine="420" w:firstLineChars="200"/>
        <w:jc w:val="center"/>
        <w:rPr>
          <w:rFonts w:hint="eastAsia" w:ascii="黑体" w:hAnsi="黑体" w:eastAsia="黑体"/>
        </w:rPr>
      </w:pPr>
    </w:p>
    <w:p w14:paraId="79A9862D">
      <w:pPr>
        <w:ind w:firstLine="420" w:firstLineChars="200"/>
        <w:jc w:val="center"/>
        <w:rPr>
          <w:rFonts w:hint="eastAsia" w:ascii="黑体" w:hAnsi="黑体" w:eastAsia="黑体"/>
        </w:rPr>
      </w:pPr>
    </w:p>
    <w:p w14:paraId="60FA7093">
      <w:pPr>
        <w:ind w:firstLine="420" w:firstLineChars="200"/>
        <w:jc w:val="center"/>
        <w:rPr>
          <w:rFonts w:hint="eastAsia" w:ascii="黑体" w:hAnsi="黑体" w:eastAsia="黑体"/>
        </w:rPr>
      </w:pPr>
    </w:p>
    <w:p w14:paraId="4FC689C2">
      <w:pPr>
        <w:ind w:firstLine="420" w:firstLineChars="200"/>
        <w:jc w:val="center"/>
        <w:rPr>
          <w:rFonts w:hint="eastAsia" w:ascii="黑体" w:hAnsi="黑体" w:eastAsia="黑体"/>
        </w:rPr>
      </w:pPr>
    </w:p>
    <w:p w14:paraId="3DB8229B">
      <w:pPr>
        <w:ind w:firstLine="420" w:firstLineChars="200"/>
        <w:jc w:val="center"/>
        <w:rPr>
          <w:rFonts w:hint="eastAsia" w:ascii="黑体" w:hAnsi="黑体" w:eastAsia="黑体"/>
        </w:rPr>
      </w:pPr>
    </w:p>
    <w:p w14:paraId="04233358">
      <w:pPr>
        <w:ind w:firstLine="420" w:firstLineChars="200"/>
        <w:jc w:val="center"/>
        <w:rPr>
          <w:rFonts w:hint="eastAsia" w:ascii="黑体" w:hAnsi="黑体" w:eastAsia="黑体"/>
        </w:rPr>
      </w:pPr>
    </w:p>
    <w:p w14:paraId="406E874A">
      <w:pPr>
        <w:ind w:firstLine="420" w:firstLineChars="200"/>
        <w:jc w:val="center"/>
        <w:rPr>
          <w:rFonts w:hint="eastAsia" w:ascii="黑体" w:hAnsi="黑体" w:eastAsia="黑体"/>
        </w:rPr>
      </w:pPr>
    </w:p>
    <w:p w14:paraId="5618667E">
      <w:pPr>
        <w:ind w:firstLine="420" w:firstLineChars="200"/>
        <w:jc w:val="center"/>
        <w:rPr>
          <w:rFonts w:hint="eastAsia" w:ascii="黑体" w:hAnsi="黑体" w:eastAsia="黑体"/>
        </w:rPr>
      </w:pPr>
    </w:p>
    <w:p w14:paraId="6ED2285D">
      <w:pPr>
        <w:ind w:firstLine="420" w:firstLineChars="200"/>
        <w:jc w:val="center"/>
        <w:rPr>
          <w:rFonts w:hint="eastAsia" w:ascii="黑体" w:hAnsi="黑体" w:eastAsia="黑体"/>
        </w:rPr>
      </w:pPr>
    </w:p>
    <w:p w14:paraId="5BF0EC45">
      <w:pPr>
        <w:ind w:firstLine="420" w:firstLineChars="200"/>
        <w:jc w:val="center"/>
        <w:rPr>
          <w:rFonts w:hint="eastAsia" w:ascii="黑体" w:hAnsi="黑体" w:eastAsia="黑体"/>
        </w:rPr>
      </w:pPr>
    </w:p>
    <w:p w14:paraId="0656C05D">
      <w:pPr>
        <w:ind w:firstLine="420" w:firstLineChars="200"/>
        <w:jc w:val="center"/>
        <w:rPr>
          <w:rFonts w:hint="eastAsia" w:ascii="黑体" w:hAnsi="黑体" w:eastAsia="黑体"/>
        </w:rPr>
      </w:pPr>
    </w:p>
    <w:p w14:paraId="3F997A55">
      <w:pPr>
        <w:ind w:firstLine="420" w:firstLineChars="200"/>
        <w:jc w:val="center"/>
        <w:rPr>
          <w:rFonts w:hint="eastAsia" w:ascii="黑体" w:hAnsi="黑体" w:eastAsia="黑体"/>
        </w:rPr>
      </w:pPr>
    </w:p>
    <w:p w14:paraId="48DA0ED4">
      <w:pPr>
        <w:ind w:firstLine="420" w:firstLineChars="200"/>
        <w:jc w:val="center"/>
        <w:rPr>
          <w:rFonts w:hint="eastAsia" w:ascii="黑体" w:hAnsi="黑体" w:eastAsia="黑体"/>
        </w:rPr>
      </w:pPr>
    </w:p>
    <w:p w14:paraId="012FF2F1">
      <w:pPr>
        <w:ind w:firstLine="420" w:firstLineChars="200"/>
        <w:jc w:val="center"/>
        <w:rPr>
          <w:rFonts w:hint="eastAsia" w:ascii="黑体" w:hAnsi="黑体" w:eastAsia="黑体"/>
        </w:rPr>
      </w:pPr>
    </w:p>
    <w:p w14:paraId="707ECEC0">
      <w:pPr>
        <w:ind w:firstLine="420" w:firstLineChars="200"/>
        <w:jc w:val="center"/>
        <w:rPr>
          <w:rFonts w:hint="eastAsia" w:ascii="黑体" w:hAnsi="黑体" w:eastAsia="黑体"/>
        </w:rPr>
      </w:pPr>
    </w:p>
    <w:p w14:paraId="2ED2A1A5">
      <w:pPr>
        <w:ind w:firstLine="420" w:firstLineChars="200"/>
        <w:jc w:val="center"/>
        <w:rPr>
          <w:rFonts w:hint="eastAsia" w:ascii="黑体" w:hAnsi="黑体" w:eastAsia="黑体"/>
        </w:rPr>
      </w:pPr>
    </w:p>
    <w:p w14:paraId="084E3C5B">
      <w:pPr>
        <w:ind w:firstLine="420" w:firstLineChars="200"/>
        <w:jc w:val="center"/>
        <w:rPr>
          <w:rFonts w:hint="eastAsia" w:ascii="黑体" w:hAnsi="黑体" w:eastAsia="黑体"/>
        </w:rPr>
      </w:pPr>
    </w:p>
    <w:p w14:paraId="4A430C70">
      <w:pPr>
        <w:ind w:firstLine="420" w:firstLineChars="200"/>
        <w:jc w:val="center"/>
        <w:rPr>
          <w:rFonts w:hint="eastAsia" w:ascii="黑体" w:hAnsi="黑体" w:eastAsia="黑体"/>
        </w:rPr>
      </w:pPr>
    </w:p>
    <w:p w14:paraId="4125723D">
      <w:pPr>
        <w:ind w:firstLine="420" w:firstLineChars="200"/>
        <w:jc w:val="center"/>
        <w:rPr>
          <w:rFonts w:hint="eastAsia" w:ascii="宋体" w:hAnsi="宋体" w:cs="宋体"/>
          <w:b/>
          <w:bCs/>
          <w:color w:val="0F1115"/>
          <w:sz w:val="24"/>
        </w:rPr>
      </w:pPr>
      <w:r>
        <w:rPr>
          <w:rFonts w:hint="eastAsia" w:ascii="黑体" w:hAnsi="黑体" w:eastAsia="黑体"/>
        </w:rPr>
        <w:t>参考文献</w:t>
      </w:r>
    </w:p>
    <w:p w14:paraId="03DA7AF2">
      <w:pPr>
        <w:keepNext w:val="0"/>
        <w:keepLines w:val="0"/>
        <w:pageBreakBefore w:val="0"/>
        <w:widowControl w:val="0"/>
        <w:kinsoku/>
        <w:wordWrap/>
        <w:overflowPunct/>
        <w:topLinePunct w:val="0"/>
        <w:autoSpaceDE w:val="0"/>
        <w:autoSpaceDN w:val="0"/>
        <w:bidi w:val="0"/>
        <w:adjustRightInd w:val="0"/>
        <w:snapToGrid/>
        <w:spacing w:line="181" w:lineRule="atLeast"/>
        <w:ind w:firstLine="360" w:firstLineChars="200"/>
        <w:jc w:val="both"/>
        <w:textAlignment w:val="auto"/>
        <w:rPr>
          <w:rFonts w:hint="eastAsia" w:ascii="Times New Roman" w:hAnsi="Times New Roman" w:eastAsia="等线" w:cs="Times New Roman"/>
          <w:color w:val="211D1E"/>
          <w:kern w:val="0"/>
          <w:sz w:val="18"/>
          <w:szCs w:val="18"/>
          <w:lang w:val="en-US" w:eastAsia="zh-CN" w:bidi="ar-SA"/>
        </w:rPr>
      </w:pPr>
      <w:r>
        <w:rPr>
          <w:rFonts w:hint="eastAsia" w:ascii="Times New Roman" w:hAnsi="Times New Roman" w:eastAsia="等线" w:cs="Times New Roman"/>
          <w:color w:val="211D1E"/>
          <w:kern w:val="0"/>
          <w:sz w:val="18"/>
          <w:szCs w:val="18"/>
          <w:lang w:val="en-US" w:eastAsia="zh-CN" w:bidi="ar-SA"/>
        </w:rPr>
        <w:t>[1]中华医学会风湿病学分会.2024中国类风湿关节炎诊疗指南.中华风湿病学杂志,2024,28(6):501-520.</w:t>
      </w:r>
      <w:r>
        <w:rPr>
          <w:rFonts w:hint="eastAsia" w:ascii="Times New Roman" w:hAnsi="Times New Roman" w:eastAsia="等线" w:cs="Times New Roman"/>
          <w:color w:val="211D1E"/>
          <w:kern w:val="0"/>
          <w:sz w:val="18"/>
          <w:szCs w:val="18"/>
          <w:lang w:val="en-US" w:eastAsia="zh-CN" w:bidi="ar-SA"/>
        </w:rPr>
        <w:fldChar w:fldCharType="begin"/>
      </w:r>
      <w:r>
        <w:rPr>
          <w:rFonts w:hint="eastAsia" w:ascii="Times New Roman" w:hAnsi="Times New Roman" w:eastAsia="等线" w:cs="Times New Roman"/>
          <w:color w:val="211D1E"/>
          <w:kern w:val="0"/>
          <w:sz w:val="18"/>
          <w:szCs w:val="18"/>
          <w:lang w:val="en-US" w:eastAsia="zh-CN" w:bidi="ar-SA"/>
        </w:rPr>
        <w:instrText xml:space="preserve"> HYPERLINK "https://m.medlive.cn/cms/research/227487" \t "https://chat.deepseek.com/a/chat/s/_blank" </w:instrText>
      </w:r>
      <w:r>
        <w:rPr>
          <w:rFonts w:hint="eastAsia" w:ascii="Times New Roman" w:hAnsi="Times New Roman" w:eastAsia="等线" w:cs="Times New Roman"/>
          <w:color w:val="211D1E"/>
          <w:kern w:val="0"/>
          <w:sz w:val="18"/>
          <w:szCs w:val="18"/>
          <w:lang w:val="en-US" w:eastAsia="zh-CN" w:bidi="ar-SA"/>
        </w:rPr>
        <w:fldChar w:fldCharType="separate"/>
      </w:r>
      <w:r>
        <w:rPr>
          <w:rFonts w:hint="eastAsia" w:ascii="Times New Roman" w:hAnsi="Times New Roman" w:eastAsia="等线" w:cs="Times New Roman"/>
          <w:color w:val="211D1E"/>
          <w:kern w:val="0"/>
          <w:sz w:val="18"/>
          <w:szCs w:val="18"/>
          <w:lang w:val="en-US" w:eastAsia="zh-CN" w:bidi="ar-SA"/>
        </w:rPr>
        <w:fldChar w:fldCharType="end"/>
      </w:r>
    </w:p>
    <w:p w14:paraId="4BFD0C56">
      <w:pPr>
        <w:keepNext w:val="0"/>
        <w:keepLines w:val="0"/>
        <w:pageBreakBefore w:val="0"/>
        <w:widowControl w:val="0"/>
        <w:kinsoku/>
        <w:wordWrap/>
        <w:overflowPunct/>
        <w:topLinePunct w:val="0"/>
        <w:autoSpaceDE w:val="0"/>
        <w:autoSpaceDN w:val="0"/>
        <w:bidi w:val="0"/>
        <w:adjustRightInd w:val="0"/>
        <w:snapToGrid/>
        <w:spacing w:line="181" w:lineRule="atLeast"/>
        <w:ind w:firstLine="360" w:firstLineChars="200"/>
        <w:jc w:val="both"/>
        <w:textAlignment w:val="auto"/>
        <w:rPr>
          <w:rFonts w:hint="eastAsia" w:ascii="Times New Roman" w:hAnsi="Times New Roman" w:eastAsia="等线" w:cs="Times New Roman"/>
          <w:color w:val="211D1E"/>
          <w:kern w:val="0"/>
          <w:sz w:val="18"/>
          <w:szCs w:val="18"/>
          <w:lang w:val="en-US" w:eastAsia="zh-CN" w:bidi="ar-SA"/>
        </w:rPr>
      </w:pPr>
      <w:r>
        <w:rPr>
          <w:rFonts w:hint="eastAsia" w:ascii="Times New Roman" w:hAnsi="Times New Roman" w:eastAsia="等线" w:cs="Times New Roman"/>
          <w:color w:val="211D1E"/>
          <w:kern w:val="0"/>
          <w:sz w:val="18"/>
          <w:szCs w:val="18"/>
          <w:lang w:val="en-US" w:eastAsia="zh-CN" w:bidi="ar-SA"/>
        </w:rPr>
        <w:t>[2]国家中医药管理局区域中医(风湿病科)诊疗中心，国家区域诊疗中心中西医结合风湿病专科联盟，李娟，等.类风湿关节炎中西医结合诊疗专家共识(2025版).中华风湿病学杂志，2025,29(3).</w:t>
      </w:r>
      <w:r>
        <w:rPr>
          <w:rFonts w:hint="eastAsia" w:ascii="Times New Roman" w:hAnsi="Times New Roman" w:eastAsia="等线" w:cs="Times New Roman"/>
          <w:color w:val="211D1E"/>
          <w:kern w:val="0"/>
          <w:sz w:val="18"/>
          <w:szCs w:val="18"/>
          <w:lang w:val="en-US" w:eastAsia="zh-CN" w:bidi="ar-SA"/>
        </w:rPr>
        <w:fldChar w:fldCharType="begin"/>
      </w:r>
      <w:r>
        <w:rPr>
          <w:rFonts w:hint="eastAsia" w:ascii="Times New Roman" w:hAnsi="Times New Roman" w:eastAsia="等线" w:cs="Times New Roman"/>
          <w:color w:val="211D1E"/>
          <w:kern w:val="0"/>
          <w:sz w:val="18"/>
          <w:szCs w:val="18"/>
          <w:lang w:val="en-US" w:eastAsia="zh-CN" w:bidi="ar-SA"/>
        </w:rPr>
        <w:instrText xml:space="preserve"> HYPERLINK "https://www.sinomed.ac.cn/article.do?ui=2025603934" \t "https://chat.deepseek.com/a/chat/s/_blank" </w:instrText>
      </w:r>
      <w:r>
        <w:rPr>
          <w:rFonts w:hint="eastAsia" w:ascii="Times New Roman" w:hAnsi="Times New Roman" w:eastAsia="等线" w:cs="Times New Roman"/>
          <w:color w:val="211D1E"/>
          <w:kern w:val="0"/>
          <w:sz w:val="18"/>
          <w:szCs w:val="18"/>
          <w:lang w:val="en-US" w:eastAsia="zh-CN" w:bidi="ar-SA"/>
        </w:rPr>
        <w:fldChar w:fldCharType="separate"/>
      </w:r>
      <w:r>
        <w:rPr>
          <w:rFonts w:hint="eastAsia" w:ascii="Times New Roman" w:hAnsi="Times New Roman" w:eastAsia="等线" w:cs="Times New Roman"/>
          <w:color w:val="211D1E"/>
          <w:kern w:val="0"/>
          <w:sz w:val="18"/>
          <w:szCs w:val="18"/>
          <w:lang w:val="en-US" w:eastAsia="zh-CN" w:bidi="ar-SA"/>
        </w:rPr>
        <w:fldChar w:fldCharType="end"/>
      </w:r>
    </w:p>
    <w:p w14:paraId="61537B52">
      <w:pPr>
        <w:keepNext w:val="0"/>
        <w:keepLines w:val="0"/>
        <w:pageBreakBefore w:val="0"/>
        <w:widowControl w:val="0"/>
        <w:kinsoku/>
        <w:wordWrap/>
        <w:overflowPunct/>
        <w:topLinePunct w:val="0"/>
        <w:autoSpaceDE w:val="0"/>
        <w:autoSpaceDN w:val="0"/>
        <w:bidi w:val="0"/>
        <w:adjustRightInd w:val="0"/>
        <w:snapToGrid/>
        <w:spacing w:line="181" w:lineRule="atLeast"/>
        <w:ind w:firstLine="360" w:firstLineChars="200"/>
        <w:jc w:val="both"/>
        <w:textAlignment w:val="auto"/>
        <w:rPr>
          <w:rFonts w:hint="eastAsia" w:ascii="Times New Roman" w:hAnsi="Times New Roman" w:eastAsia="等线" w:cs="Times New Roman"/>
          <w:color w:val="211D1E"/>
          <w:kern w:val="0"/>
          <w:sz w:val="18"/>
          <w:szCs w:val="18"/>
          <w:lang w:val="en-US" w:eastAsia="zh-CN" w:bidi="ar-SA"/>
        </w:rPr>
      </w:pPr>
      <w:r>
        <w:rPr>
          <w:rFonts w:hint="eastAsia" w:ascii="Times New Roman" w:hAnsi="Times New Roman" w:eastAsia="等线" w:cs="Times New Roman"/>
          <w:color w:val="211D1E"/>
          <w:kern w:val="0"/>
          <w:sz w:val="18"/>
          <w:szCs w:val="18"/>
          <w:lang w:val="en-US" w:eastAsia="zh-CN" w:bidi="ar-SA"/>
        </w:rPr>
        <w:t>[3]集团总医院.中西医结合类风湿关节炎诊疗指南(2025).中国中西医结合学会批准，中国标准出版社出版，2025.</w:t>
      </w:r>
      <w:r>
        <w:rPr>
          <w:rFonts w:hint="eastAsia" w:ascii="Times New Roman" w:hAnsi="Times New Roman" w:eastAsia="等线" w:cs="Times New Roman"/>
          <w:color w:val="211D1E"/>
          <w:kern w:val="0"/>
          <w:sz w:val="18"/>
          <w:szCs w:val="18"/>
          <w:lang w:val="en-US" w:eastAsia="zh-CN" w:bidi="ar-SA"/>
        </w:rPr>
        <w:fldChar w:fldCharType="begin"/>
      </w:r>
      <w:r>
        <w:rPr>
          <w:rFonts w:hint="eastAsia" w:ascii="Times New Roman" w:hAnsi="Times New Roman" w:eastAsia="等线" w:cs="Times New Roman"/>
          <w:color w:val="211D1E"/>
          <w:kern w:val="0"/>
          <w:sz w:val="18"/>
          <w:szCs w:val="18"/>
          <w:lang w:val="en-US" w:eastAsia="zh-CN" w:bidi="ar-SA"/>
        </w:rPr>
        <w:instrText xml:space="preserve"> HYPERLINK "https://www.yn-tcm-hospital.com/yljt_jtxw/010013400012644.html" \t "https://chat.deepseek.com/a/chat/s/_blank" </w:instrText>
      </w:r>
      <w:r>
        <w:rPr>
          <w:rFonts w:hint="eastAsia" w:ascii="Times New Roman" w:hAnsi="Times New Roman" w:eastAsia="等线" w:cs="Times New Roman"/>
          <w:color w:val="211D1E"/>
          <w:kern w:val="0"/>
          <w:sz w:val="18"/>
          <w:szCs w:val="18"/>
          <w:lang w:val="en-US" w:eastAsia="zh-CN" w:bidi="ar-SA"/>
        </w:rPr>
        <w:fldChar w:fldCharType="separate"/>
      </w:r>
      <w:r>
        <w:rPr>
          <w:rFonts w:hint="eastAsia" w:ascii="Times New Roman" w:hAnsi="Times New Roman" w:eastAsia="等线" w:cs="Times New Roman"/>
          <w:color w:val="211D1E"/>
          <w:kern w:val="0"/>
          <w:sz w:val="18"/>
          <w:szCs w:val="18"/>
          <w:lang w:val="en-US" w:eastAsia="zh-CN" w:bidi="ar-SA"/>
        </w:rPr>
        <w:fldChar w:fldCharType="end"/>
      </w:r>
    </w:p>
    <w:p w14:paraId="43185970">
      <w:pPr>
        <w:keepNext w:val="0"/>
        <w:keepLines w:val="0"/>
        <w:pageBreakBefore w:val="0"/>
        <w:widowControl w:val="0"/>
        <w:kinsoku/>
        <w:wordWrap/>
        <w:overflowPunct/>
        <w:topLinePunct w:val="0"/>
        <w:autoSpaceDE w:val="0"/>
        <w:autoSpaceDN w:val="0"/>
        <w:bidi w:val="0"/>
        <w:adjustRightInd w:val="0"/>
        <w:snapToGrid/>
        <w:spacing w:line="181" w:lineRule="atLeast"/>
        <w:ind w:firstLine="360" w:firstLineChars="200"/>
        <w:jc w:val="both"/>
        <w:textAlignment w:val="auto"/>
        <w:rPr>
          <w:rFonts w:hint="eastAsia" w:ascii="Times New Roman" w:hAnsi="Times New Roman" w:eastAsia="等线" w:cs="Times New Roman"/>
          <w:color w:val="211D1E"/>
          <w:kern w:val="0"/>
          <w:sz w:val="18"/>
          <w:szCs w:val="18"/>
          <w:lang w:val="en-US" w:eastAsia="zh-CN" w:bidi="ar-SA"/>
        </w:rPr>
      </w:pPr>
      <w:r>
        <w:rPr>
          <w:rFonts w:hint="eastAsia" w:ascii="Times New Roman" w:hAnsi="Times New Roman" w:eastAsia="等线" w:cs="Times New Roman"/>
          <w:color w:val="211D1E"/>
          <w:kern w:val="0"/>
          <w:sz w:val="18"/>
          <w:szCs w:val="18"/>
          <w:lang w:val="en-US" w:eastAsia="zh-CN" w:bidi="ar-SA"/>
        </w:rPr>
        <w:t>[4]中华中医药学会《类风湿关节炎病证结合诊疗指南》项目组，姜泉，巩勋，等.类风湿关节炎病证结合诊疗指南(2025年).中医杂志，2025,66(17).</w:t>
      </w:r>
      <w:r>
        <w:rPr>
          <w:rFonts w:hint="eastAsia" w:ascii="Times New Roman" w:hAnsi="Times New Roman" w:eastAsia="等线" w:cs="Times New Roman"/>
          <w:color w:val="211D1E"/>
          <w:kern w:val="0"/>
          <w:sz w:val="18"/>
          <w:szCs w:val="18"/>
          <w:lang w:val="en-US" w:eastAsia="zh-CN" w:bidi="ar-SA"/>
        </w:rPr>
        <w:fldChar w:fldCharType="begin"/>
      </w:r>
      <w:r>
        <w:rPr>
          <w:rFonts w:hint="eastAsia" w:ascii="Times New Roman" w:hAnsi="Times New Roman" w:eastAsia="等线" w:cs="Times New Roman"/>
          <w:color w:val="211D1E"/>
          <w:kern w:val="0"/>
          <w:sz w:val="18"/>
          <w:szCs w:val="18"/>
          <w:lang w:val="en-US" w:eastAsia="zh-CN" w:bidi="ar-SA"/>
        </w:rPr>
        <w:instrText xml:space="preserve"> HYPERLINK "https://www.sinomed.ac.cn/article.do?ui=2025505248" \t "https://chat.deepseek.com/a/chat/s/_blank" </w:instrText>
      </w:r>
      <w:r>
        <w:rPr>
          <w:rFonts w:hint="eastAsia" w:ascii="Times New Roman" w:hAnsi="Times New Roman" w:eastAsia="等线" w:cs="Times New Roman"/>
          <w:color w:val="211D1E"/>
          <w:kern w:val="0"/>
          <w:sz w:val="18"/>
          <w:szCs w:val="18"/>
          <w:lang w:val="en-US" w:eastAsia="zh-CN" w:bidi="ar-SA"/>
        </w:rPr>
        <w:fldChar w:fldCharType="separate"/>
      </w:r>
      <w:r>
        <w:rPr>
          <w:rFonts w:hint="eastAsia" w:ascii="Times New Roman" w:hAnsi="Times New Roman" w:eastAsia="等线" w:cs="Times New Roman"/>
          <w:color w:val="211D1E"/>
          <w:kern w:val="0"/>
          <w:sz w:val="18"/>
          <w:szCs w:val="18"/>
          <w:lang w:val="en-US" w:eastAsia="zh-CN" w:bidi="ar-SA"/>
        </w:rPr>
        <w:fldChar w:fldCharType="end"/>
      </w:r>
    </w:p>
    <w:p w14:paraId="7639DDB2">
      <w:pPr>
        <w:keepNext w:val="0"/>
        <w:keepLines w:val="0"/>
        <w:pageBreakBefore w:val="0"/>
        <w:widowControl w:val="0"/>
        <w:kinsoku/>
        <w:wordWrap/>
        <w:overflowPunct/>
        <w:topLinePunct w:val="0"/>
        <w:autoSpaceDE w:val="0"/>
        <w:autoSpaceDN w:val="0"/>
        <w:bidi w:val="0"/>
        <w:adjustRightInd w:val="0"/>
        <w:snapToGrid/>
        <w:spacing w:line="181" w:lineRule="atLeast"/>
        <w:ind w:firstLine="360" w:firstLineChars="200"/>
        <w:jc w:val="both"/>
        <w:textAlignment w:val="auto"/>
        <w:rPr>
          <w:rFonts w:hint="eastAsia" w:ascii="Times New Roman" w:hAnsi="Times New Roman" w:eastAsia="等线" w:cs="Times New Roman"/>
          <w:color w:val="211D1E"/>
          <w:kern w:val="0"/>
          <w:sz w:val="18"/>
          <w:szCs w:val="18"/>
          <w:lang w:val="en-US" w:eastAsia="zh-CN" w:bidi="ar-SA"/>
        </w:rPr>
      </w:pPr>
      <w:r>
        <w:rPr>
          <w:rFonts w:hint="eastAsia" w:ascii="Times New Roman" w:hAnsi="Times New Roman" w:eastAsia="等线" w:cs="Times New Roman"/>
          <w:color w:val="211D1E"/>
          <w:kern w:val="0"/>
          <w:sz w:val="18"/>
          <w:szCs w:val="18"/>
          <w:lang w:val="en-US" w:eastAsia="zh-CN" w:bidi="ar-SA"/>
        </w:rPr>
        <w:t>[5]北京中医药大学姜泉教授团队.基于全国类风湿性关节炎中医注册系统(CERTAIN)真实世界大数据的减停激素动态轨迹与关键因素研究.Chin J Integr Med, 2025.</w:t>
      </w:r>
    </w:p>
    <w:p w14:paraId="681C0C41">
      <w:pPr>
        <w:keepNext w:val="0"/>
        <w:keepLines w:val="0"/>
        <w:pageBreakBefore w:val="0"/>
        <w:widowControl w:val="0"/>
        <w:kinsoku/>
        <w:wordWrap/>
        <w:overflowPunct/>
        <w:topLinePunct w:val="0"/>
        <w:autoSpaceDE w:val="0"/>
        <w:autoSpaceDN w:val="0"/>
        <w:bidi w:val="0"/>
        <w:adjustRightInd w:val="0"/>
        <w:snapToGrid/>
        <w:spacing w:line="181" w:lineRule="atLeast"/>
        <w:ind w:firstLine="360" w:firstLineChars="200"/>
        <w:jc w:val="both"/>
        <w:textAlignment w:val="auto"/>
        <w:rPr>
          <w:rFonts w:hint="eastAsia" w:ascii="Times New Roman" w:hAnsi="Times New Roman" w:eastAsia="等线" w:cs="Times New Roman"/>
          <w:color w:val="211D1E"/>
          <w:kern w:val="0"/>
          <w:sz w:val="18"/>
          <w:szCs w:val="18"/>
          <w:lang w:val="en-US" w:eastAsia="zh-CN" w:bidi="ar-SA"/>
        </w:rPr>
      </w:pPr>
      <w:r>
        <w:rPr>
          <w:rFonts w:hint="eastAsia" w:ascii="Times New Roman" w:hAnsi="Times New Roman" w:eastAsia="等线" w:cs="Times New Roman"/>
          <w:color w:val="211D1E"/>
          <w:kern w:val="0"/>
          <w:sz w:val="18"/>
          <w:szCs w:val="18"/>
          <w:lang w:val="en-US" w:eastAsia="zh-CN" w:bidi="ar-SA"/>
        </w:rPr>
        <w:t>[6]国家皮肤与免疫疾病临床医学研究中心（北京协和医院），中国医师协会风湿免疫专科医师分会，中国康复医学会风湿免疫病康复专业委员会，等.2024中国类风湿关节炎诊疗指南[J].中华内科杂志,2024,63(11):1059-1077.</w:t>
      </w:r>
      <w:r>
        <w:rPr>
          <w:rFonts w:hint="eastAsia" w:ascii="Times New Roman" w:hAnsi="Times New Roman" w:eastAsia="等线" w:cs="Times New Roman"/>
          <w:color w:val="211D1E"/>
          <w:kern w:val="0"/>
          <w:sz w:val="18"/>
          <w:szCs w:val="18"/>
          <w:lang w:val="en-US" w:eastAsia="zh-CN" w:bidi="ar-SA"/>
        </w:rPr>
        <w:fldChar w:fldCharType="begin"/>
      </w:r>
      <w:r>
        <w:rPr>
          <w:rFonts w:hint="eastAsia" w:ascii="Times New Roman" w:hAnsi="Times New Roman" w:eastAsia="等线" w:cs="Times New Roman"/>
          <w:color w:val="211D1E"/>
          <w:kern w:val="0"/>
          <w:sz w:val="18"/>
          <w:szCs w:val="18"/>
          <w:lang w:val="en-US" w:eastAsia="zh-CN" w:bidi="ar-SA"/>
        </w:rPr>
        <w:instrText xml:space="preserve"> HYPERLINK "https://k.sina.cn/article_1893826915_70e1816301901j2v4.html?from=news" \t "https://chat.deepseek.com/a/chat/s/_blank" </w:instrText>
      </w:r>
      <w:r>
        <w:rPr>
          <w:rFonts w:hint="eastAsia" w:ascii="Times New Roman" w:hAnsi="Times New Roman" w:eastAsia="等线" w:cs="Times New Roman"/>
          <w:color w:val="211D1E"/>
          <w:kern w:val="0"/>
          <w:sz w:val="18"/>
          <w:szCs w:val="18"/>
          <w:lang w:val="en-US" w:eastAsia="zh-CN" w:bidi="ar-SA"/>
        </w:rPr>
        <w:fldChar w:fldCharType="separate"/>
      </w:r>
      <w:r>
        <w:rPr>
          <w:rFonts w:hint="eastAsia" w:ascii="Times New Roman" w:hAnsi="Times New Roman" w:eastAsia="等线" w:cs="Times New Roman"/>
          <w:color w:val="211D1E"/>
          <w:kern w:val="0"/>
          <w:sz w:val="18"/>
          <w:szCs w:val="18"/>
          <w:lang w:val="en-US" w:eastAsia="zh-CN" w:bidi="ar-SA"/>
        </w:rPr>
        <w:fldChar w:fldCharType="end"/>
      </w:r>
    </w:p>
    <w:p w14:paraId="26B56C44">
      <w:pPr>
        <w:keepNext w:val="0"/>
        <w:keepLines w:val="0"/>
        <w:pageBreakBefore w:val="0"/>
        <w:widowControl w:val="0"/>
        <w:kinsoku/>
        <w:wordWrap/>
        <w:overflowPunct/>
        <w:topLinePunct w:val="0"/>
        <w:autoSpaceDE w:val="0"/>
        <w:autoSpaceDN w:val="0"/>
        <w:bidi w:val="0"/>
        <w:adjustRightInd w:val="0"/>
        <w:snapToGrid/>
        <w:spacing w:line="181" w:lineRule="atLeast"/>
        <w:ind w:firstLine="360" w:firstLineChars="200"/>
        <w:jc w:val="both"/>
        <w:textAlignment w:val="auto"/>
        <w:rPr>
          <w:rFonts w:hint="eastAsia" w:ascii="Times New Roman" w:hAnsi="Times New Roman" w:eastAsia="等线" w:cs="Times New Roman"/>
          <w:color w:val="211D1E"/>
          <w:kern w:val="0"/>
          <w:sz w:val="18"/>
          <w:szCs w:val="18"/>
          <w:lang w:val="en-US" w:eastAsia="zh-CN" w:bidi="ar-SA"/>
        </w:rPr>
      </w:pPr>
      <w:r>
        <w:rPr>
          <w:rFonts w:hint="eastAsia" w:ascii="Times New Roman" w:hAnsi="Times New Roman" w:eastAsia="等线" w:cs="Times New Roman"/>
          <w:color w:val="211D1E"/>
          <w:kern w:val="0"/>
          <w:sz w:val="18"/>
          <w:szCs w:val="18"/>
          <w:lang w:val="en-US" w:eastAsia="zh-CN" w:bidi="ar-SA"/>
        </w:rPr>
        <w:t>[7]T/CAIM 018-2024.中西医结合类风湿关节炎诊疗指南[S].北京:中国中西医结合学会,2024.</w:t>
      </w:r>
      <w:r>
        <w:rPr>
          <w:rFonts w:hint="eastAsia" w:ascii="Times New Roman" w:hAnsi="Times New Roman" w:eastAsia="等线" w:cs="Times New Roman"/>
          <w:color w:val="211D1E"/>
          <w:kern w:val="0"/>
          <w:sz w:val="18"/>
          <w:szCs w:val="18"/>
          <w:lang w:val="en-US" w:eastAsia="zh-CN" w:bidi="ar-SA"/>
        </w:rPr>
        <w:fldChar w:fldCharType="begin"/>
      </w:r>
      <w:r>
        <w:rPr>
          <w:rFonts w:hint="eastAsia" w:ascii="Times New Roman" w:hAnsi="Times New Roman" w:eastAsia="等线" w:cs="Times New Roman"/>
          <w:color w:val="211D1E"/>
          <w:kern w:val="0"/>
          <w:sz w:val="18"/>
          <w:szCs w:val="18"/>
          <w:lang w:val="en-US" w:eastAsia="zh-CN" w:bidi="ar-SA"/>
        </w:rPr>
        <w:instrText xml:space="preserve"> HYPERLINK "http://www1.csres.com/detail/434415.html" \t "https://chat.deepseek.com/a/chat/s/_blank" </w:instrText>
      </w:r>
      <w:r>
        <w:rPr>
          <w:rFonts w:hint="eastAsia" w:ascii="Times New Roman" w:hAnsi="Times New Roman" w:eastAsia="等线" w:cs="Times New Roman"/>
          <w:color w:val="211D1E"/>
          <w:kern w:val="0"/>
          <w:sz w:val="18"/>
          <w:szCs w:val="18"/>
          <w:lang w:val="en-US" w:eastAsia="zh-CN" w:bidi="ar-SA"/>
        </w:rPr>
        <w:fldChar w:fldCharType="separate"/>
      </w:r>
      <w:r>
        <w:rPr>
          <w:rFonts w:hint="eastAsia" w:ascii="Times New Roman" w:hAnsi="Times New Roman" w:eastAsia="等线" w:cs="Times New Roman"/>
          <w:color w:val="211D1E"/>
          <w:kern w:val="0"/>
          <w:sz w:val="18"/>
          <w:szCs w:val="18"/>
          <w:lang w:val="en-US" w:eastAsia="zh-CN" w:bidi="ar-SA"/>
        </w:rPr>
        <w:fldChar w:fldCharType="end"/>
      </w:r>
    </w:p>
    <w:p w14:paraId="67B7520A">
      <w:pPr>
        <w:keepNext w:val="0"/>
        <w:keepLines w:val="0"/>
        <w:pageBreakBefore w:val="0"/>
        <w:widowControl w:val="0"/>
        <w:kinsoku/>
        <w:wordWrap/>
        <w:overflowPunct/>
        <w:topLinePunct w:val="0"/>
        <w:autoSpaceDE w:val="0"/>
        <w:autoSpaceDN w:val="0"/>
        <w:bidi w:val="0"/>
        <w:adjustRightInd w:val="0"/>
        <w:snapToGrid/>
        <w:spacing w:line="181" w:lineRule="atLeast"/>
        <w:ind w:firstLine="360" w:firstLineChars="200"/>
        <w:jc w:val="both"/>
        <w:textAlignment w:val="auto"/>
        <w:rPr>
          <w:rFonts w:hint="eastAsia" w:ascii="Times New Roman" w:hAnsi="Times New Roman" w:eastAsia="等线" w:cs="Times New Roman"/>
          <w:color w:val="211D1E"/>
          <w:kern w:val="0"/>
          <w:sz w:val="18"/>
          <w:szCs w:val="18"/>
          <w:lang w:val="en-US" w:eastAsia="zh-CN" w:bidi="ar-SA"/>
        </w:rPr>
      </w:pPr>
      <w:r>
        <w:rPr>
          <w:rFonts w:hint="eastAsia" w:ascii="Times New Roman" w:hAnsi="Times New Roman" w:eastAsia="等线" w:cs="Times New Roman"/>
          <w:color w:val="211D1E"/>
          <w:kern w:val="0"/>
          <w:sz w:val="18"/>
          <w:szCs w:val="18"/>
          <w:lang w:val="en-US" w:eastAsia="zh-CN" w:bidi="ar-SA"/>
        </w:rPr>
        <w:t>[8]中国中西医结合学会风湿病专业委员会.类风湿关节炎中西医结合诊疗专家共识(2025版)[J].中华风湿病学杂志,2025,29(3).</w:t>
      </w:r>
    </w:p>
    <w:p w14:paraId="4330CA51">
      <w:pPr>
        <w:keepNext w:val="0"/>
        <w:keepLines w:val="0"/>
        <w:pageBreakBefore w:val="0"/>
        <w:widowControl w:val="0"/>
        <w:kinsoku/>
        <w:wordWrap/>
        <w:overflowPunct/>
        <w:topLinePunct w:val="0"/>
        <w:autoSpaceDE w:val="0"/>
        <w:autoSpaceDN w:val="0"/>
        <w:bidi w:val="0"/>
        <w:adjustRightInd w:val="0"/>
        <w:snapToGrid/>
        <w:spacing w:line="181" w:lineRule="atLeast"/>
        <w:ind w:firstLine="360" w:firstLineChars="200"/>
        <w:jc w:val="both"/>
        <w:textAlignment w:val="auto"/>
        <w:rPr>
          <w:rFonts w:hint="eastAsia" w:ascii="Times New Roman" w:hAnsi="Times New Roman" w:eastAsia="等线" w:cs="Times New Roman"/>
          <w:color w:val="211D1E"/>
          <w:kern w:val="0"/>
          <w:sz w:val="18"/>
          <w:szCs w:val="18"/>
          <w:lang w:val="en-US" w:eastAsia="zh-CN" w:bidi="ar-SA"/>
        </w:rPr>
      </w:pPr>
      <w:r>
        <w:rPr>
          <w:rFonts w:hint="eastAsia" w:ascii="Times New Roman" w:hAnsi="Times New Roman" w:eastAsia="等线" w:cs="Times New Roman"/>
          <w:color w:val="211D1E"/>
          <w:kern w:val="0"/>
          <w:sz w:val="18"/>
          <w:szCs w:val="18"/>
          <w:lang w:val="en-US" w:eastAsia="zh-CN" w:bidi="ar-SA"/>
        </w:rPr>
        <w:t>[9]中华中医药学会.类风湿关节炎中医诊疗指南(2024)[S].北京:中国中医药出版社,2024.</w:t>
      </w:r>
    </w:p>
    <w:p w14:paraId="2D788C2A">
      <w:pPr>
        <w:keepNext w:val="0"/>
        <w:keepLines w:val="0"/>
        <w:pageBreakBefore w:val="0"/>
        <w:widowControl w:val="0"/>
        <w:kinsoku/>
        <w:wordWrap/>
        <w:overflowPunct/>
        <w:topLinePunct w:val="0"/>
        <w:autoSpaceDE w:val="0"/>
        <w:autoSpaceDN w:val="0"/>
        <w:bidi w:val="0"/>
        <w:adjustRightInd w:val="0"/>
        <w:snapToGrid/>
        <w:spacing w:line="181" w:lineRule="atLeast"/>
        <w:ind w:firstLine="360" w:firstLineChars="200"/>
        <w:jc w:val="both"/>
        <w:textAlignment w:val="auto"/>
        <w:rPr>
          <w:rFonts w:hint="eastAsia" w:ascii="Times New Roman" w:hAnsi="Times New Roman" w:eastAsia="等线" w:cs="Times New Roman"/>
          <w:color w:val="211D1E"/>
          <w:kern w:val="0"/>
          <w:sz w:val="18"/>
          <w:szCs w:val="18"/>
          <w:lang w:val="en-US" w:eastAsia="zh-CN" w:bidi="ar-SA"/>
        </w:rPr>
      </w:pPr>
      <w:r>
        <w:rPr>
          <w:rFonts w:hint="eastAsia" w:ascii="Times New Roman" w:hAnsi="Times New Roman" w:eastAsia="等线" w:cs="Times New Roman"/>
          <w:color w:val="211D1E"/>
          <w:kern w:val="0"/>
          <w:sz w:val="18"/>
          <w:szCs w:val="18"/>
          <w:lang w:val="en-US" w:eastAsia="zh-CN" w:bidi="ar-SA"/>
        </w:rPr>
        <w:t>[10]中国中西医结合学会.T/CAIM 018-2024中西医结合类风湿关节炎诊疗指南[S].北京:中国标准出版社,2024.</w:t>
      </w:r>
    </w:p>
    <w:p w14:paraId="257117A6">
      <w:pPr>
        <w:keepNext w:val="0"/>
        <w:keepLines w:val="0"/>
        <w:pageBreakBefore w:val="0"/>
        <w:widowControl w:val="0"/>
        <w:kinsoku/>
        <w:wordWrap/>
        <w:overflowPunct/>
        <w:topLinePunct w:val="0"/>
        <w:autoSpaceDE w:val="0"/>
        <w:autoSpaceDN w:val="0"/>
        <w:bidi w:val="0"/>
        <w:adjustRightInd w:val="0"/>
        <w:snapToGrid/>
        <w:spacing w:line="181" w:lineRule="atLeast"/>
        <w:ind w:firstLine="360" w:firstLineChars="200"/>
        <w:jc w:val="both"/>
        <w:textAlignment w:val="auto"/>
        <w:rPr>
          <w:rFonts w:hint="eastAsia" w:ascii="Times New Roman" w:hAnsi="Times New Roman" w:eastAsia="等线" w:cs="Times New Roman"/>
          <w:color w:val="211D1E"/>
          <w:kern w:val="0"/>
          <w:sz w:val="18"/>
          <w:szCs w:val="18"/>
          <w:lang w:val="en-US" w:eastAsia="zh-CN" w:bidi="ar-SA"/>
        </w:rPr>
      </w:pPr>
      <w:r>
        <w:rPr>
          <w:rFonts w:hint="eastAsia" w:ascii="Times New Roman" w:hAnsi="Times New Roman" w:eastAsia="等线" w:cs="Times New Roman"/>
          <w:color w:val="211D1E"/>
          <w:kern w:val="0"/>
          <w:sz w:val="18"/>
          <w:szCs w:val="18"/>
          <w:lang w:val="en-US" w:eastAsia="zh-CN" w:bidi="ar-SA"/>
        </w:rPr>
        <w:t>[11]北京中医药大学姜泉教授团队.基于全国类风湿性关节炎中医注册系统(CERTAIN)真实世界大数据的减停激素动态轨迹与关键因素研究.Chin J Integr Med,2025.</w:t>
      </w:r>
    </w:p>
    <w:p w14:paraId="1653337B">
      <w:pPr>
        <w:spacing w:line="360" w:lineRule="auto"/>
        <w:ind w:firstLine="480" w:firstLineChars="200"/>
        <w:rPr>
          <w:rFonts w:hint="eastAsia" w:ascii="宋体" w:hAnsi="宋体" w:cs="宋体"/>
          <w:sz w:val="24"/>
        </w:rPr>
      </w:pPr>
    </w:p>
    <w:sectPr>
      <w:footerReference r:id="rId4" w:type="default"/>
      <w:pgSz w:w="11906" w:h="16838"/>
      <w:pgMar w:top="1440" w:right="1800" w:bottom="1440" w:left="1800" w:header="851" w:footer="992"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Segoe UI">
    <w:panose1 w:val="020B0502040204020203"/>
    <w:charset w:val="00"/>
    <w:family w:val="swiss"/>
    <w:pitch w:val="default"/>
    <w:sig w:usb0="E10022FF" w:usb1="C000E47F" w:usb2="00000029" w:usb3="00000000" w:csb0="200001DF" w:csb1="2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1EE220">
    <w:pPr>
      <w:pStyle w:val="5"/>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14:paraId="325F0D07">
                <w:pPr>
                  <w:pStyle w:val="5"/>
                </w:pPr>
                <w:r>
                  <w:fldChar w:fldCharType="begin"/>
                </w:r>
                <w:r>
                  <w:instrText xml:space="preserve"> PAGE  \* MERGEFORMAT </w:instrText>
                </w:r>
                <w:r>
                  <w:fldChar w:fldCharType="separate"/>
                </w:r>
                <w:r>
                  <w:t>3</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1CCA06">
    <w:pPr>
      <w:pStyle w:val="5"/>
    </w:pPr>
    <w:r>
      <w:pict>
        <v:shape id="_x0000_s1027" o:spid="_x0000_s102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3ADD2EE9">
                <w:pPr>
                  <w:pStyle w:val="5"/>
                </w:pPr>
                <w:r>
                  <w:fldChar w:fldCharType="begin"/>
                </w:r>
                <w:r>
                  <w:instrText xml:space="preserve"> PAGE  \* MERGEFORMAT </w:instrText>
                </w:r>
                <w:r>
                  <w:fldChar w:fldCharType="separate"/>
                </w:r>
                <w:r>
                  <w:t>3</w:t>
                </w:r>
                <w: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321FA"/>
    <w:rsid w:val="000343F3"/>
    <w:rsid w:val="00072D76"/>
    <w:rsid w:val="001D524F"/>
    <w:rsid w:val="001D66E2"/>
    <w:rsid w:val="00217351"/>
    <w:rsid w:val="0028402F"/>
    <w:rsid w:val="0029362A"/>
    <w:rsid w:val="002B544B"/>
    <w:rsid w:val="00341854"/>
    <w:rsid w:val="003423F0"/>
    <w:rsid w:val="003446C9"/>
    <w:rsid w:val="00442D41"/>
    <w:rsid w:val="0048441D"/>
    <w:rsid w:val="005046FD"/>
    <w:rsid w:val="00514A4F"/>
    <w:rsid w:val="005321FA"/>
    <w:rsid w:val="0056757C"/>
    <w:rsid w:val="006E7E4C"/>
    <w:rsid w:val="00733E26"/>
    <w:rsid w:val="0073507B"/>
    <w:rsid w:val="007418BA"/>
    <w:rsid w:val="00761C19"/>
    <w:rsid w:val="007C180D"/>
    <w:rsid w:val="008025CE"/>
    <w:rsid w:val="008D7227"/>
    <w:rsid w:val="00937F50"/>
    <w:rsid w:val="00957137"/>
    <w:rsid w:val="00AA4850"/>
    <w:rsid w:val="00AF2A2E"/>
    <w:rsid w:val="00B322EC"/>
    <w:rsid w:val="00C02217"/>
    <w:rsid w:val="00C72B28"/>
    <w:rsid w:val="00CB10A3"/>
    <w:rsid w:val="00CC52D9"/>
    <w:rsid w:val="00D364FA"/>
    <w:rsid w:val="00DD6636"/>
    <w:rsid w:val="00F11472"/>
    <w:rsid w:val="00F66678"/>
    <w:rsid w:val="00F90423"/>
    <w:rsid w:val="00F906FF"/>
    <w:rsid w:val="01420F91"/>
    <w:rsid w:val="029A798E"/>
    <w:rsid w:val="06503885"/>
    <w:rsid w:val="097D0740"/>
    <w:rsid w:val="0A745DCD"/>
    <w:rsid w:val="0F3D237D"/>
    <w:rsid w:val="10925F6B"/>
    <w:rsid w:val="10BA3FDF"/>
    <w:rsid w:val="11CC3396"/>
    <w:rsid w:val="151A55C5"/>
    <w:rsid w:val="1B25304E"/>
    <w:rsid w:val="1D4E021D"/>
    <w:rsid w:val="1ECE5E0E"/>
    <w:rsid w:val="283C1372"/>
    <w:rsid w:val="28915A91"/>
    <w:rsid w:val="28DC1152"/>
    <w:rsid w:val="298C5386"/>
    <w:rsid w:val="2A820C6D"/>
    <w:rsid w:val="2B392DE5"/>
    <w:rsid w:val="2BE05F64"/>
    <w:rsid w:val="2D8C7EBF"/>
    <w:rsid w:val="2D9E1C33"/>
    <w:rsid w:val="2F126434"/>
    <w:rsid w:val="2F5328B0"/>
    <w:rsid w:val="2FEA3851"/>
    <w:rsid w:val="30104898"/>
    <w:rsid w:val="332015E5"/>
    <w:rsid w:val="336851BD"/>
    <w:rsid w:val="33BB2F08"/>
    <w:rsid w:val="35826E64"/>
    <w:rsid w:val="3A022EE6"/>
    <w:rsid w:val="3A1E25AE"/>
    <w:rsid w:val="3AA20967"/>
    <w:rsid w:val="3C5C3D20"/>
    <w:rsid w:val="3F4B2C2A"/>
    <w:rsid w:val="3FB37ED9"/>
    <w:rsid w:val="4028669D"/>
    <w:rsid w:val="40C04E60"/>
    <w:rsid w:val="413D2ABA"/>
    <w:rsid w:val="415A13AB"/>
    <w:rsid w:val="419F644D"/>
    <w:rsid w:val="41B36538"/>
    <w:rsid w:val="42BF5203"/>
    <w:rsid w:val="44A45929"/>
    <w:rsid w:val="44AC36C1"/>
    <w:rsid w:val="44CF7E6A"/>
    <w:rsid w:val="44E126D9"/>
    <w:rsid w:val="4854425B"/>
    <w:rsid w:val="49402024"/>
    <w:rsid w:val="497630BD"/>
    <w:rsid w:val="4A9D1F49"/>
    <w:rsid w:val="4AD030CA"/>
    <w:rsid w:val="4BC52A02"/>
    <w:rsid w:val="4C64406E"/>
    <w:rsid w:val="4C7C3B0A"/>
    <w:rsid w:val="503D0A8A"/>
    <w:rsid w:val="515F0C90"/>
    <w:rsid w:val="5179026A"/>
    <w:rsid w:val="528E6BE1"/>
    <w:rsid w:val="530F48B5"/>
    <w:rsid w:val="532B08BD"/>
    <w:rsid w:val="53F213B3"/>
    <w:rsid w:val="54EB1352"/>
    <w:rsid w:val="56840AEB"/>
    <w:rsid w:val="56CE32FE"/>
    <w:rsid w:val="57511F29"/>
    <w:rsid w:val="57B04F4C"/>
    <w:rsid w:val="58A645AB"/>
    <w:rsid w:val="5971596D"/>
    <w:rsid w:val="61577355"/>
    <w:rsid w:val="64274FB5"/>
    <w:rsid w:val="65625D47"/>
    <w:rsid w:val="663461FE"/>
    <w:rsid w:val="665148C7"/>
    <w:rsid w:val="66DC654A"/>
    <w:rsid w:val="6A34158D"/>
    <w:rsid w:val="6A947080"/>
    <w:rsid w:val="6CCA0740"/>
    <w:rsid w:val="6FC85449"/>
    <w:rsid w:val="71015D2D"/>
    <w:rsid w:val="7262426C"/>
    <w:rsid w:val="74022DE6"/>
    <w:rsid w:val="7436379E"/>
    <w:rsid w:val="74A23274"/>
    <w:rsid w:val="750A7B0A"/>
    <w:rsid w:val="76CD16D4"/>
    <w:rsid w:val="7A525F8A"/>
    <w:rsid w:val="7DB36338"/>
    <w:rsid w:val="7E1502D6"/>
    <w:rsid w:val="7E1912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b/>
      <w:bCs/>
      <w:kern w:val="44"/>
      <w:sz w:val="48"/>
      <w:szCs w:val="48"/>
    </w:rPr>
  </w:style>
  <w:style w:type="paragraph" w:styleId="3">
    <w:name w:val="heading 2"/>
    <w:basedOn w:val="1"/>
    <w:next w:val="1"/>
    <w:qFormat/>
    <w:uiPriority w:val="0"/>
    <w:pPr>
      <w:spacing w:before="100" w:beforeAutospacing="1" w:after="100" w:afterAutospacing="1"/>
      <w:jc w:val="left"/>
      <w:outlineLvl w:val="1"/>
    </w:pPr>
    <w:rPr>
      <w:rFonts w:hint="eastAsia" w:ascii="宋体" w:hAnsi="宋体"/>
      <w:b/>
      <w:bCs/>
      <w:kern w:val="0"/>
      <w:sz w:val="36"/>
      <w:szCs w:val="36"/>
    </w:rPr>
  </w:style>
  <w:style w:type="paragraph" w:styleId="4">
    <w:name w:val="heading 3"/>
    <w:basedOn w:val="1"/>
    <w:next w:val="1"/>
    <w:qFormat/>
    <w:uiPriority w:val="0"/>
    <w:pPr>
      <w:spacing w:before="100" w:beforeAutospacing="1" w:after="100" w:afterAutospacing="1"/>
      <w:jc w:val="left"/>
      <w:outlineLvl w:val="2"/>
    </w:pPr>
    <w:rPr>
      <w:rFonts w:hint="eastAsia" w:ascii="宋体" w:hAnsi="宋体"/>
      <w:b/>
      <w:bCs/>
      <w:kern w:val="0"/>
      <w:sz w:val="27"/>
      <w:szCs w:val="27"/>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toc 1"/>
    <w:basedOn w:val="1"/>
    <w:next w:val="1"/>
    <w:qFormat/>
    <w:uiPriority w:val="0"/>
  </w:style>
  <w:style w:type="paragraph" w:styleId="8">
    <w:name w:val="toc 2"/>
    <w:basedOn w:val="1"/>
    <w:next w:val="1"/>
    <w:qFormat/>
    <w:uiPriority w:val="0"/>
    <w:pPr>
      <w:ind w:left="420" w:leftChars="200"/>
    </w:pPr>
  </w:style>
  <w:style w:type="paragraph" w:styleId="9">
    <w:name w:val="Normal (Web)"/>
    <w:basedOn w:val="1"/>
    <w:qFormat/>
    <w:uiPriority w:val="0"/>
    <w:pPr>
      <w:spacing w:before="100" w:beforeAutospacing="1" w:after="100" w:afterAutospacing="1"/>
      <w:jc w:val="left"/>
    </w:pPr>
    <w:rPr>
      <w:kern w:val="0"/>
      <w:sz w:val="24"/>
    </w:rPr>
  </w:style>
  <w:style w:type="character" w:styleId="12">
    <w:name w:val="Strong"/>
    <w:basedOn w:val="11"/>
    <w:qFormat/>
    <w:uiPriority w:val="0"/>
    <w:rPr>
      <w:b/>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33</Pages>
  <Words>11626</Words>
  <Characters>13913</Characters>
  <Lines>899</Lines>
  <Paragraphs>483</Paragraphs>
  <TotalTime>1</TotalTime>
  <ScaleCrop>false</ScaleCrop>
  <LinksUpToDate>false</LinksUpToDate>
  <CharactersWithSpaces>14146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2026-07-29T12:06:00Z</dcterms:created>
  <dc:creator>wuxiaoli</dc:creator>
  <cp:lastModifiedBy>王贵宝</cp:lastModifiedBy>
  <dcterms:modified xsi:type="dcterms:W3CDTF">2026-10-13T07:36:03Z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eyJoZGlkIjoiMGYzNGYyMThjMDI1NGRlZGM5NTgxYzJmNWYxNDY3MjciLCJ1c2VySWQiOiIyNTUwODIzMDQifQ==</vt:lpwstr>
  </property>
  <property fmtid="{D5CDD505-2E9C-101B-9397-08002B2CF9AE}" pid="4" name="ICV">
    <vt:lpwstr>5107259D09D34C36994DF70FA157ED32_13</vt:lpwstr>
  </property>
</Properties>
</file>