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C1139">
      <w:pPr>
        <w:widowControl w:val="0"/>
        <w:kinsoku/>
        <w:autoSpaceDE/>
        <w:autoSpaceDN/>
        <w:adjustRightInd/>
        <w:snapToGrid/>
        <w:spacing w:line="240" w:lineRule="auto"/>
        <w:ind w:firstLine="420" w:firstLineChars="200"/>
        <w:jc w:val="center"/>
        <w:textAlignment w:val="auto"/>
        <w:rPr>
          <w:rFonts w:hint="eastAsia" w:ascii="Calibri" w:hAnsi="Calibri" w:eastAsia="宋体" w:cs="Times New Roman"/>
          <w:snapToGrid/>
          <w:kern w:val="2"/>
          <w:szCs w:val="24"/>
          <w:highlight w:val="none"/>
          <w:lang w:eastAsia="zh-CN"/>
        </w:rPr>
      </w:pPr>
      <w:r>
        <w:rPr>
          <w:rFonts w:hint="eastAsia" w:ascii="Calibri" w:hAnsi="Calibri" w:eastAsia="宋体" w:cs="Times New Roman"/>
          <w:snapToGrid/>
          <w:kern w:val="2"/>
          <w:szCs w:val="24"/>
          <w:highlight w:val="none"/>
          <w:lang w:eastAsia="zh-CN"/>
        </w:rPr>
        <w:t>《常见风湿免疫疾病中西医结合临床诊疗指南</w:t>
      </w:r>
      <w:r>
        <w:rPr>
          <w:rFonts w:hint="eastAsia" w:ascii="Calibri" w:hAnsi="Calibri" w:eastAsia="宋体" w:cs="Times New Roman"/>
          <w:snapToGrid/>
          <w:kern w:val="2"/>
          <w:szCs w:val="24"/>
          <w:highlight w:val="none"/>
          <w:lang w:val="en-US" w:eastAsia="zh-CN"/>
        </w:rPr>
        <w:t xml:space="preserve"> 银屑病性关节炎</w:t>
      </w:r>
      <w:r>
        <w:rPr>
          <w:rFonts w:hint="eastAsia" w:ascii="Calibri" w:hAnsi="Calibri" w:eastAsia="宋体" w:cs="Times New Roman"/>
          <w:snapToGrid/>
          <w:kern w:val="2"/>
          <w:szCs w:val="24"/>
          <w:highlight w:val="none"/>
          <w:lang w:eastAsia="zh-CN"/>
        </w:rPr>
        <w:t>》团体标准编制说明</w:t>
      </w:r>
    </w:p>
    <w:p w14:paraId="2AC7DEE2">
      <w:pPr>
        <w:widowControl w:val="0"/>
        <w:kinsoku/>
        <w:autoSpaceDE/>
        <w:autoSpaceDN/>
        <w:adjustRightInd/>
        <w:snapToGrid/>
        <w:spacing w:line="240" w:lineRule="auto"/>
        <w:ind w:firstLine="420" w:firstLineChars="200"/>
        <w:jc w:val="center"/>
        <w:textAlignment w:val="auto"/>
        <w:rPr>
          <w:rFonts w:hint="eastAsia" w:ascii="Calibri" w:hAnsi="Calibri" w:eastAsia="宋体" w:cs="Times New Roman"/>
          <w:snapToGrid/>
          <w:kern w:val="2"/>
          <w:szCs w:val="24"/>
          <w:highlight w:val="none"/>
          <w:lang w:eastAsia="zh-CN"/>
        </w:rPr>
      </w:pPr>
    </w:p>
    <w:p w14:paraId="24367FEC">
      <w:pPr>
        <w:spacing w:before="133" w:line="240" w:lineRule="auto"/>
        <w:rPr>
          <w:rFonts w:hint="eastAsia" w:ascii="宋体" w:hAnsi="宋体" w:eastAsia="宋体" w:cs="宋体"/>
          <w:sz w:val="21"/>
          <w:szCs w:val="21"/>
        </w:rPr>
      </w:pPr>
      <w:r>
        <w:rPr>
          <w:rFonts w:hint="eastAsia" w:ascii="宋体" w:hAnsi="宋体" w:eastAsia="宋体" w:cs="宋体"/>
          <w:spacing w:val="8"/>
          <w:sz w:val="21"/>
          <w:szCs w:val="21"/>
        </w:rPr>
        <w:t>一、标准编制背景及任务来源</w:t>
      </w:r>
    </w:p>
    <w:p w14:paraId="094A8A63">
      <w:pPr>
        <w:spacing w:before="101" w:line="240" w:lineRule="auto"/>
        <w:ind w:left="658"/>
        <w:rPr>
          <w:rFonts w:hint="eastAsia" w:ascii="宋体" w:hAnsi="宋体" w:eastAsia="宋体" w:cs="宋体"/>
          <w:sz w:val="21"/>
          <w:szCs w:val="21"/>
        </w:rPr>
      </w:pPr>
      <w:r>
        <w:rPr>
          <w:rFonts w:hint="eastAsia" w:ascii="宋体" w:hAnsi="宋体" w:eastAsia="宋体" w:cs="宋体"/>
          <w:spacing w:val="5"/>
          <w:sz w:val="21"/>
          <w:szCs w:val="21"/>
        </w:rPr>
        <w:t>（一）标准编制背景</w:t>
      </w:r>
    </w:p>
    <w:p w14:paraId="05998B7E">
      <w:pPr>
        <w:pStyle w:val="2"/>
        <w:spacing w:line="240" w:lineRule="auto"/>
        <w:ind w:left="0" w:firstLine="452" w:firstLineChars="200"/>
        <w:jc w:val="both"/>
        <w:rPr>
          <w:rFonts w:hint="eastAsia" w:ascii="宋体" w:hAnsi="宋体" w:eastAsia="宋体" w:cs="宋体"/>
          <w:spacing w:val="8"/>
          <w:sz w:val="21"/>
          <w:szCs w:val="21"/>
        </w:rPr>
      </w:pPr>
      <w:r>
        <w:rPr>
          <w:rFonts w:hint="eastAsia" w:ascii="宋体" w:hAnsi="宋体" w:eastAsia="宋体" w:cs="宋体"/>
          <w:spacing w:val="8"/>
          <w:sz w:val="21"/>
          <w:szCs w:val="21"/>
        </w:rPr>
        <w:t>银屑病性关节炎（Psoriatic Arthritis, PsA）是一种与银屑病紧密相关的慢性炎症性骨骼肌肉疾病，属于脊柱关节炎范畴，以关节及其周围软组织疼痛、肿胀、僵硬和活动受限为主要临床表现，可伴发银屑病皮疹、附着点炎、指/趾炎等症状，严重时可出现关节畸形、残疾，还可能合并虹膜睫状体炎、肠炎及心血管疾病等，显著影响患者生活质量。近年来，随着人们生活方式的改变、环境因素的影响，银屑病性关节炎的发病率在全球范围内呈上升趋势，我国患病率约为0.01%~0.1%，约7%~42%的银屑病患者会发展为PsA，且随银屑病病程延长，患病率逐渐升高，已成为危害我国民众骨骼肌肉健康的重要疾病之一，引发医疗界及全社会的广泛关注与重视。</w:t>
      </w:r>
    </w:p>
    <w:p w14:paraId="78CC7757">
      <w:pPr>
        <w:pStyle w:val="2"/>
        <w:spacing w:line="240" w:lineRule="auto"/>
        <w:ind w:left="0" w:firstLine="452" w:firstLineChars="200"/>
        <w:jc w:val="both"/>
        <w:rPr>
          <w:rFonts w:hint="eastAsia" w:ascii="宋体" w:hAnsi="宋体" w:eastAsia="宋体" w:cs="宋体"/>
          <w:spacing w:val="8"/>
          <w:sz w:val="21"/>
          <w:szCs w:val="21"/>
        </w:rPr>
      </w:pPr>
      <w:r>
        <w:rPr>
          <w:rFonts w:hint="eastAsia" w:ascii="宋体" w:hAnsi="宋体" w:eastAsia="宋体" w:cs="宋体"/>
          <w:spacing w:val="8"/>
          <w:sz w:val="21"/>
          <w:szCs w:val="21"/>
        </w:rPr>
        <w:t>目前，银屑病性关节炎的临床诊疗呈现中西医并存的格局，两者各有优势、互补性强。中医将其归属于“白疕”“痹证”范畴，近现代中医学者将其命名为“疕痹”，认为其病因与风邪、血燥、阳气不足、营卫不和等相关，在辨证论治、个体化调理、减少复发等方面具有独特优势，形成了从血论治、扶阳辨治等多种诊疗思路及特色方剂，经临床验证疗效确切；西医在病因研究、精准诊断、快速控制炎症、改善关节功能等方面进展显著，涵盖传统合成改善病情抗风湿药物、生物制剂、小分子靶向药物等多种治疗手段，为重症患者提供有效的治疗选择，但存在不良反应、长期用药安全性及部分患者疗效不佳等问题，且易忽视患者心理干预需求。</w:t>
      </w:r>
    </w:p>
    <w:p w14:paraId="5D8C5441">
      <w:pPr>
        <w:pStyle w:val="2"/>
        <w:spacing w:line="240" w:lineRule="auto"/>
        <w:ind w:left="0" w:firstLine="452" w:firstLineChars="200"/>
        <w:jc w:val="both"/>
        <w:rPr>
          <w:rFonts w:hint="eastAsia" w:ascii="宋体" w:hAnsi="宋体" w:eastAsia="宋体" w:cs="宋体"/>
          <w:spacing w:val="8"/>
          <w:sz w:val="21"/>
          <w:szCs w:val="21"/>
        </w:rPr>
      </w:pPr>
      <w:r>
        <w:rPr>
          <w:rFonts w:hint="eastAsia" w:ascii="宋体" w:hAnsi="宋体" w:eastAsia="宋体" w:cs="宋体"/>
          <w:spacing w:val="8"/>
          <w:sz w:val="21"/>
          <w:szCs w:val="21"/>
        </w:rPr>
        <w:t>当前，银屑病性关节炎的中西医临床诊疗缺乏统一、规范的指南依据，不同地区、不同医疗机构、不同医师的诊疗水平差异较大，存在辨证不规范、用药不合理、中西医结合衔接不畅、疗效评价标准不统一等问题，不仅影响患者诊疗效果和预后，也制约了中西医结合诊疗技术在PsA领域的规范化推广与发展。部分临床医师对PsA的早期识别能力不足，导致漏诊、误诊现象较为常见，错过最佳治疗时机，加重患者病情负担。</w:t>
      </w:r>
    </w:p>
    <w:p w14:paraId="29875724">
      <w:pPr>
        <w:pStyle w:val="2"/>
        <w:spacing w:line="240" w:lineRule="auto"/>
        <w:ind w:left="0" w:firstLine="452" w:firstLineChars="200"/>
        <w:jc w:val="both"/>
        <w:rPr>
          <w:rFonts w:hint="eastAsia" w:ascii="宋体" w:hAnsi="宋体" w:eastAsia="宋体" w:cs="宋体"/>
          <w:spacing w:val="8"/>
          <w:sz w:val="21"/>
          <w:szCs w:val="21"/>
        </w:rPr>
      </w:pPr>
      <w:r>
        <w:rPr>
          <w:rFonts w:hint="eastAsia" w:ascii="宋体" w:hAnsi="宋体" w:eastAsia="宋体" w:cs="宋体"/>
          <w:spacing w:val="8"/>
          <w:sz w:val="21"/>
          <w:szCs w:val="21"/>
        </w:rPr>
        <w:t xml:space="preserve">国家《“十四五”中医药发展规划》明确提出要推动中西医结合高质量发展，加强中西医结合学科建设，制定中西医结合诊疗指南。《“健康中国2030”规划纲要》强调要充分发挥中医药独特优势，推动中医药与西医药相互补充、协调发展。在此背景下，制定《常见风湿免疫疾病中西医结合临床诊疗指南 </w:t>
      </w:r>
      <w:r>
        <w:rPr>
          <w:rFonts w:hint="eastAsia" w:ascii="宋体" w:hAnsi="宋体" w:eastAsia="宋体" w:cs="宋体"/>
          <w:spacing w:val="8"/>
          <w:sz w:val="21"/>
          <w:szCs w:val="21"/>
          <w:lang w:val="en-US" w:eastAsia="zh-CN"/>
        </w:rPr>
        <w:t>银屑病性</w:t>
      </w:r>
      <w:r>
        <w:rPr>
          <w:rFonts w:hint="eastAsia" w:ascii="宋体" w:hAnsi="宋体" w:eastAsia="宋体" w:cs="宋体"/>
          <w:spacing w:val="8"/>
          <w:sz w:val="21"/>
          <w:szCs w:val="21"/>
        </w:rPr>
        <w:t>关节炎》团体标准，对于规范PsA中西医结合诊疗行为、提高临床疗效、促进中医药传承创新发展具有重要意义。。</w:t>
      </w:r>
    </w:p>
    <w:p w14:paraId="790EA4F8">
      <w:pPr>
        <w:pStyle w:val="2"/>
        <w:spacing w:line="240" w:lineRule="auto"/>
        <w:ind w:left="0" w:firstLine="452" w:firstLineChars="200"/>
        <w:jc w:val="both"/>
        <w:rPr>
          <w:rFonts w:hint="eastAsia" w:ascii="宋体" w:hAnsi="宋体" w:eastAsia="宋体" w:cs="宋体"/>
          <w:spacing w:val="8"/>
          <w:sz w:val="21"/>
          <w:szCs w:val="21"/>
        </w:rPr>
      </w:pPr>
      <w:r>
        <w:rPr>
          <w:rFonts w:hint="eastAsia" w:ascii="宋体" w:hAnsi="宋体" w:eastAsia="宋体" w:cs="宋体"/>
          <w:spacing w:val="8"/>
          <w:sz w:val="21"/>
          <w:szCs w:val="21"/>
        </w:rPr>
        <w:t>（二）任务来源</w:t>
      </w:r>
    </w:p>
    <w:p w14:paraId="09231B5D">
      <w:pPr>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中国民族卫生协会是经卫生部（现国家卫健委）、国家民族事务委员会、民政部审核同意并报国务院批准成立的国家一级非营利性行业社会团体，于2005年5月18日正式成立，评估等级为AAAA级。卫生部（现为国家卫健委）为其业务主管单位。协会全面遵守国家宪法、法律和法规，认真贯彻执行党和国家民族卫生政策，团结组织社会各方面力量，加强国内、国际交流与合作，促进民族地区卫生事业发展，弘扬中华民族传统医药，振兴民族医药产业，为各民族地区人民健康服务，为全面建设小康社会、构建社会主义和谐社会服务为发展宗旨。</w:t>
      </w:r>
    </w:p>
    <w:p w14:paraId="78CA640A">
      <w:pPr>
        <w:pStyle w:val="2"/>
        <w:spacing w:line="240" w:lineRule="auto"/>
        <w:ind w:left="0" w:firstLine="420" w:firstLineChars="200"/>
        <w:jc w:val="both"/>
        <w:rPr>
          <w:rFonts w:hint="eastAsia" w:ascii="宋体" w:hAnsi="宋体" w:eastAsia="宋体" w:cs="宋体"/>
          <w:sz w:val="21"/>
          <w:szCs w:val="21"/>
        </w:rPr>
      </w:pPr>
      <w:r>
        <w:rPr>
          <w:rFonts w:hint="eastAsia" w:ascii="宋体" w:hAnsi="宋体" w:eastAsia="宋体" w:cs="宋体"/>
          <w:sz w:val="21"/>
          <w:szCs w:val="21"/>
          <w:highlight w:val="none"/>
        </w:rPr>
        <w:t>本标准由中国民族卫生协会风湿疑难病专业委员会提出，2025年1月经中国民族卫生协会标准化技术委员会审核，中国民族卫生协会批准立项（项目编号：）。为保质保量完成标准制定工作，由中国民族卫生协会风湿疑难病专业委员会联合风湿免疫领域相关医疗机构、高校共同组成标准起草小组，负责标准的起草和编制工作</w:t>
      </w:r>
      <w:r>
        <w:rPr>
          <w:rFonts w:hint="eastAsia" w:ascii="宋体" w:hAnsi="宋体" w:eastAsia="宋体" w:cs="宋体"/>
          <w:spacing w:val="7"/>
          <w:sz w:val="21"/>
          <w:szCs w:val="21"/>
        </w:rPr>
        <w:t>。</w:t>
      </w:r>
    </w:p>
    <w:p w14:paraId="0AB52475">
      <w:pPr>
        <w:spacing w:line="240" w:lineRule="auto"/>
        <w:rPr>
          <w:rFonts w:hint="eastAsia" w:ascii="宋体" w:hAnsi="宋体" w:eastAsia="宋体" w:cs="宋体"/>
          <w:spacing w:val="7"/>
          <w:sz w:val="21"/>
          <w:szCs w:val="21"/>
        </w:rPr>
      </w:pPr>
    </w:p>
    <w:p w14:paraId="5D1BD6A1">
      <w:pPr>
        <w:spacing w:line="240" w:lineRule="auto"/>
        <w:rPr>
          <w:rFonts w:hint="eastAsia" w:ascii="宋体" w:hAnsi="宋体" w:eastAsia="宋体" w:cs="宋体"/>
          <w:sz w:val="21"/>
          <w:szCs w:val="21"/>
        </w:rPr>
      </w:pPr>
      <w:r>
        <w:rPr>
          <w:rFonts w:hint="eastAsia" w:ascii="宋体" w:hAnsi="宋体" w:eastAsia="宋体" w:cs="宋体"/>
          <w:spacing w:val="7"/>
          <w:sz w:val="21"/>
          <w:szCs w:val="21"/>
        </w:rPr>
        <w:t>二、主要工作过程</w:t>
      </w:r>
    </w:p>
    <w:p w14:paraId="3377FEE6">
      <w:pPr>
        <w:spacing w:line="240" w:lineRule="auto"/>
        <w:ind w:firstLine="424" w:firstLineChars="200"/>
        <w:rPr>
          <w:rFonts w:hint="eastAsia" w:ascii="宋体" w:hAnsi="宋体" w:eastAsia="宋体" w:cs="宋体"/>
          <w:spacing w:val="1"/>
          <w:sz w:val="21"/>
          <w:szCs w:val="21"/>
        </w:rPr>
      </w:pPr>
      <w:r>
        <w:rPr>
          <w:rFonts w:hint="eastAsia" w:ascii="宋体" w:hAnsi="宋体" w:eastAsia="宋体" w:cs="宋体"/>
          <w:spacing w:val="1"/>
          <w:sz w:val="21"/>
          <w:szCs w:val="21"/>
        </w:rPr>
        <w:t>（一）预研（2025年1月～2025年6月）</w:t>
      </w:r>
    </w:p>
    <w:p w14:paraId="4FE21A17">
      <w:pPr>
        <w:spacing w:line="240" w:lineRule="auto"/>
        <w:ind w:firstLine="424" w:firstLineChars="200"/>
        <w:rPr>
          <w:rFonts w:hint="eastAsia" w:ascii="宋体" w:hAnsi="宋体" w:eastAsia="宋体" w:cs="宋体"/>
          <w:spacing w:val="1"/>
          <w:sz w:val="21"/>
          <w:szCs w:val="21"/>
        </w:rPr>
      </w:pPr>
      <w:r>
        <w:rPr>
          <w:rFonts w:hint="eastAsia" w:ascii="宋体" w:hAnsi="宋体" w:eastAsia="宋体" w:cs="宋体"/>
          <w:spacing w:val="1"/>
          <w:sz w:val="21"/>
          <w:szCs w:val="21"/>
        </w:rPr>
        <w:t>接到编制任务后，中国民族卫生协会风湿疑难病专业委员会联合长春中医药大学、长春中医药大学附属第一医院、长春吉润净月医院等多家单位，于2025年1月成立了标准起草小组并启动编制工作。在第一次全体成员会议上，明确了标准编制的总体思路、技术路线和分步实施计划，确定了“病证结合、分期分型、循证与经验互补、动态调方”的编制方针。</w:t>
      </w:r>
    </w:p>
    <w:p w14:paraId="05B2E8FE">
      <w:pPr>
        <w:ind w:firstLine="424" w:firstLineChars="200"/>
        <w:rPr>
          <w:rFonts w:hint="eastAsia" w:ascii="宋体" w:hAnsi="宋体" w:eastAsia="宋体" w:cs="宋体"/>
          <w:spacing w:val="1"/>
          <w:sz w:val="21"/>
          <w:szCs w:val="21"/>
        </w:rPr>
      </w:pPr>
      <w:r>
        <w:rPr>
          <w:rFonts w:hint="eastAsia" w:ascii="宋体" w:hAnsi="宋体" w:eastAsia="宋体" w:cs="宋体"/>
          <w:spacing w:val="1"/>
          <w:sz w:val="21"/>
          <w:szCs w:val="21"/>
        </w:rPr>
        <w:t>起草小组系统检索了国内外PsA诊疗相关指南、共识及文献资料，包括</w:t>
      </w:r>
      <w:r>
        <w:rPr>
          <w:rFonts w:hint="eastAsia" w:eastAsia="宋体"/>
          <w:sz w:val="21"/>
          <w:szCs w:val="21"/>
          <w:highlight w:val="none"/>
          <w:lang w:val="en-US" w:eastAsia="zh-CN"/>
        </w:rPr>
        <w:t>2006 年国际多中心专家联盟发布</w:t>
      </w:r>
      <w:r>
        <w:rPr>
          <w:rFonts w:hint="eastAsia"/>
          <w:sz w:val="21"/>
          <w:szCs w:val="21"/>
          <w:highlight w:val="none"/>
        </w:rPr>
        <w:t>CASPAR 分类标准</w:t>
      </w:r>
      <w:r>
        <w:rPr>
          <w:rFonts w:hint="eastAsia" w:eastAsia="宋体"/>
          <w:sz w:val="21"/>
          <w:szCs w:val="21"/>
          <w:highlight w:val="none"/>
          <w:lang w:eastAsia="zh-CN"/>
        </w:rPr>
        <w:t>、</w:t>
      </w:r>
      <w:r>
        <w:rPr>
          <w:rFonts w:hint="eastAsia" w:eastAsia="宋体"/>
          <w:sz w:val="21"/>
          <w:szCs w:val="21"/>
          <w:highlight w:val="none"/>
          <w:lang w:val="en-US" w:eastAsia="zh-CN"/>
        </w:rPr>
        <w:t>2022年国内</w:t>
      </w:r>
      <w:r>
        <w:rPr>
          <w:rFonts w:hint="eastAsia"/>
          <w:sz w:val="21"/>
          <w:szCs w:val="21"/>
          <w:highlight w:val="none"/>
        </w:rPr>
        <w:t>《银屑病关节炎诊疗规范（2022 版）》</w:t>
      </w:r>
      <w:r>
        <w:rPr>
          <w:rFonts w:hint="eastAsia" w:eastAsia="宋体"/>
          <w:sz w:val="21"/>
          <w:szCs w:val="21"/>
          <w:highlight w:val="none"/>
          <w:lang w:eastAsia="zh-CN"/>
        </w:rPr>
        <w:t>、</w:t>
      </w:r>
      <w:r>
        <w:rPr>
          <w:rFonts w:hint="eastAsia"/>
          <w:sz w:val="21"/>
          <w:szCs w:val="21"/>
          <w:highlight w:val="none"/>
        </w:rPr>
        <w:t>2025年</w:t>
      </w:r>
      <w:r>
        <w:rPr>
          <w:rFonts w:hint="eastAsia" w:eastAsia="宋体"/>
          <w:sz w:val="21"/>
          <w:szCs w:val="21"/>
          <w:highlight w:val="none"/>
          <w:lang w:val="en-US" w:eastAsia="zh-CN"/>
        </w:rPr>
        <w:t>国内</w:t>
      </w:r>
      <w:r>
        <w:rPr>
          <w:rFonts w:hint="eastAsia"/>
          <w:sz w:val="21"/>
          <w:szCs w:val="21"/>
          <w:highlight w:val="none"/>
        </w:rPr>
        <w:t>《银屑病关节炎早期识别与诊治专家共识（2025 版）》</w:t>
      </w:r>
      <w:r>
        <w:rPr>
          <w:rFonts w:hint="eastAsia" w:eastAsia="宋体"/>
          <w:sz w:val="21"/>
          <w:szCs w:val="21"/>
          <w:highlight w:val="none"/>
          <w:lang w:eastAsia="zh-CN"/>
        </w:rPr>
        <w:t>、</w:t>
      </w:r>
      <w:r>
        <w:rPr>
          <w:rFonts w:hint="eastAsia"/>
          <w:sz w:val="21"/>
          <w:szCs w:val="21"/>
          <w:highlight w:val="none"/>
        </w:rPr>
        <w:t>2025年《中国银屑病性关节炎诊疗指南（2025</w:t>
      </w:r>
      <w:r>
        <w:rPr>
          <w:rFonts w:hint="eastAsia" w:eastAsia="宋体"/>
          <w:sz w:val="21"/>
          <w:szCs w:val="21"/>
          <w:highlight w:val="none"/>
          <w:lang w:val="en-US" w:eastAsia="zh-CN"/>
        </w:rPr>
        <w:t>版</w:t>
      </w:r>
      <w:r>
        <w:rPr>
          <w:rFonts w:hint="eastAsia"/>
          <w:sz w:val="21"/>
          <w:szCs w:val="21"/>
          <w:highlight w:val="none"/>
        </w:rPr>
        <w:t>）》</w:t>
      </w:r>
      <w:r>
        <w:rPr>
          <w:rFonts w:hint="eastAsia" w:ascii="宋体" w:hAnsi="宋体" w:eastAsia="宋体" w:cs="宋体"/>
          <w:spacing w:val="1"/>
          <w:sz w:val="21"/>
          <w:szCs w:val="21"/>
        </w:rPr>
        <w:t>等，并对中医药治疗PsA的古今文献进行了全面梳理，为标准编制奠定了坚实的文献基础。</w:t>
      </w:r>
    </w:p>
    <w:p w14:paraId="72C89866">
      <w:pPr>
        <w:spacing w:line="240" w:lineRule="auto"/>
        <w:ind w:firstLine="424" w:firstLineChars="200"/>
        <w:rPr>
          <w:rFonts w:hint="eastAsia" w:ascii="宋体" w:hAnsi="宋体" w:eastAsia="宋体" w:cs="宋体"/>
          <w:spacing w:val="1"/>
          <w:sz w:val="21"/>
          <w:szCs w:val="21"/>
        </w:rPr>
      </w:pPr>
      <w:r>
        <w:rPr>
          <w:rFonts w:hint="eastAsia" w:ascii="宋体" w:hAnsi="宋体" w:eastAsia="宋体" w:cs="宋体"/>
          <w:spacing w:val="1"/>
          <w:sz w:val="21"/>
          <w:szCs w:val="21"/>
        </w:rPr>
        <w:t>（二）编制（2025年7月～2025年11月）</w:t>
      </w:r>
    </w:p>
    <w:p w14:paraId="405C551D">
      <w:pPr>
        <w:spacing w:line="240" w:lineRule="auto"/>
        <w:ind w:firstLine="424" w:firstLineChars="200"/>
        <w:rPr>
          <w:rFonts w:hint="eastAsia" w:ascii="宋体" w:hAnsi="宋体" w:eastAsia="宋体" w:cs="宋体"/>
          <w:spacing w:val="1"/>
          <w:sz w:val="21"/>
          <w:szCs w:val="21"/>
        </w:rPr>
      </w:pPr>
      <w:r>
        <w:rPr>
          <w:rFonts w:hint="eastAsia" w:ascii="宋体" w:hAnsi="宋体" w:eastAsia="宋体" w:cs="宋体"/>
          <w:spacing w:val="1"/>
          <w:sz w:val="21"/>
          <w:szCs w:val="21"/>
        </w:rPr>
        <w:t>2025年7月—2025年11月，标准起草小组确定了标准框架，共9个核心章节，分别是：范围、规范性引用文件、术语和定义、缩略语、总则、临床症状、诊断、治疗、预防与调护，另设资料性附录与参考文献。</w:t>
      </w:r>
    </w:p>
    <w:p w14:paraId="2CFA4F2C">
      <w:pPr>
        <w:spacing w:line="240" w:lineRule="auto"/>
        <w:ind w:firstLine="424" w:firstLineChars="200"/>
        <w:rPr>
          <w:rFonts w:hint="eastAsia" w:ascii="宋体" w:hAnsi="宋体" w:eastAsia="宋体" w:cs="宋体"/>
          <w:spacing w:val="1"/>
          <w:sz w:val="21"/>
          <w:szCs w:val="21"/>
        </w:rPr>
      </w:pPr>
      <w:r>
        <w:rPr>
          <w:rFonts w:hint="eastAsia" w:ascii="宋体" w:hAnsi="宋体" w:eastAsia="宋体" w:cs="宋体"/>
          <w:spacing w:val="1"/>
          <w:sz w:val="21"/>
          <w:szCs w:val="21"/>
        </w:rPr>
        <w:t>2025年10月初，标准起草小组专家代表与</w:t>
      </w:r>
      <w:r>
        <w:rPr>
          <w:rFonts w:hint="eastAsia" w:ascii="宋体" w:hAnsi="宋体" w:eastAsia="宋体" w:cs="宋体"/>
          <w:spacing w:val="1"/>
          <w:sz w:val="21"/>
          <w:szCs w:val="21"/>
          <w:lang w:val="en-US" w:eastAsia="zh-CN"/>
        </w:rPr>
        <w:t>中国</w:t>
      </w:r>
      <w:r>
        <w:rPr>
          <w:rFonts w:hint="eastAsia" w:ascii="宋体" w:hAnsi="宋体" w:eastAsia="宋体" w:cs="宋体"/>
          <w:spacing w:val="1"/>
          <w:sz w:val="21"/>
          <w:szCs w:val="21"/>
        </w:rPr>
        <w:t>民族卫生协会标委会专家针对《</w:t>
      </w:r>
      <w:r>
        <w:rPr>
          <w:rFonts w:hint="eastAsia" w:ascii="宋体" w:hAnsi="宋体" w:eastAsia="宋体" w:cs="宋体"/>
          <w:spacing w:val="1"/>
          <w:sz w:val="21"/>
          <w:szCs w:val="21"/>
          <w:lang w:val="en-US" w:eastAsia="zh-CN"/>
        </w:rPr>
        <w:t>银屑病性</w:t>
      </w:r>
      <w:r>
        <w:rPr>
          <w:rFonts w:hint="eastAsia" w:ascii="宋体" w:hAnsi="宋体" w:eastAsia="宋体" w:cs="宋体"/>
          <w:spacing w:val="1"/>
          <w:sz w:val="21"/>
          <w:szCs w:val="21"/>
        </w:rPr>
        <w:t>关节炎中西医诊疗标准》团标内容的科学性进行了进一步的讨论，最终从标准的制定要求以及行业的需求等多方面考虑，将《</w:t>
      </w:r>
      <w:r>
        <w:rPr>
          <w:rFonts w:hint="eastAsia" w:ascii="宋体" w:hAnsi="宋体" w:eastAsia="宋体" w:cs="宋体"/>
          <w:spacing w:val="1"/>
          <w:sz w:val="21"/>
          <w:szCs w:val="21"/>
          <w:lang w:val="en-US" w:eastAsia="zh-CN"/>
        </w:rPr>
        <w:t>银屑病性</w:t>
      </w:r>
      <w:r>
        <w:rPr>
          <w:rFonts w:hint="eastAsia" w:ascii="宋体" w:hAnsi="宋体" w:eastAsia="宋体" w:cs="宋体"/>
          <w:spacing w:val="1"/>
          <w:sz w:val="21"/>
          <w:szCs w:val="21"/>
        </w:rPr>
        <w:t xml:space="preserve">关节炎中西医诊疗标准》团标修定为《常见风湿免疫疾病中西医结合临床诊疗指南 </w:t>
      </w:r>
      <w:r>
        <w:rPr>
          <w:rFonts w:hint="eastAsia" w:ascii="宋体" w:hAnsi="宋体" w:eastAsia="宋体" w:cs="宋体"/>
          <w:spacing w:val="1"/>
          <w:sz w:val="21"/>
          <w:szCs w:val="21"/>
          <w:lang w:val="en-US" w:eastAsia="zh-CN"/>
        </w:rPr>
        <w:t>银屑病性</w:t>
      </w:r>
      <w:r>
        <w:rPr>
          <w:rFonts w:hint="eastAsia" w:ascii="宋体" w:hAnsi="宋体" w:eastAsia="宋体" w:cs="宋体"/>
          <w:spacing w:val="1"/>
          <w:sz w:val="21"/>
          <w:szCs w:val="21"/>
        </w:rPr>
        <w:t>关节炎》团标。随后起草小组根据专家意见，经过多次讨论及修改，对原有内容作了相应调整。</w:t>
      </w:r>
    </w:p>
    <w:p w14:paraId="2DB49D66">
      <w:pPr>
        <w:spacing w:line="240" w:lineRule="auto"/>
        <w:ind w:firstLine="424" w:firstLineChars="200"/>
        <w:rPr>
          <w:rFonts w:hint="eastAsia" w:ascii="宋体" w:hAnsi="宋体" w:eastAsia="宋体" w:cs="宋体"/>
          <w:spacing w:val="1"/>
          <w:sz w:val="21"/>
          <w:szCs w:val="21"/>
        </w:rPr>
      </w:pPr>
      <w:r>
        <w:rPr>
          <w:rFonts w:hint="eastAsia" w:ascii="宋体" w:hAnsi="宋体" w:eastAsia="宋体" w:cs="宋体"/>
          <w:spacing w:val="1"/>
          <w:sz w:val="21"/>
          <w:szCs w:val="21"/>
        </w:rPr>
        <w:t>（三）研讨（2025年12月）</w:t>
      </w:r>
    </w:p>
    <w:p w14:paraId="7CF0F5C3">
      <w:pPr>
        <w:spacing w:line="240" w:lineRule="auto"/>
        <w:ind w:firstLine="424" w:firstLineChars="200"/>
        <w:rPr>
          <w:rFonts w:hint="eastAsia" w:ascii="宋体" w:hAnsi="宋体" w:eastAsia="宋体" w:cs="宋体"/>
          <w:snapToGrid w:val="0"/>
          <w:color w:val="0000FF"/>
          <w:spacing w:val="8"/>
          <w:kern w:val="0"/>
          <w:sz w:val="21"/>
          <w:szCs w:val="21"/>
          <w:lang w:val="en-US" w:eastAsia="en-US" w:bidi="ar-SA"/>
        </w:rPr>
      </w:pPr>
      <w:r>
        <w:rPr>
          <w:rFonts w:hint="eastAsia" w:ascii="宋体" w:hAnsi="宋体" w:eastAsia="宋体" w:cs="宋体"/>
          <w:spacing w:val="1"/>
          <w:sz w:val="21"/>
          <w:szCs w:val="21"/>
        </w:rPr>
        <w:t>2025年12月初，起草小组在完成标准修订稿的基础上，开展了数次研讨，对照专家评审意见对草案进行逐条修改，形成送审稿。</w:t>
      </w:r>
    </w:p>
    <w:p w14:paraId="332E87B0">
      <w:pPr>
        <w:spacing w:line="240" w:lineRule="auto"/>
        <w:rPr>
          <w:rFonts w:hint="eastAsia" w:ascii="宋体" w:hAnsi="宋体" w:eastAsia="宋体" w:cs="宋体"/>
          <w:spacing w:val="8"/>
          <w:sz w:val="21"/>
          <w:szCs w:val="21"/>
        </w:rPr>
      </w:pPr>
    </w:p>
    <w:p w14:paraId="0763C7A7">
      <w:pPr>
        <w:spacing w:line="240" w:lineRule="auto"/>
        <w:rPr>
          <w:rFonts w:hint="eastAsia" w:ascii="宋体" w:hAnsi="宋体" w:eastAsia="宋体" w:cs="宋体"/>
          <w:sz w:val="21"/>
          <w:szCs w:val="21"/>
        </w:rPr>
      </w:pPr>
      <w:r>
        <w:rPr>
          <w:rFonts w:hint="eastAsia" w:ascii="宋体" w:hAnsi="宋体" w:eastAsia="宋体" w:cs="宋体"/>
          <w:spacing w:val="8"/>
          <w:sz w:val="21"/>
          <w:szCs w:val="21"/>
        </w:rPr>
        <w:t>三、标准编制原则及主要技术内容确定</w:t>
      </w:r>
    </w:p>
    <w:p w14:paraId="7204EACB">
      <w:pPr>
        <w:spacing w:line="240" w:lineRule="auto"/>
        <w:ind w:left="0" w:firstLine="440" w:firstLineChars="200"/>
        <w:outlineLvl w:val="0"/>
        <w:rPr>
          <w:rFonts w:hint="eastAsia" w:ascii="宋体" w:hAnsi="宋体" w:eastAsia="宋体" w:cs="宋体"/>
          <w:sz w:val="21"/>
          <w:szCs w:val="21"/>
        </w:rPr>
      </w:pPr>
      <w:r>
        <w:rPr>
          <w:rFonts w:hint="eastAsia" w:ascii="宋体" w:hAnsi="宋体" w:eastAsia="宋体" w:cs="宋体"/>
          <w:spacing w:val="5"/>
          <w:sz w:val="21"/>
          <w:szCs w:val="21"/>
        </w:rPr>
        <w:t>（一）标准编制原则</w:t>
      </w:r>
    </w:p>
    <w:p w14:paraId="6F7D6857">
      <w:pPr>
        <w:pStyle w:val="2"/>
        <w:spacing w:line="240" w:lineRule="auto"/>
        <w:ind w:left="0" w:right="0" w:firstLine="444" w:firstLineChars="200"/>
        <w:rPr>
          <w:rFonts w:hint="eastAsia" w:ascii="宋体" w:hAnsi="宋体" w:eastAsia="宋体" w:cs="宋体"/>
          <w:spacing w:val="6"/>
          <w:sz w:val="21"/>
          <w:szCs w:val="21"/>
        </w:rPr>
      </w:pPr>
      <w:r>
        <w:rPr>
          <w:rFonts w:hint="eastAsia" w:ascii="宋体" w:hAnsi="宋体" w:eastAsia="宋体" w:cs="宋体"/>
          <w:spacing w:val="6"/>
          <w:sz w:val="21"/>
          <w:szCs w:val="21"/>
          <w:lang w:val="en-US" w:eastAsia="zh-CN"/>
        </w:rPr>
        <w:t>1、科学性原则：指南的编制严格遵循循证医学理念，系统梳理国内外相关临床研究成果、权威指南及专家共识，结合中西医诊疗理论和临床实践经验，借鉴CASPAR分类标准等国际公认的诊断标准，确保指南内容科学严谨、证据充分、符合医学发展规律，同时融入中医辨证论治的核心思想，体现中西医结合的科学性。</w:t>
      </w:r>
    </w:p>
    <w:p w14:paraId="4ADC802E">
      <w:pPr>
        <w:pStyle w:val="2"/>
        <w:spacing w:line="240" w:lineRule="auto"/>
        <w:ind w:left="0" w:right="0" w:firstLine="444" w:firstLineChars="200"/>
        <w:rPr>
          <w:rFonts w:hint="eastAsia" w:ascii="宋体" w:hAnsi="宋体" w:eastAsia="宋体" w:cs="宋体"/>
          <w:spacing w:val="6"/>
          <w:sz w:val="21"/>
          <w:szCs w:val="21"/>
        </w:rPr>
      </w:pPr>
      <w:r>
        <w:rPr>
          <w:rFonts w:hint="eastAsia" w:ascii="宋体" w:hAnsi="宋体" w:eastAsia="宋体" w:cs="宋体"/>
          <w:spacing w:val="6"/>
          <w:sz w:val="21"/>
          <w:szCs w:val="21"/>
          <w:lang w:val="en-US" w:eastAsia="zh-CN"/>
        </w:rPr>
        <w:t>2、实用性原则：本指南的制定以临床实际需求为核心，结合银屑病性关节炎的中西医诊疗特点，明确诊疗流程、辨证要点、治疗方案及疗效评价标准，条款内容具体、可操作，能够直接指导临床医师开展诊疗工作，解决临床实际问题，确保指南的实用性和可推广性。</w:t>
      </w:r>
    </w:p>
    <w:p w14:paraId="520373FC">
      <w:pPr>
        <w:pStyle w:val="2"/>
        <w:spacing w:line="240" w:lineRule="auto"/>
        <w:ind w:left="0" w:right="0" w:firstLine="444" w:firstLineChars="200"/>
        <w:rPr>
          <w:rFonts w:hint="eastAsia" w:ascii="宋体" w:hAnsi="宋体" w:eastAsia="宋体" w:cs="宋体"/>
          <w:sz w:val="21"/>
          <w:szCs w:val="21"/>
        </w:rPr>
      </w:pPr>
      <w:r>
        <w:rPr>
          <w:rFonts w:hint="eastAsia" w:ascii="宋体" w:hAnsi="宋体" w:eastAsia="宋体" w:cs="宋体"/>
          <w:spacing w:val="6"/>
          <w:sz w:val="21"/>
          <w:szCs w:val="21"/>
          <w:lang w:val="en-US" w:eastAsia="zh-CN"/>
        </w:rPr>
        <w:t>3、中西医结合原则：充分发挥中医、西医各自的诊疗优势，注重中西医结合的协同作用，明确中医辨证论治、西医精准治疗的具体方案，规范中西医结合诊疗路径，实现优势互补，提升诊疗效果，减少不良反应，兼顾传统诊疗经验与现代医学进展，推动中西医结合诊疗技术的规范化发展</w:t>
      </w:r>
      <w:r>
        <w:rPr>
          <w:rFonts w:hint="eastAsia" w:ascii="宋体" w:hAnsi="宋体" w:eastAsia="宋体" w:cs="宋体"/>
          <w:spacing w:val="8"/>
          <w:sz w:val="21"/>
          <w:szCs w:val="21"/>
        </w:rPr>
        <w:t>。</w:t>
      </w:r>
    </w:p>
    <w:p w14:paraId="1799A306">
      <w:pPr>
        <w:pStyle w:val="2"/>
        <w:spacing w:line="240" w:lineRule="auto"/>
        <w:ind w:left="0" w:right="0" w:firstLine="444" w:firstLineChars="200"/>
        <w:rPr>
          <w:rFonts w:hint="eastAsia" w:ascii="宋体" w:hAnsi="宋体" w:eastAsia="宋体" w:cs="宋体"/>
          <w:spacing w:val="6"/>
          <w:sz w:val="21"/>
          <w:szCs w:val="21"/>
        </w:rPr>
      </w:pPr>
      <w:r>
        <w:rPr>
          <w:rFonts w:hint="eastAsia" w:ascii="宋体" w:hAnsi="宋体" w:eastAsia="宋体" w:cs="宋体"/>
          <w:spacing w:val="6"/>
          <w:sz w:val="21"/>
          <w:szCs w:val="21"/>
          <w:lang w:val="en-US" w:eastAsia="zh-CN"/>
        </w:rPr>
        <w:t>4、规范性原则：本指南编写严格遵循GB/T1.1-2009《标准化工作导则 第一部分：标准的结构和编写》要求，同时兼顾GB/T1.1-2020《标准化工作导则 第一部分：标准化文件的结构和起草规则》、GB/T1.2-2002《标准化工作导则 第二部分：标准中规范性技术要素内容的确定方法》的相关规格，从格式、内容、语言文字到技术参数，均经过反复推敲、论证，确保指南的规范性和统一性。</w:t>
      </w:r>
    </w:p>
    <w:p w14:paraId="45B23077">
      <w:pPr>
        <w:spacing w:line="240" w:lineRule="auto"/>
        <w:ind w:left="0" w:firstLine="444" w:firstLineChars="200"/>
        <w:outlineLvl w:val="0"/>
        <w:rPr>
          <w:rFonts w:hint="eastAsia" w:ascii="宋体" w:hAnsi="宋体" w:eastAsia="宋体" w:cs="宋体"/>
          <w:sz w:val="21"/>
          <w:szCs w:val="21"/>
        </w:rPr>
      </w:pPr>
      <w:r>
        <w:rPr>
          <w:rFonts w:hint="eastAsia" w:ascii="宋体" w:hAnsi="宋体" w:eastAsia="宋体" w:cs="宋体"/>
          <w:spacing w:val="6"/>
          <w:sz w:val="21"/>
          <w:szCs w:val="21"/>
        </w:rPr>
        <w:t>（二）团体标准主要内容确定</w:t>
      </w:r>
    </w:p>
    <w:p w14:paraId="3B4B7472">
      <w:pPr>
        <w:pStyle w:val="2"/>
        <w:spacing w:line="240" w:lineRule="auto"/>
        <w:ind w:left="0" w:firstLine="444" w:firstLineChars="200"/>
        <w:rPr>
          <w:rFonts w:hint="eastAsia" w:ascii="宋体" w:hAnsi="宋体" w:eastAsia="宋体" w:cs="宋体"/>
          <w:sz w:val="21"/>
          <w:szCs w:val="21"/>
        </w:rPr>
      </w:pPr>
      <w:r>
        <w:rPr>
          <w:rFonts w:hint="eastAsia" w:ascii="宋体" w:hAnsi="宋体" w:eastAsia="宋体" w:cs="宋体"/>
          <w:spacing w:val="6"/>
          <w:sz w:val="21"/>
          <w:szCs w:val="21"/>
        </w:rPr>
        <w:t>本标准主要内容如下：</w:t>
      </w:r>
    </w:p>
    <w:p w14:paraId="0B1B1004">
      <w:pPr>
        <w:pStyle w:val="2"/>
        <w:spacing w:line="240" w:lineRule="auto"/>
        <w:ind w:left="0" w:right="0" w:firstLine="444" w:firstLineChars="200"/>
        <w:rPr>
          <w:rFonts w:hint="eastAsia" w:ascii="宋体" w:hAnsi="宋体" w:eastAsia="宋体" w:cs="宋体"/>
          <w:spacing w:val="6"/>
          <w:sz w:val="21"/>
          <w:szCs w:val="21"/>
          <w:lang w:val="en-US" w:eastAsia="zh-CN"/>
        </w:rPr>
      </w:pPr>
      <w:r>
        <w:rPr>
          <w:rFonts w:hint="eastAsia" w:ascii="宋体" w:hAnsi="宋体" w:eastAsia="宋体" w:cs="宋体"/>
          <w:spacing w:val="6"/>
          <w:sz w:val="21"/>
          <w:szCs w:val="21"/>
          <w:lang w:val="en-US" w:eastAsia="zh-CN"/>
        </w:rPr>
        <w:t>1范围</w:t>
      </w:r>
    </w:p>
    <w:p w14:paraId="26B5C02E">
      <w:pPr>
        <w:pStyle w:val="2"/>
        <w:spacing w:line="240" w:lineRule="auto"/>
        <w:ind w:left="0" w:right="0" w:firstLine="444" w:firstLineChars="200"/>
        <w:rPr>
          <w:rFonts w:hint="eastAsia" w:ascii="宋体" w:hAnsi="宋体" w:eastAsia="宋体" w:cs="宋体"/>
          <w:spacing w:val="6"/>
          <w:sz w:val="21"/>
          <w:szCs w:val="21"/>
          <w:lang w:val="en-US" w:eastAsia="zh-CN"/>
        </w:rPr>
      </w:pPr>
      <w:r>
        <w:rPr>
          <w:rFonts w:hint="eastAsia" w:ascii="宋体" w:hAnsi="宋体" w:eastAsia="宋体" w:cs="宋体"/>
          <w:spacing w:val="6"/>
          <w:sz w:val="21"/>
          <w:szCs w:val="21"/>
          <w:lang w:val="en-US" w:eastAsia="zh-CN"/>
        </w:rPr>
        <w:t>2规范性引用文件</w:t>
      </w:r>
    </w:p>
    <w:p w14:paraId="4CD109B5">
      <w:pPr>
        <w:pStyle w:val="2"/>
        <w:spacing w:line="240" w:lineRule="auto"/>
        <w:ind w:left="0" w:right="0" w:firstLine="444" w:firstLineChars="200"/>
        <w:rPr>
          <w:rFonts w:hint="eastAsia" w:ascii="宋体" w:hAnsi="宋体" w:eastAsia="宋体" w:cs="宋体"/>
          <w:spacing w:val="6"/>
          <w:sz w:val="21"/>
          <w:szCs w:val="21"/>
          <w:lang w:val="en-US" w:eastAsia="zh-CN"/>
        </w:rPr>
      </w:pPr>
      <w:r>
        <w:rPr>
          <w:rFonts w:hint="eastAsia" w:ascii="宋体" w:hAnsi="宋体" w:eastAsia="宋体" w:cs="宋体"/>
          <w:spacing w:val="6"/>
          <w:sz w:val="21"/>
          <w:szCs w:val="21"/>
          <w:lang w:val="en-US" w:eastAsia="zh-CN"/>
        </w:rPr>
        <w:t>3术语和定义</w:t>
      </w:r>
    </w:p>
    <w:p w14:paraId="391E82C1">
      <w:pPr>
        <w:pStyle w:val="2"/>
        <w:spacing w:line="240" w:lineRule="auto"/>
        <w:ind w:left="0" w:right="0" w:firstLine="444" w:firstLineChars="200"/>
        <w:rPr>
          <w:rFonts w:hint="eastAsia" w:ascii="宋体" w:hAnsi="宋体" w:eastAsia="宋体" w:cs="宋体"/>
          <w:spacing w:val="6"/>
          <w:sz w:val="21"/>
          <w:szCs w:val="21"/>
          <w:lang w:val="en-US" w:eastAsia="zh-CN"/>
        </w:rPr>
      </w:pPr>
      <w:r>
        <w:rPr>
          <w:rFonts w:hint="eastAsia" w:ascii="宋体" w:hAnsi="宋体" w:eastAsia="宋体" w:cs="宋体"/>
          <w:spacing w:val="6"/>
          <w:sz w:val="21"/>
          <w:szCs w:val="21"/>
          <w:lang w:val="en-US" w:eastAsia="zh-CN"/>
        </w:rPr>
        <w:t>4缩略语</w:t>
      </w:r>
    </w:p>
    <w:p w14:paraId="3D530104">
      <w:pPr>
        <w:pStyle w:val="2"/>
        <w:spacing w:line="240" w:lineRule="auto"/>
        <w:ind w:left="0" w:right="0" w:firstLine="444" w:firstLineChars="200"/>
        <w:rPr>
          <w:rFonts w:hint="eastAsia" w:ascii="宋体" w:hAnsi="宋体" w:eastAsia="宋体" w:cs="宋体"/>
          <w:spacing w:val="6"/>
          <w:sz w:val="21"/>
          <w:szCs w:val="21"/>
          <w:lang w:val="en-US" w:eastAsia="zh-CN"/>
        </w:rPr>
      </w:pPr>
      <w:r>
        <w:rPr>
          <w:rFonts w:hint="eastAsia" w:ascii="宋体" w:hAnsi="宋体" w:eastAsia="宋体" w:cs="宋体"/>
          <w:spacing w:val="6"/>
          <w:sz w:val="21"/>
          <w:szCs w:val="21"/>
          <w:lang w:val="en-US" w:eastAsia="zh-CN"/>
        </w:rPr>
        <w:t>5总则</w:t>
      </w:r>
    </w:p>
    <w:p w14:paraId="45521B79">
      <w:pPr>
        <w:pStyle w:val="2"/>
        <w:spacing w:line="240" w:lineRule="auto"/>
        <w:ind w:left="0" w:right="0" w:firstLine="444" w:firstLineChars="200"/>
        <w:rPr>
          <w:rFonts w:hint="eastAsia" w:ascii="宋体" w:hAnsi="宋体" w:eastAsia="宋体" w:cs="宋体"/>
          <w:spacing w:val="6"/>
          <w:sz w:val="21"/>
          <w:szCs w:val="21"/>
          <w:lang w:val="en-US" w:eastAsia="zh-CN"/>
        </w:rPr>
      </w:pPr>
      <w:r>
        <w:rPr>
          <w:rFonts w:hint="eastAsia" w:ascii="宋体" w:hAnsi="宋体" w:eastAsia="宋体" w:cs="宋体"/>
          <w:spacing w:val="6"/>
          <w:sz w:val="21"/>
          <w:szCs w:val="21"/>
          <w:lang w:val="en-US" w:eastAsia="zh-CN"/>
        </w:rPr>
        <w:t>6诊断</w:t>
      </w:r>
    </w:p>
    <w:p w14:paraId="00399A21">
      <w:pPr>
        <w:pStyle w:val="2"/>
        <w:spacing w:line="240" w:lineRule="auto"/>
        <w:ind w:left="0" w:right="0" w:firstLine="444" w:firstLineChars="200"/>
        <w:rPr>
          <w:rFonts w:hint="eastAsia" w:ascii="宋体" w:hAnsi="宋体" w:eastAsia="宋体" w:cs="宋体"/>
          <w:spacing w:val="6"/>
          <w:sz w:val="21"/>
          <w:szCs w:val="21"/>
          <w:lang w:val="en-US" w:eastAsia="zh-CN"/>
        </w:rPr>
      </w:pPr>
      <w:r>
        <w:rPr>
          <w:rFonts w:hint="eastAsia" w:ascii="宋体" w:hAnsi="宋体" w:eastAsia="宋体" w:cs="宋体"/>
          <w:spacing w:val="6"/>
          <w:sz w:val="21"/>
          <w:szCs w:val="21"/>
          <w:lang w:val="en-US" w:eastAsia="zh-CN"/>
        </w:rPr>
        <w:t>7治疗</w:t>
      </w:r>
    </w:p>
    <w:p w14:paraId="7FA5C7A6">
      <w:pPr>
        <w:pStyle w:val="2"/>
        <w:spacing w:line="240" w:lineRule="auto"/>
        <w:ind w:left="0" w:right="0" w:firstLine="444" w:firstLineChars="200"/>
        <w:rPr>
          <w:rFonts w:hint="eastAsia" w:ascii="宋体" w:hAnsi="宋体" w:eastAsia="宋体" w:cs="宋体"/>
          <w:spacing w:val="6"/>
          <w:sz w:val="21"/>
          <w:szCs w:val="21"/>
          <w:lang w:val="en-US" w:eastAsia="zh-CN"/>
        </w:rPr>
      </w:pPr>
      <w:r>
        <w:rPr>
          <w:rFonts w:hint="eastAsia" w:ascii="宋体" w:hAnsi="宋体" w:eastAsia="宋体" w:cs="宋体"/>
          <w:spacing w:val="6"/>
          <w:sz w:val="21"/>
          <w:szCs w:val="21"/>
          <w:lang w:val="en-US" w:eastAsia="zh-CN"/>
        </w:rPr>
        <w:t>8预防与调护</w:t>
      </w:r>
    </w:p>
    <w:p w14:paraId="265C56E4">
      <w:pPr>
        <w:pStyle w:val="2"/>
        <w:spacing w:line="240" w:lineRule="auto"/>
        <w:ind w:left="0" w:right="0" w:firstLine="444" w:firstLineChars="200"/>
        <w:rPr>
          <w:rFonts w:hint="eastAsia" w:ascii="宋体" w:hAnsi="宋体" w:eastAsia="宋体" w:cs="宋体"/>
          <w:sz w:val="21"/>
          <w:szCs w:val="21"/>
        </w:rPr>
      </w:pPr>
      <w:r>
        <w:rPr>
          <w:rFonts w:hint="eastAsia" w:ascii="宋体" w:hAnsi="宋体" w:eastAsia="宋体" w:cs="宋体"/>
          <w:spacing w:val="6"/>
          <w:sz w:val="21"/>
          <w:szCs w:val="21"/>
          <w:lang w:val="en-US" w:eastAsia="zh-CN"/>
        </w:rPr>
        <w:t>其中，诊断部分涵盖西医临床表现、实验室与影像学检查、分类标准与疾病活动度评估，以及中医辨证分型，实现辨病与辨证的统一；治疗部分构建西医分层药物治疗、中医辨证论治、外治疗法、营养管理、运动康复、心理调护相结合的综合诊疗体系，突出中西医结合的全病程管理理念。</w:t>
      </w:r>
    </w:p>
    <w:p w14:paraId="3A494E00">
      <w:pPr>
        <w:pStyle w:val="2"/>
        <w:spacing w:line="240" w:lineRule="auto"/>
        <w:ind w:right="0" w:firstLine="448" w:firstLineChars="200"/>
        <w:rPr>
          <w:rFonts w:hint="eastAsia" w:ascii="宋体" w:hAnsi="宋体" w:eastAsia="宋体" w:cs="宋体"/>
          <w:spacing w:val="7"/>
          <w:sz w:val="21"/>
          <w:szCs w:val="21"/>
        </w:rPr>
      </w:pPr>
    </w:p>
    <w:p w14:paraId="391E50B7">
      <w:pPr>
        <w:pStyle w:val="2"/>
        <w:spacing w:line="240" w:lineRule="auto"/>
        <w:ind w:right="0" w:firstLine="448" w:firstLineChars="200"/>
        <w:rPr>
          <w:rFonts w:hint="eastAsia" w:ascii="宋体" w:hAnsi="宋体" w:eastAsia="宋体" w:cs="宋体"/>
          <w:snapToGrid w:val="0"/>
          <w:color w:val="000000"/>
          <w:spacing w:val="8"/>
          <w:kern w:val="0"/>
          <w:sz w:val="21"/>
          <w:szCs w:val="21"/>
          <w:lang w:val="en-US" w:eastAsia="en-US" w:bidi="ar-SA"/>
        </w:rPr>
      </w:pPr>
      <w:r>
        <w:rPr>
          <w:rFonts w:hint="eastAsia" w:ascii="宋体" w:hAnsi="宋体" w:eastAsia="宋体" w:cs="宋体"/>
          <w:spacing w:val="7"/>
          <w:sz w:val="21"/>
          <w:szCs w:val="21"/>
        </w:rPr>
        <w:t>四</w:t>
      </w:r>
      <w:r>
        <w:rPr>
          <w:rFonts w:hint="eastAsia" w:ascii="宋体" w:hAnsi="宋体" w:eastAsia="宋体" w:cs="宋体"/>
          <w:snapToGrid w:val="0"/>
          <w:color w:val="000000"/>
          <w:spacing w:val="8"/>
          <w:kern w:val="0"/>
          <w:sz w:val="21"/>
          <w:szCs w:val="21"/>
          <w:lang w:val="en-US" w:eastAsia="en-US" w:bidi="ar-SA"/>
        </w:rPr>
        <w:t>、采用国际、国内标准情</w:t>
      </w:r>
      <w:r>
        <w:rPr>
          <w:rFonts w:hint="eastAsia" w:ascii="宋体" w:hAnsi="宋体" w:eastAsia="宋体" w:cs="宋体"/>
          <w:snapToGrid w:val="0"/>
          <w:color w:val="000000"/>
          <w:spacing w:val="8"/>
          <w:kern w:val="0"/>
          <w:sz w:val="21"/>
          <w:szCs w:val="21"/>
          <w:lang w:val="en-US" w:eastAsia="zh-CN" w:bidi="ar-SA"/>
        </w:rPr>
        <w:t>况</w:t>
      </w:r>
      <w:r>
        <w:rPr>
          <w:rFonts w:hint="eastAsia" w:ascii="宋体" w:hAnsi="宋体" w:eastAsia="宋体" w:cs="宋体"/>
          <w:snapToGrid w:val="0"/>
          <w:color w:val="000000"/>
          <w:spacing w:val="8"/>
          <w:kern w:val="0"/>
          <w:sz w:val="21"/>
          <w:szCs w:val="21"/>
          <w:lang w:val="en-US" w:eastAsia="en-US" w:bidi="ar-SA"/>
        </w:rPr>
        <w:t xml:space="preserve"> </w:t>
      </w:r>
    </w:p>
    <w:p w14:paraId="154A2EB6">
      <w:pPr>
        <w:ind w:firstLine="420" w:firstLineChars="200"/>
        <w:rPr>
          <w:rFonts w:hint="eastAsia"/>
          <w:sz w:val="21"/>
          <w:szCs w:val="21"/>
          <w:highlight w:val="none"/>
        </w:rPr>
      </w:pPr>
      <w:r>
        <w:rPr>
          <w:rFonts w:hint="eastAsia"/>
          <w:sz w:val="21"/>
          <w:szCs w:val="21"/>
          <w:highlight w:val="none"/>
        </w:rPr>
        <w:t>本标准在制定过程中参考了以下国际、国内标准及指南：</w:t>
      </w:r>
    </w:p>
    <w:p w14:paraId="37736799">
      <w:pPr>
        <w:ind w:firstLine="420" w:firstLineChars="200"/>
        <w:rPr>
          <w:rFonts w:hint="eastAsia"/>
          <w:sz w:val="21"/>
          <w:szCs w:val="21"/>
          <w:highlight w:val="none"/>
        </w:rPr>
      </w:pPr>
      <w:r>
        <w:rPr>
          <w:rFonts w:hint="eastAsia" w:eastAsia="宋体"/>
          <w:sz w:val="21"/>
          <w:szCs w:val="21"/>
          <w:highlight w:val="none"/>
          <w:lang w:val="en-US" w:eastAsia="zh-CN"/>
        </w:rPr>
        <w:t>2006 年国际多中心专家联盟发布</w:t>
      </w:r>
      <w:r>
        <w:rPr>
          <w:rFonts w:hint="eastAsia"/>
          <w:sz w:val="21"/>
          <w:szCs w:val="21"/>
          <w:highlight w:val="none"/>
        </w:rPr>
        <w:t>CASPAR 分类标准</w:t>
      </w:r>
    </w:p>
    <w:p w14:paraId="5137AE42">
      <w:pPr>
        <w:ind w:firstLine="420" w:firstLineChars="200"/>
        <w:rPr>
          <w:rFonts w:hint="eastAsia"/>
          <w:sz w:val="21"/>
          <w:szCs w:val="21"/>
          <w:highlight w:val="none"/>
        </w:rPr>
      </w:pPr>
      <w:r>
        <w:rPr>
          <w:rFonts w:hint="eastAsia" w:eastAsia="宋体"/>
          <w:sz w:val="21"/>
          <w:szCs w:val="21"/>
          <w:highlight w:val="none"/>
          <w:lang w:val="en-US" w:eastAsia="zh-CN"/>
        </w:rPr>
        <w:t>2022年国内</w:t>
      </w:r>
      <w:r>
        <w:rPr>
          <w:rFonts w:hint="eastAsia"/>
          <w:sz w:val="21"/>
          <w:szCs w:val="21"/>
          <w:highlight w:val="none"/>
        </w:rPr>
        <w:t>《银屑病关节炎诊疗规范（2022 版）》</w:t>
      </w:r>
    </w:p>
    <w:p w14:paraId="5B8D7AE3">
      <w:pPr>
        <w:ind w:firstLine="420" w:firstLineChars="200"/>
        <w:rPr>
          <w:rFonts w:hint="eastAsia"/>
          <w:sz w:val="21"/>
          <w:szCs w:val="21"/>
          <w:highlight w:val="none"/>
        </w:rPr>
      </w:pPr>
      <w:r>
        <w:rPr>
          <w:rFonts w:hint="eastAsia"/>
          <w:sz w:val="21"/>
          <w:szCs w:val="21"/>
          <w:highlight w:val="none"/>
        </w:rPr>
        <w:t>2025年</w:t>
      </w:r>
      <w:r>
        <w:rPr>
          <w:rFonts w:hint="eastAsia" w:eastAsia="宋体"/>
          <w:sz w:val="21"/>
          <w:szCs w:val="21"/>
          <w:highlight w:val="none"/>
          <w:lang w:val="en-US" w:eastAsia="zh-CN"/>
        </w:rPr>
        <w:t>国内</w:t>
      </w:r>
      <w:r>
        <w:rPr>
          <w:rFonts w:hint="eastAsia"/>
          <w:sz w:val="21"/>
          <w:szCs w:val="21"/>
          <w:highlight w:val="none"/>
        </w:rPr>
        <w:t>《银屑病关节炎早期识别与诊治专家共识（2025 版）》</w:t>
      </w:r>
    </w:p>
    <w:p w14:paraId="6D92BA2D">
      <w:pPr>
        <w:ind w:firstLine="420" w:firstLineChars="200"/>
        <w:rPr>
          <w:rFonts w:hint="eastAsia"/>
          <w:sz w:val="21"/>
          <w:szCs w:val="21"/>
          <w:highlight w:val="none"/>
        </w:rPr>
      </w:pPr>
      <w:r>
        <w:rPr>
          <w:rFonts w:hint="eastAsia"/>
          <w:sz w:val="21"/>
          <w:szCs w:val="21"/>
          <w:highlight w:val="none"/>
        </w:rPr>
        <w:t>2025年《中国银屑病性关节炎诊疗指南（2025</w:t>
      </w:r>
      <w:r>
        <w:rPr>
          <w:rFonts w:hint="eastAsia" w:eastAsia="宋体"/>
          <w:sz w:val="21"/>
          <w:szCs w:val="21"/>
          <w:highlight w:val="none"/>
          <w:lang w:val="en-US" w:eastAsia="zh-CN"/>
        </w:rPr>
        <w:t>版</w:t>
      </w:r>
      <w:r>
        <w:rPr>
          <w:rFonts w:hint="eastAsia"/>
          <w:sz w:val="21"/>
          <w:szCs w:val="21"/>
          <w:highlight w:val="none"/>
        </w:rPr>
        <w:t>）》</w:t>
      </w:r>
    </w:p>
    <w:p w14:paraId="211F231F">
      <w:pPr>
        <w:ind w:firstLine="420" w:firstLineChars="200"/>
        <w:rPr>
          <w:rFonts w:hint="eastAsia"/>
          <w:sz w:val="21"/>
          <w:szCs w:val="21"/>
          <w:highlight w:val="none"/>
        </w:rPr>
      </w:pPr>
      <w:r>
        <w:rPr>
          <w:rFonts w:hint="eastAsia"/>
          <w:sz w:val="21"/>
          <w:szCs w:val="21"/>
          <w:highlight w:val="none"/>
        </w:rPr>
        <w:t>GB/T12346—2021经穴名称与定位</w:t>
      </w:r>
    </w:p>
    <w:p w14:paraId="2FA15EF4">
      <w:pPr>
        <w:ind w:firstLine="420" w:firstLineChars="200"/>
        <w:rPr>
          <w:rFonts w:hint="eastAsia"/>
          <w:sz w:val="21"/>
          <w:szCs w:val="21"/>
          <w:highlight w:val="none"/>
        </w:rPr>
      </w:pPr>
      <w:r>
        <w:rPr>
          <w:rFonts w:hint="eastAsia"/>
          <w:sz w:val="21"/>
          <w:szCs w:val="21"/>
          <w:highlight w:val="none"/>
        </w:rPr>
        <w:t>GB/T15657—2021中医病证分类与代码</w:t>
      </w:r>
    </w:p>
    <w:p w14:paraId="4FADFEE3">
      <w:pPr>
        <w:ind w:firstLine="420" w:firstLineChars="200"/>
        <w:rPr>
          <w:rFonts w:hint="eastAsia"/>
          <w:sz w:val="21"/>
          <w:szCs w:val="21"/>
          <w:highlight w:val="none"/>
        </w:rPr>
      </w:pPr>
      <w:r>
        <w:rPr>
          <w:rFonts w:hint="eastAsia"/>
          <w:sz w:val="21"/>
          <w:szCs w:val="21"/>
          <w:highlight w:val="none"/>
        </w:rPr>
        <w:t>ZY/T10—2024中医病证诊断与疗效评价规范制修订通则</w:t>
      </w:r>
    </w:p>
    <w:p w14:paraId="5B7116E7">
      <w:pPr>
        <w:pStyle w:val="2"/>
        <w:spacing w:line="240" w:lineRule="auto"/>
        <w:ind w:left="0" w:right="0" w:firstLine="420" w:firstLineChars="200"/>
        <w:rPr>
          <w:rFonts w:hint="eastAsia" w:ascii="宋体" w:hAnsi="宋体" w:eastAsia="宋体" w:cs="宋体"/>
          <w:sz w:val="21"/>
          <w:szCs w:val="21"/>
        </w:rPr>
      </w:pPr>
    </w:p>
    <w:p w14:paraId="3866E850">
      <w:pPr>
        <w:spacing w:line="240" w:lineRule="auto"/>
        <w:ind w:left="0" w:firstLine="452" w:firstLineChars="200"/>
        <w:rPr>
          <w:rFonts w:hint="eastAsia" w:ascii="宋体" w:hAnsi="宋体" w:eastAsia="宋体" w:cs="宋体"/>
          <w:sz w:val="21"/>
          <w:szCs w:val="21"/>
        </w:rPr>
      </w:pPr>
      <w:r>
        <w:rPr>
          <w:rFonts w:hint="eastAsia" w:ascii="宋体" w:hAnsi="宋体" w:eastAsia="宋体" w:cs="宋体"/>
          <w:spacing w:val="8"/>
          <w:sz w:val="21"/>
          <w:szCs w:val="21"/>
        </w:rPr>
        <w:t>五、与现行法律法规和强制性标准的关系</w:t>
      </w:r>
    </w:p>
    <w:p w14:paraId="6306C3B9">
      <w:pPr>
        <w:pStyle w:val="2"/>
        <w:spacing w:line="240" w:lineRule="auto"/>
        <w:ind w:left="0" w:right="0" w:firstLine="444" w:firstLineChars="200"/>
        <w:rPr>
          <w:rFonts w:hint="eastAsia" w:ascii="宋体" w:hAnsi="宋体" w:eastAsia="宋体" w:cs="宋体"/>
          <w:spacing w:val="6"/>
          <w:sz w:val="21"/>
          <w:szCs w:val="21"/>
          <w:lang w:val="en-US" w:eastAsia="zh-CN"/>
        </w:rPr>
      </w:pPr>
      <w:r>
        <w:rPr>
          <w:rFonts w:hint="eastAsia" w:ascii="宋体" w:hAnsi="宋体" w:eastAsia="宋体" w:cs="宋体"/>
          <w:spacing w:val="6"/>
          <w:sz w:val="21"/>
          <w:szCs w:val="21"/>
          <w:lang w:val="en-US" w:eastAsia="zh-CN"/>
        </w:rPr>
        <w:t>本标准与现行有关法律法规和强制性标准协调一致。</w:t>
      </w:r>
    </w:p>
    <w:p w14:paraId="20A18D0E">
      <w:pPr>
        <w:pStyle w:val="2"/>
        <w:spacing w:line="240" w:lineRule="auto"/>
        <w:ind w:left="0" w:right="0" w:firstLine="444" w:firstLineChars="200"/>
        <w:rPr>
          <w:rFonts w:hint="eastAsia" w:ascii="宋体" w:hAnsi="宋体" w:eastAsia="宋体" w:cs="宋体"/>
          <w:spacing w:val="6"/>
          <w:sz w:val="21"/>
          <w:szCs w:val="21"/>
          <w:lang w:val="en-US" w:eastAsia="zh-CN"/>
        </w:rPr>
      </w:pPr>
      <w:r>
        <w:rPr>
          <w:rFonts w:hint="eastAsia" w:ascii="宋体" w:hAnsi="宋体" w:eastAsia="宋体" w:cs="宋体"/>
          <w:spacing w:val="6"/>
          <w:sz w:val="21"/>
          <w:szCs w:val="21"/>
          <w:lang w:val="en-US" w:eastAsia="zh-CN"/>
        </w:rPr>
        <w:t>规范的起草、编写格式符合GB/T1.1-2020《标准化工作导则 第1部分：标准化文件的结构和起草规则》、GB/T1.2-2002《标准化工作导则 第2部分：标准中规范性技术要素内容的确定方法》的规格。</w:t>
      </w:r>
    </w:p>
    <w:p w14:paraId="41CEEBEF">
      <w:pPr>
        <w:pStyle w:val="2"/>
        <w:spacing w:line="240" w:lineRule="auto"/>
        <w:ind w:left="0" w:right="0" w:firstLine="448" w:firstLineChars="200"/>
        <w:rPr>
          <w:rFonts w:hint="eastAsia" w:ascii="宋体" w:hAnsi="宋体" w:eastAsia="宋体" w:cs="宋体"/>
          <w:spacing w:val="7"/>
          <w:sz w:val="21"/>
          <w:szCs w:val="21"/>
        </w:rPr>
      </w:pPr>
    </w:p>
    <w:p w14:paraId="32E20385">
      <w:pPr>
        <w:pStyle w:val="2"/>
        <w:spacing w:line="240" w:lineRule="auto"/>
        <w:ind w:left="0" w:right="0" w:firstLine="448" w:firstLineChars="200"/>
        <w:rPr>
          <w:rFonts w:hint="eastAsia" w:ascii="宋体" w:hAnsi="宋体" w:eastAsia="宋体" w:cs="宋体"/>
          <w:spacing w:val="7"/>
          <w:sz w:val="21"/>
          <w:szCs w:val="21"/>
        </w:rPr>
      </w:pPr>
      <w:r>
        <w:rPr>
          <w:rFonts w:hint="eastAsia" w:ascii="宋体" w:hAnsi="宋体" w:eastAsia="宋体" w:cs="宋体"/>
          <w:spacing w:val="7"/>
          <w:sz w:val="21"/>
          <w:szCs w:val="21"/>
        </w:rPr>
        <w:t>六、重大分歧意见处理</w:t>
      </w:r>
    </w:p>
    <w:p w14:paraId="02614C7B">
      <w:pPr>
        <w:pStyle w:val="2"/>
        <w:spacing w:line="240" w:lineRule="auto"/>
        <w:ind w:left="0" w:right="0" w:firstLine="420" w:firstLineChars="200"/>
        <w:rPr>
          <w:rFonts w:hint="eastAsia" w:ascii="宋体" w:hAnsi="宋体" w:eastAsia="宋体" w:cs="宋体"/>
          <w:sz w:val="21"/>
          <w:szCs w:val="21"/>
        </w:rPr>
      </w:pPr>
      <w:r>
        <w:rPr>
          <w:rFonts w:hint="eastAsia" w:ascii="宋体" w:hAnsi="宋体" w:eastAsia="宋体" w:cs="宋体"/>
          <w:sz w:val="21"/>
          <w:szCs w:val="21"/>
        </w:rPr>
        <w:t>无</w:t>
      </w:r>
    </w:p>
    <w:p w14:paraId="42372C49">
      <w:pPr>
        <w:pStyle w:val="2"/>
        <w:spacing w:line="240" w:lineRule="auto"/>
        <w:ind w:left="0" w:right="0" w:firstLine="420" w:firstLineChars="200"/>
        <w:rPr>
          <w:rFonts w:hint="eastAsia" w:ascii="宋体" w:hAnsi="宋体" w:eastAsia="宋体" w:cs="宋体"/>
          <w:sz w:val="21"/>
          <w:szCs w:val="21"/>
        </w:rPr>
      </w:pPr>
    </w:p>
    <w:p w14:paraId="3F5BA25F">
      <w:pPr>
        <w:pStyle w:val="2"/>
        <w:spacing w:line="240" w:lineRule="auto"/>
        <w:ind w:left="0" w:right="0" w:firstLine="456" w:firstLineChars="200"/>
        <w:rPr>
          <w:rFonts w:hint="eastAsia" w:ascii="宋体" w:hAnsi="宋体" w:eastAsia="宋体" w:cs="宋体"/>
          <w:spacing w:val="9"/>
          <w:sz w:val="21"/>
          <w:szCs w:val="21"/>
        </w:rPr>
      </w:pPr>
      <w:r>
        <w:rPr>
          <w:rFonts w:hint="eastAsia" w:ascii="宋体" w:hAnsi="宋体" w:eastAsia="宋体" w:cs="宋体"/>
          <w:spacing w:val="9"/>
          <w:sz w:val="21"/>
          <w:szCs w:val="21"/>
        </w:rPr>
        <w:t>七、标准作为强制性或推荐性标准发布的意见</w:t>
      </w:r>
    </w:p>
    <w:p w14:paraId="15C0B663">
      <w:pPr>
        <w:pStyle w:val="2"/>
        <w:spacing w:line="240" w:lineRule="auto"/>
        <w:ind w:left="0" w:right="0" w:firstLine="392" w:firstLineChars="200"/>
        <w:rPr>
          <w:rFonts w:hint="eastAsia" w:ascii="宋体" w:hAnsi="宋体" w:eastAsia="宋体" w:cs="宋体"/>
          <w:sz w:val="21"/>
          <w:szCs w:val="21"/>
        </w:rPr>
      </w:pPr>
      <w:r>
        <w:rPr>
          <w:rFonts w:hint="eastAsia" w:ascii="宋体" w:hAnsi="宋体" w:eastAsia="宋体" w:cs="宋体"/>
          <w:spacing w:val="-7"/>
          <w:sz w:val="21"/>
          <w:szCs w:val="21"/>
        </w:rPr>
        <w:t>推荐性</w:t>
      </w:r>
    </w:p>
    <w:p w14:paraId="1B727AF7">
      <w:pPr>
        <w:pStyle w:val="2"/>
        <w:spacing w:line="240" w:lineRule="auto"/>
        <w:ind w:firstLine="0"/>
        <w:rPr>
          <w:rFonts w:hint="eastAsia" w:ascii="宋体" w:hAnsi="宋体" w:eastAsia="宋体" w:cs="宋体"/>
          <w:spacing w:val="8"/>
          <w:sz w:val="21"/>
          <w:szCs w:val="21"/>
        </w:rPr>
      </w:pPr>
    </w:p>
    <w:p w14:paraId="55372020">
      <w:pPr>
        <w:pStyle w:val="2"/>
        <w:spacing w:line="240" w:lineRule="auto"/>
        <w:ind w:firstLine="452" w:firstLineChars="200"/>
        <w:rPr>
          <w:rFonts w:hint="eastAsia" w:ascii="宋体" w:hAnsi="宋体" w:eastAsia="宋体" w:cs="宋体"/>
          <w:spacing w:val="8"/>
          <w:sz w:val="21"/>
          <w:szCs w:val="21"/>
        </w:rPr>
      </w:pPr>
      <w:r>
        <w:rPr>
          <w:rFonts w:hint="eastAsia" w:ascii="宋体" w:hAnsi="宋体" w:eastAsia="宋体" w:cs="宋体"/>
          <w:spacing w:val="8"/>
          <w:sz w:val="21"/>
          <w:szCs w:val="21"/>
        </w:rPr>
        <w:t>八、贯彻标准的建议</w:t>
      </w:r>
    </w:p>
    <w:p w14:paraId="71DEF208">
      <w:pPr>
        <w:pStyle w:val="2"/>
        <w:spacing w:line="240" w:lineRule="auto"/>
        <w:ind w:firstLine="452" w:firstLineChars="200"/>
        <w:rPr>
          <w:rFonts w:hint="eastAsia" w:ascii="宋体" w:hAnsi="宋体" w:eastAsia="宋体" w:cs="宋体"/>
          <w:spacing w:val="8"/>
          <w:sz w:val="21"/>
          <w:szCs w:val="21"/>
        </w:rPr>
      </w:pPr>
      <w:r>
        <w:rPr>
          <w:rFonts w:hint="eastAsia" w:ascii="宋体" w:hAnsi="宋体" w:eastAsia="宋体" w:cs="宋体"/>
          <w:spacing w:val="8"/>
          <w:sz w:val="21"/>
          <w:szCs w:val="21"/>
        </w:rPr>
        <w:t>实施推广建议</w:t>
      </w:r>
    </w:p>
    <w:p w14:paraId="0A0A95C8">
      <w:pPr>
        <w:pStyle w:val="2"/>
        <w:spacing w:line="240" w:lineRule="auto"/>
        <w:ind w:firstLine="452" w:firstLineChars="200"/>
        <w:rPr>
          <w:rFonts w:hint="eastAsia" w:ascii="宋体" w:hAnsi="宋体" w:eastAsia="宋体" w:cs="宋体"/>
          <w:spacing w:val="8"/>
          <w:sz w:val="21"/>
          <w:szCs w:val="21"/>
        </w:rPr>
      </w:pPr>
      <w:r>
        <w:rPr>
          <w:rFonts w:hint="eastAsia" w:ascii="宋体" w:hAnsi="宋体" w:eastAsia="宋体" w:cs="宋体"/>
          <w:spacing w:val="8"/>
          <w:sz w:val="21"/>
          <w:szCs w:val="21"/>
        </w:rPr>
        <w:t>为了保证此规范的实施推广，具体建议如下：</w:t>
      </w:r>
    </w:p>
    <w:p w14:paraId="4E761E50">
      <w:pPr>
        <w:pStyle w:val="2"/>
        <w:spacing w:line="240" w:lineRule="auto"/>
        <w:ind w:firstLine="452" w:firstLineChars="200"/>
        <w:rPr>
          <w:rFonts w:hint="eastAsia" w:ascii="宋体" w:hAnsi="宋体" w:eastAsia="宋体" w:cs="宋体"/>
          <w:spacing w:val="8"/>
          <w:sz w:val="21"/>
          <w:szCs w:val="21"/>
        </w:rPr>
      </w:pPr>
      <w:r>
        <w:rPr>
          <w:rFonts w:hint="eastAsia" w:ascii="宋体" w:hAnsi="宋体" w:eastAsia="宋体" w:cs="宋体"/>
          <w:spacing w:val="8"/>
          <w:sz w:val="21"/>
          <w:szCs w:val="21"/>
        </w:rPr>
        <w:t>1、加强标准宣贯培训：标准发布后，组织面向风湿免疫科、中医科、中西医结合科、骨科、康复科医师的专题培训，通过学术会议、继续教育项目、网络课程等形式，提高标准知晓度和应用率；</w:t>
      </w:r>
    </w:p>
    <w:p w14:paraId="261F85E4">
      <w:pPr>
        <w:pStyle w:val="2"/>
        <w:spacing w:line="240" w:lineRule="auto"/>
        <w:ind w:firstLine="452" w:firstLineChars="200"/>
        <w:rPr>
          <w:rFonts w:hint="eastAsia" w:ascii="宋体" w:hAnsi="宋体" w:eastAsia="宋体" w:cs="宋体"/>
          <w:spacing w:val="8"/>
          <w:sz w:val="21"/>
          <w:szCs w:val="21"/>
        </w:rPr>
      </w:pPr>
      <w:r>
        <w:rPr>
          <w:rFonts w:hint="eastAsia" w:ascii="宋体" w:hAnsi="宋体" w:eastAsia="宋体" w:cs="宋体"/>
          <w:spacing w:val="8"/>
          <w:sz w:val="21"/>
          <w:szCs w:val="21"/>
        </w:rPr>
        <w:t>2、建立评价反馈机制：定期收集标准实施过程中的意见和建议，评估标准应用效果，为标准的修订完善提供依据；</w:t>
      </w:r>
    </w:p>
    <w:p w14:paraId="4F6035F0">
      <w:pPr>
        <w:pStyle w:val="2"/>
        <w:spacing w:line="240" w:lineRule="auto"/>
        <w:ind w:firstLine="452" w:firstLineChars="200"/>
        <w:rPr>
          <w:rFonts w:hint="eastAsia" w:ascii="宋体" w:hAnsi="宋体" w:eastAsia="宋体" w:cs="宋体"/>
          <w:spacing w:val="8"/>
          <w:sz w:val="21"/>
          <w:szCs w:val="21"/>
        </w:rPr>
      </w:pPr>
      <w:r>
        <w:rPr>
          <w:rFonts w:hint="eastAsia" w:ascii="宋体" w:hAnsi="宋体" w:eastAsia="宋体" w:cs="宋体"/>
          <w:spacing w:val="8"/>
          <w:sz w:val="21"/>
          <w:szCs w:val="21"/>
        </w:rPr>
        <w:t>3、利用专业期刊、学术网站、微信公众号等媒体平台，对标准进行宣传推广，扩大标准影响力；</w:t>
      </w:r>
    </w:p>
    <w:p w14:paraId="39908AA3">
      <w:pPr>
        <w:pStyle w:val="2"/>
        <w:spacing w:line="240" w:lineRule="auto"/>
        <w:ind w:firstLine="452" w:firstLineChars="200"/>
        <w:rPr>
          <w:rFonts w:hint="eastAsia" w:ascii="宋体" w:hAnsi="宋体" w:eastAsia="宋体" w:cs="宋体"/>
          <w:spacing w:val="8"/>
          <w:sz w:val="21"/>
          <w:szCs w:val="21"/>
        </w:rPr>
      </w:pPr>
      <w:r>
        <w:rPr>
          <w:rFonts w:hint="eastAsia" w:ascii="宋体" w:hAnsi="宋体" w:eastAsia="宋体" w:cs="宋体"/>
          <w:spacing w:val="8"/>
          <w:sz w:val="21"/>
          <w:szCs w:val="21"/>
        </w:rPr>
        <w:t>4、在实践中不断检验、总结经验和完善。</w:t>
      </w:r>
    </w:p>
    <w:p w14:paraId="3CCFE5D9">
      <w:pPr>
        <w:pStyle w:val="2"/>
        <w:spacing w:line="240" w:lineRule="auto"/>
        <w:ind w:firstLine="452" w:firstLineChars="200"/>
        <w:rPr>
          <w:rFonts w:hint="eastAsia" w:ascii="宋体" w:hAnsi="宋体" w:eastAsia="宋体" w:cs="宋体"/>
          <w:spacing w:val="8"/>
          <w:sz w:val="21"/>
          <w:szCs w:val="21"/>
        </w:rPr>
      </w:pPr>
    </w:p>
    <w:p w14:paraId="0304375C">
      <w:pPr>
        <w:pStyle w:val="2"/>
        <w:spacing w:line="240" w:lineRule="auto"/>
        <w:ind w:firstLine="452" w:firstLineChars="200"/>
        <w:rPr>
          <w:rFonts w:hint="eastAsia" w:ascii="宋体" w:hAnsi="宋体" w:eastAsia="宋体" w:cs="宋体"/>
          <w:spacing w:val="8"/>
          <w:sz w:val="21"/>
          <w:szCs w:val="21"/>
        </w:rPr>
      </w:pPr>
      <w:r>
        <w:rPr>
          <w:rFonts w:hint="eastAsia" w:ascii="宋体" w:hAnsi="宋体" w:eastAsia="宋体" w:cs="宋体"/>
          <w:spacing w:val="8"/>
          <w:sz w:val="21"/>
          <w:szCs w:val="21"/>
        </w:rPr>
        <w:t>九、经费使用情况</w:t>
      </w:r>
    </w:p>
    <w:p w14:paraId="656C89F7">
      <w:pPr>
        <w:pStyle w:val="2"/>
        <w:spacing w:line="240" w:lineRule="auto"/>
        <w:ind w:firstLine="452" w:firstLineChars="200"/>
        <w:rPr>
          <w:rFonts w:hint="eastAsia" w:ascii="宋体" w:hAnsi="宋体" w:eastAsia="宋体" w:cs="宋体"/>
          <w:sz w:val="21"/>
          <w:szCs w:val="21"/>
        </w:rPr>
      </w:pPr>
      <w:r>
        <w:rPr>
          <w:rFonts w:hint="eastAsia" w:ascii="宋体" w:hAnsi="宋体" w:eastAsia="宋体" w:cs="宋体"/>
          <w:spacing w:val="8"/>
          <w:sz w:val="21"/>
          <w:szCs w:val="21"/>
        </w:rPr>
        <w:t>主要用于：书籍与资料购置、出差调研、材料打印、研讨交流以及项目评审等</w:t>
      </w:r>
      <w:r>
        <w:rPr>
          <w:rFonts w:hint="eastAsia" w:ascii="宋体" w:hAnsi="宋体" w:eastAsia="宋体" w:cs="宋体"/>
          <w:spacing w:val="-14"/>
          <w:sz w:val="21"/>
          <w:szCs w:val="21"/>
        </w:rPr>
        <w:t>。</w:t>
      </w:r>
    </w:p>
    <w:p w14:paraId="7F636F5A">
      <w:pPr>
        <w:pStyle w:val="2"/>
        <w:spacing w:line="240" w:lineRule="auto"/>
        <w:ind w:left="0" w:right="0" w:firstLine="0"/>
        <w:rPr>
          <w:rFonts w:hint="eastAsia" w:ascii="宋体" w:hAnsi="宋体" w:eastAsia="宋体" w:cs="宋体"/>
          <w:spacing w:val="8"/>
          <w:sz w:val="21"/>
          <w:szCs w:val="21"/>
        </w:rPr>
      </w:pPr>
    </w:p>
    <w:p w14:paraId="75B5B788">
      <w:pPr>
        <w:pStyle w:val="2"/>
        <w:spacing w:line="240" w:lineRule="auto"/>
        <w:ind w:left="0" w:right="0" w:firstLine="452" w:firstLineChars="200"/>
        <w:rPr>
          <w:rFonts w:hint="eastAsia" w:ascii="宋体" w:hAnsi="宋体" w:eastAsia="宋体" w:cs="宋体"/>
          <w:sz w:val="21"/>
          <w:szCs w:val="21"/>
        </w:rPr>
      </w:pPr>
      <w:r>
        <w:rPr>
          <w:rFonts w:hint="eastAsia" w:ascii="宋体" w:hAnsi="宋体" w:eastAsia="宋体" w:cs="宋体"/>
          <w:spacing w:val="8"/>
          <w:sz w:val="21"/>
          <w:szCs w:val="21"/>
        </w:rPr>
        <w:t>十、其他应予以说明的事项</w:t>
      </w:r>
      <w:r>
        <w:rPr>
          <w:rFonts w:hint="eastAsia" w:ascii="宋体" w:hAnsi="宋体" w:eastAsia="宋体" w:cs="宋体"/>
          <w:spacing w:val="6"/>
          <w:sz w:val="21"/>
          <w:szCs w:val="21"/>
        </w:rPr>
        <w:t xml:space="preserve"> </w:t>
      </w:r>
      <w:r>
        <w:rPr>
          <w:rFonts w:hint="eastAsia" w:ascii="宋体" w:hAnsi="宋体" w:eastAsia="宋体" w:cs="宋体"/>
          <w:spacing w:val="7"/>
          <w:sz w:val="21"/>
          <w:szCs w:val="21"/>
        </w:rPr>
        <w:t>附起草人员组成的基本情况</w:t>
      </w:r>
    </w:p>
    <w:tbl>
      <w:tblPr>
        <w:tblStyle w:val="3"/>
        <w:tblW w:w="4623"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699"/>
        <w:gridCol w:w="2266"/>
        <w:gridCol w:w="700"/>
        <w:gridCol w:w="4880"/>
      </w:tblGrid>
      <w:tr w14:paraId="40ECB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rPr>
        <w:tc>
          <w:tcPr>
            <w:tcW w:w="699" w:type="dxa"/>
            <w:tcBorders>
              <w:top w:val="single" w:color="CCCCCC" w:sz="2" w:space="0"/>
              <w:left w:val="single" w:color="CCCCCC" w:sz="2" w:space="0"/>
              <w:bottom w:val="single" w:color="CCCCCC" w:sz="2" w:space="0"/>
              <w:right w:val="single" w:color="CCCCCC" w:sz="2" w:space="0"/>
            </w:tcBorders>
            <w:noWrap w:val="0"/>
            <w:tcMar>
              <w:top w:w="120" w:type="dxa"/>
              <w:left w:w="120" w:type="dxa"/>
              <w:bottom w:w="120" w:type="dxa"/>
              <w:right w:w="120" w:type="dxa"/>
            </w:tcMar>
            <w:vAlign w:val="center"/>
          </w:tcPr>
          <w:p w14:paraId="38C006F8">
            <w:pPr>
              <w:keepNext w:val="0"/>
              <w:keepLines w:val="0"/>
              <w:widowControl/>
              <w:suppressLineNumbers w:val="0"/>
              <w:jc w:val="left"/>
              <w:rPr>
                <w:b/>
                <w:bCs/>
                <w:sz w:val="18"/>
                <w:szCs w:val="18"/>
                <w:highlight w:val="none"/>
              </w:rPr>
            </w:pPr>
            <w:r>
              <w:rPr>
                <w:rFonts w:ascii="宋体" w:hAnsi="宋体" w:eastAsia="宋体" w:cs="宋体"/>
                <w:b/>
                <w:bCs/>
                <w:kern w:val="0"/>
                <w:sz w:val="18"/>
                <w:szCs w:val="18"/>
                <w:highlight w:val="none"/>
                <w:lang w:val="en-US" w:eastAsia="zh-CN" w:bidi="ar"/>
              </w:rPr>
              <w:t>序号</w:t>
            </w:r>
          </w:p>
        </w:tc>
        <w:tc>
          <w:tcPr>
            <w:tcW w:w="2266" w:type="dxa"/>
            <w:tcBorders>
              <w:top w:val="single" w:color="CCCCCC" w:sz="2" w:space="0"/>
              <w:left w:val="single" w:color="CCCCCC" w:sz="2" w:space="0"/>
              <w:bottom w:val="single" w:color="CCCCCC" w:sz="2" w:space="0"/>
              <w:right w:val="single" w:color="CCCCCC" w:sz="2" w:space="0"/>
            </w:tcBorders>
            <w:noWrap w:val="0"/>
            <w:tcMar>
              <w:top w:w="120" w:type="dxa"/>
              <w:left w:w="120" w:type="dxa"/>
              <w:bottom w:w="120" w:type="dxa"/>
              <w:right w:w="120" w:type="dxa"/>
            </w:tcMar>
            <w:vAlign w:val="center"/>
          </w:tcPr>
          <w:p w14:paraId="47FFE9EE">
            <w:pPr>
              <w:keepNext w:val="0"/>
              <w:keepLines w:val="0"/>
              <w:widowControl/>
              <w:suppressLineNumbers w:val="0"/>
              <w:jc w:val="left"/>
              <w:rPr>
                <w:b/>
                <w:bCs/>
                <w:sz w:val="18"/>
                <w:szCs w:val="18"/>
                <w:highlight w:val="none"/>
              </w:rPr>
            </w:pPr>
            <w:r>
              <w:rPr>
                <w:rFonts w:ascii="宋体" w:hAnsi="宋体" w:eastAsia="宋体" w:cs="宋体"/>
                <w:b/>
                <w:bCs/>
                <w:kern w:val="0"/>
                <w:sz w:val="18"/>
                <w:szCs w:val="18"/>
                <w:highlight w:val="none"/>
                <w:lang w:val="en-US" w:eastAsia="zh-CN" w:bidi="ar"/>
              </w:rPr>
              <w:t>类别</w:t>
            </w:r>
          </w:p>
        </w:tc>
        <w:tc>
          <w:tcPr>
            <w:tcW w:w="700" w:type="dxa"/>
            <w:tcBorders>
              <w:top w:val="single" w:color="CCCCCC" w:sz="2" w:space="0"/>
              <w:left w:val="single" w:color="CCCCCC" w:sz="2" w:space="0"/>
              <w:bottom w:val="single" w:color="CCCCCC" w:sz="2" w:space="0"/>
              <w:right w:val="single" w:color="CCCCCC" w:sz="2" w:space="0"/>
            </w:tcBorders>
            <w:noWrap w:val="0"/>
            <w:tcMar>
              <w:top w:w="120" w:type="dxa"/>
              <w:left w:w="120" w:type="dxa"/>
              <w:bottom w:w="120" w:type="dxa"/>
              <w:right w:w="120" w:type="dxa"/>
            </w:tcMar>
            <w:vAlign w:val="center"/>
          </w:tcPr>
          <w:p w14:paraId="7D9A9096">
            <w:pPr>
              <w:keepNext w:val="0"/>
              <w:keepLines w:val="0"/>
              <w:widowControl/>
              <w:suppressLineNumbers w:val="0"/>
              <w:jc w:val="left"/>
              <w:rPr>
                <w:b/>
                <w:bCs/>
                <w:sz w:val="18"/>
                <w:szCs w:val="18"/>
                <w:highlight w:val="none"/>
              </w:rPr>
            </w:pPr>
            <w:r>
              <w:rPr>
                <w:rFonts w:ascii="宋体" w:hAnsi="宋体" w:eastAsia="宋体" w:cs="宋体"/>
                <w:b/>
                <w:bCs/>
                <w:kern w:val="0"/>
                <w:sz w:val="18"/>
                <w:szCs w:val="18"/>
                <w:highlight w:val="none"/>
                <w:lang w:val="en-US" w:eastAsia="zh-CN" w:bidi="ar"/>
              </w:rPr>
              <w:t>数量</w:t>
            </w:r>
          </w:p>
        </w:tc>
        <w:tc>
          <w:tcPr>
            <w:tcW w:w="4881" w:type="dxa"/>
            <w:tcBorders>
              <w:top w:val="single" w:color="CCCCCC" w:sz="2" w:space="0"/>
              <w:left w:val="single" w:color="CCCCCC" w:sz="2" w:space="0"/>
              <w:bottom w:val="single" w:color="CCCCCC" w:sz="2" w:space="0"/>
              <w:right w:val="single" w:color="CCCCCC" w:sz="2" w:space="0"/>
            </w:tcBorders>
            <w:noWrap w:val="0"/>
            <w:tcMar>
              <w:top w:w="120" w:type="dxa"/>
              <w:left w:w="120" w:type="dxa"/>
              <w:bottom w:w="120" w:type="dxa"/>
              <w:right w:w="120" w:type="dxa"/>
            </w:tcMar>
            <w:vAlign w:val="center"/>
          </w:tcPr>
          <w:p w14:paraId="2111C4F9">
            <w:pPr>
              <w:keepNext w:val="0"/>
              <w:keepLines w:val="0"/>
              <w:widowControl/>
              <w:suppressLineNumbers w:val="0"/>
              <w:jc w:val="left"/>
              <w:rPr>
                <w:b/>
                <w:bCs/>
                <w:sz w:val="18"/>
                <w:szCs w:val="18"/>
                <w:highlight w:val="none"/>
              </w:rPr>
            </w:pPr>
            <w:r>
              <w:rPr>
                <w:rFonts w:ascii="宋体" w:hAnsi="宋体" w:eastAsia="宋体" w:cs="宋体"/>
                <w:b/>
                <w:bCs/>
                <w:kern w:val="0"/>
                <w:sz w:val="18"/>
                <w:szCs w:val="18"/>
                <w:highlight w:val="none"/>
                <w:lang w:val="en-US" w:eastAsia="zh-CN" w:bidi="ar"/>
              </w:rPr>
              <w:t>具体情况</w:t>
            </w:r>
          </w:p>
        </w:tc>
      </w:tr>
      <w:tr w14:paraId="487C5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99" w:type="dxa"/>
            <w:tcBorders>
              <w:top w:val="single" w:color="CCCCCC" w:sz="2" w:space="0"/>
              <w:left w:val="single" w:color="CCCCCC" w:sz="2" w:space="0"/>
              <w:bottom w:val="single" w:color="CCCCCC" w:sz="2" w:space="0"/>
              <w:right w:val="single" w:color="CCCCCC" w:sz="2" w:space="0"/>
            </w:tcBorders>
            <w:noWrap w:val="0"/>
            <w:tcMar>
              <w:top w:w="120" w:type="dxa"/>
              <w:left w:w="120" w:type="dxa"/>
              <w:bottom w:w="120" w:type="dxa"/>
              <w:right w:w="120" w:type="dxa"/>
            </w:tcMar>
            <w:vAlign w:val="center"/>
          </w:tcPr>
          <w:p w14:paraId="0FC46343">
            <w:pPr>
              <w:keepNext w:val="0"/>
              <w:keepLines w:val="0"/>
              <w:widowControl/>
              <w:suppressLineNumbers w:val="0"/>
              <w:jc w:val="left"/>
              <w:rPr>
                <w:sz w:val="18"/>
                <w:szCs w:val="18"/>
                <w:highlight w:val="none"/>
              </w:rPr>
            </w:pPr>
            <w:r>
              <w:rPr>
                <w:rFonts w:ascii="宋体" w:hAnsi="宋体" w:eastAsia="宋体" w:cs="宋体"/>
                <w:kern w:val="0"/>
                <w:sz w:val="18"/>
                <w:szCs w:val="18"/>
                <w:highlight w:val="none"/>
                <w:lang w:val="en-US" w:eastAsia="zh-CN" w:bidi="ar"/>
              </w:rPr>
              <w:t>1</w:t>
            </w:r>
          </w:p>
        </w:tc>
        <w:tc>
          <w:tcPr>
            <w:tcW w:w="2266" w:type="dxa"/>
            <w:tcBorders>
              <w:top w:val="single" w:color="CCCCCC" w:sz="2" w:space="0"/>
              <w:left w:val="single" w:color="CCCCCC" w:sz="2" w:space="0"/>
              <w:bottom w:val="single" w:color="CCCCCC" w:sz="2" w:space="0"/>
              <w:right w:val="single" w:color="CCCCCC" w:sz="2" w:space="0"/>
            </w:tcBorders>
            <w:noWrap w:val="0"/>
            <w:tcMar>
              <w:top w:w="120" w:type="dxa"/>
              <w:left w:w="120" w:type="dxa"/>
              <w:bottom w:w="120" w:type="dxa"/>
              <w:right w:w="120" w:type="dxa"/>
            </w:tcMar>
            <w:vAlign w:val="center"/>
          </w:tcPr>
          <w:p w14:paraId="233C6579">
            <w:pPr>
              <w:keepNext w:val="0"/>
              <w:keepLines w:val="0"/>
              <w:widowControl/>
              <w:suppressLineNumbers w:val="0"/>
              <w:jc w:val="left"/>
              <w:rPr>
                <w:sz w:val="18"/>
                <w:szCs w:val="18"/>
                <w:highlight w:val="none"/>
              </w:rPr>
            </w:pPr>
            <w:r>
              <w:rPr>
                <w:rFonts w:ascii="宋体" w:hAnsi="宋体" w:eastAsia="宋体" w:cs="宋体"/>
                <w:kern w:val="0"/>
                <w:sz w:val="18"/>
                <w:szCs w:val="18"/>
                <w:highlight w:val="none"/>
                <w:lang w:val="en-US" w:eastAsia="zh-CN" w:bidi="ar"/>
              </w:rPr>
              <w:t>行业协会/专业委员会</w:t>
            </w:r>
          </w:p>
        </w:tc>
        <w:tc>
          <w:tcPr>
            <w:tcW w:w="700" w:type="dxa"/>
            <w:tcBorders>
              <w:top w:val="single" w:color="CCCCCC" w:sz="2" w:space="0"/>
              <w:left w:val="single" w:color="CCCCCC" w:sz="2" w:space="0"/>
              <w:bottom w:val="single" w:color="CCCCCC" w:sz="2" w:space="0"/>
              <w:right w:val="single" w:color="CCCCCC" w:sz="2" w:space="0"/>
            </w:tcBorders>
            <w:noWrap w:val="0"/>
            <w:tcMar>
              <w:top w:w="120" w:type="dxa"/>
              <w:left w:w="120" w:type="dxa"/>
              <w:bottom w:w="120" w:type="dxa"/>
              <w:right w:w="120" w:type="dxa"/>
            </w:tcMar>
            <w:vAlign w:val="center"/>
          </w:tcPr>
          <w:p w14:paraId="38811700">
            <w:pPr>
              <w:keepNext w:val="0"/>
              <w:keepLines w:val="0"/>
              <w:widowControl/>
              <w:suppressLineNumbers w:val="0"/>
              <w:jc w:val="left"/>
              <w:rPr>
                <w:sz w:val="18"/>
                <w:szCs w:val="18"/>
                <w:highlight w:val="none"/>
              </w:rPr>
            </w:pPr>
            <w:r>
              <w:rPr>
                <w:rFonts w:ascii="宋体" w:hAnsi="宋体" w:eastAsia="宋体" w:cs="宋体"/>
                <w:kern w:val="0"/>
                <w:sz w:val="18"/>
                <w:szCs w:val="18"/>
                <w:highlight w:val="none"/>
                <w:lang w:val="en-US" w:eastAsia="zh-CN" w:bidi="ar"/>
              </w:rPr>
              <w:t>1</w:t>
            </w:r>
          </w:p>
        </w:tc>
        <w:tc>
          <w:tcPr>
            <w:tcW w:w="4881" w:type="dxa"/>
            <w:tcBorders>
              <w:top w:val="single" w:color="CCCCCC" w:sz="2" w:space="0"/>
              <w:left w:val="single" w:color="CCCCCC" w:sz="2" w:space="0"/>
              <w:bottom w:val="single" w:color="CCCCCC" w:sz="2" w:space="0"/>
              <w:right w:val="single" w:color="CCCCCC" w:sz="2" w:space="0"/>
            </w:tcBorders>
            <w:noWrap w:val="0"/>
            <w:tcMar>
              <w:top w:w="120" w:type="dxa"/>
              <w:left w:w="120" w:type="dxa"/>
              <w:bottom w:w="120" w:type="dxa"/>
              <w:right w:w="120" w:type="dxa"/>
            </w:tcMar>
            <w:vAlign w:val="center"/>
          </w:tcPr>
          <w:p w14:paraId="098037F3">
            <w:pPr>
              <w:keepNext w:val="0"/>
              <w:keepLines w:val="0"/>
              <w:widowControl/>
              <w:suppressLineNumbers w:val="0"/>
              <w:jc w:val="left"/>
              <w:rPr>
                <w:sz w:val="18"/>
                <w:szCs w:val="18"/>
                <w:highlight w:val="none"/>
              </w:rPr>
            </w:pPr>
            <w:r>
              <w:rPr>
                <w:rFonts w:ascii="宋体" w:hAnsi="宋体" w:eastAsia="宋体" w:cs="宋体"/>
                <w:kern w:val="0"/>
                <w:sz w:val="18"/>
                <w:szCs w:val="18"/>
                <w:highlight w:val="none"/>
                <w:lang w:val="en-US" w:eastAsia="zh-CN" w:bidi="ar"/>
              </w:rPr>
              <w:t>中国民族卫生协会风湿疑难病专业委员会</w:t>
            </w:r>
          </w:p>
        </w:tc>
      </w:tr>
      <w:tr w14:paraId="67A4B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99" w:type="dxa"/>
            <w:tcBorders>
              <w:top w:val="single" w:color="CCCCCC" w:sz="2" w:space="0"/>
              <w:left w:val="single" w:color="CCCCCC" w:sz="2" w:space="0"/>
              <w:bottom w:val="single" w:color="CCCCCC" w:sz="2" w:space="0"/>
              <w:right w:val="single" w:color="CCCCCC" w:sz="2" w:space="0"/>
            </w:tcBorders>
            <w:noWrap w:val="0"/>
            <w:tcMar>
              <w:top w:w="120" w:type="dxa"/>
              <w:left w:w="120" w:type="dxa"/>
              <w:bottom w:w="120" w:type="dxa"/>
              <w:right w:w="120" w:type="dxa"/>
            </w:tcMar>
            <w:vAlign w:val="center"/>
          </w:tcPr>
          <w:p w14:paraId="31BB90CD">
            <w:pPr>
              <w:keepNext w:val="0"/>
              <w:keepLines w:val="0"/>
              <w:widowControl/>
              <w:suppressLineNumbers w:val="0"/>
              <w:jc w:val="left"/>
              <w:rPr>
                <w:sz w:val="18"/>
                <w:szCs w:val="18"/>
                <w:highlight w:val="none"/>
              </w:rPr>
            </w:pPr>
            <w:r>
              <w:rPr>
                <w:rFonts w:ascii="宋体" w:hAnsi="宋体" w:eastAsia="宋体" w:cs="宋体"/>
                <w:kern w:val="0"/>
                <w:sz w:val="18"/>
                <w:szCs w:val="18"/>
                <w:highlight w:val="none"/>
                <w:lang w:val="en-US" w:eastAsia="zh-CN" w:bidi="ar"/>
              </w:rPr>
              <w:t>2</w:t>
            </w:r>
          </w:p>
        </w:tc>
        <w:tc>
          <w:tcPr>
            <w:tcW w:w="2266" w:type="dxa"/>
            <w:tcBorders>
              <w:top w:val="single" w:color="CCCCCC" w:sz="2" w:space="0"/>
              <w:left w:val="single" w:color="CCCCCC" w:sz="2" w:space="0"/>
              <w:bottom w:val="single" w:color="CCCCCC" w:sz="2" w:space="0"/>
              <w:right w:val="single" w:color="CCCCCC" w:sz="2" w:space="0"/>
            </w:tcBorders>
            <w:noWrap w:val="0"/>
            <w:tcMar>
              <w:top w:w="120" w:type="dxa"/>
              <w:left w:w="120" w:type="dxa"/>
              <w:bottom w:w="120" w:type="dxa"/>
              <w:right w:w="120" w:type="dxa"/>
            </w:tcMar>
            <w:vAlign w:val="center"/>
          </w:tcPr>
          <w:p w14:paraId="715E2C9D">
            <w:pPr>
              <w:keepNext w:val="0"/>
              <w:keepLines w:val="0"/>
              <w:widowControl/>
              <w:suppressLineNumbers w:val="0"/>
              <w:jc w:val="left"/>
              <w:rPr>
                <w:sz w:val="18"/>
                <w:szCs w:val="18"/>
                <w:highlight w:val="none"/>
              </w:rPr>
            </w:pPr>
            <w:r>
              <w:rPr>
                <w:rFonts w:ascii="宋体" w:hAnsi="宋体" w:eastAsia="宋体" w:cs="宋体"/>
                <w:kern w:val="0"/>
                <w:sz w:val="18"/>
                <w:szCs w:val="18"/>
                <w:highlight w:val="none"/>
                <w:lang w:val="en-US" w:eastAsia="zh-CN" w:bidi="ar"/>
              </w:rPr>
              <w:t>高校</w:t>
            </w:r>
          </w:p>
        </w:tc>
        <w:tc>
          <w:tcPr>
            <w:tcW w:w="700" w:type="dxa"/>
            <w:tcBorders>
              <w:top w:val="single" w:color="CCCCCC" w:sz="2" w:space="0"/>
              <w:left w:val="single" w:color="CCCCCC" w:sz="2" w:space="0"/>
              <w:bottom w:val="single" w:color="CCCCCC" w:sz="2" w:space="0"/>
              <w:right w:val="single" w:color="CCCCCC" w:sz="2" w:space="0"/>
            </w:tcBorders>
            <w:noWrap w:val="0"/>
            <w:tcMar>
              <w:top w:w="120" w:type="dxa"/>
              <w:left w:w="120" w:type="dxa"/>
              <w:bottom w:w="120" w:type="dxa"/>
              <w:right w:w="120" w:type="dxa"/>
            </w:tcMar>
            <w:vAlign w:val="center"/>
          </w:tcPr>
          <w:p w14:paraId="50BDCC5E">
            <w:pPr>
              <w:keepNext w:val="0"/>
              <w:keepLines w:val="0"/>
              <w:widowControl/>
              <w:suppressLineNumbers w:val="0"/>
              <w:jc w:val="left"/>
              <w:rPr>
                <w:sz w:val="18"/>
                <w:szCs w:val="18"/>
                <w:highlight w:val="none"/>
              </w:rPr>
            </w:pPr>
            <w:r>
              <w:rPr>
                <w:rFonts w:hint="eastAsia" w:ascii="宋体" w:hAnsi="宋体" w:eastAsia="宋体" w:cs="宋体"/>
                <w:kern w:val="0"/>
                <w:sz w:val="18"/>
                <w:szCs w:val="18"/>
                <w:highlight w:val="none"/>
                <w:lang w:val="en-US" w:eastAsia="zh-CN" w:bidi="ar"/>
              </w:rPr>
              <w:t>1</w:t>
            </w:r>
          </w:p>
        </w:tc>
        <w:tc>
          <w:tcPr>
            <w:tcW w:w="4881" w:type="dxa"/>
            <w:tcBorders>
              <w:top w:val="single" w:color="CCCCCC" w:sz="2" w:space="0"/>
              <w:left w:val="single" w:color="CCCCCC" w:sz="2" w:space="0"/>
              <w:bottom w:val="single" w:color="CCCCCC" w:sz="2" w:space="0"/>
              <w:right w:val="single" w:color="CCCCCC" w:sz="2" w:space="0"/>
            </w:tcBorders>
            <w:noWrap w:val="0"/>
            <w:tcMar>
              <w:top w:w="120" w:type="dxa"/>
              <w:left w:w="120" w:type="dxa"/>
              <w:bottom w:w="120" w:type="dxa"/>
              <w:right w:w="120" w:type="dxa"/>
            </w:tcMar>
            <w:vAlign w:val="center"/>
          </w:tcPr>
          <w:p w14:paraId="08BBF54E">
            <w:pPr>
              <w:keepNext w:val="0"/>
              <w:keepLines w:val="0"/>
              <w:widowControl/>
              <w:suppressLineNumbers w:val="0"/>
              <w:jc w:val="left"/>
              <w:rPr>
                <w:sz w:val="18"/>
                <w:szCs w:val="18"/>
                <w:highlight w:val="none"/>
              </w:rPr>
            </w:pPr>
            <w:r>
              <w:rPr>
                <w:rFonts w:ascii="宋体" w:hAnsi="宋体" w:eastAsia="宋体" w:cs="宋体"/>
                <w:kern w:val="0"/>
                <w:sz w:val="18"/>
                <w:szCs w:val="18"/>
                <w:highlight w:val="none"/>
                <w:lang w:val="en-US" w:eastAsia="zh-CN" w:bidi="ar"/>
              </w:rPr>
              <w:t>长春中医药大学</w:t>
            </w:r>
          </w:p>
        </w:tc>
      </w:tr>
      <w:tr w14:paraId="45276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99" w:type="dxa"/>
            <w:tcBorders>
              <w:top w:val="single" w:color="CCCCCC" w:sz="2" w:space="0"/>
              <w:left w:val="single" w:color="CCCCCC" w:sz="2" w:space="0"/>
              <w:bottom w:val="single" w:color="CCCCCC" w:sz="2" w:space="0"/>
              <w:right w:val="single" w:color="CCCCCC" w:sz="2" w:space="0"/>
            </w:tcBorders>
            <w:noWrap w:val="0"/>
            <w:tcMar>
              <w:top w:w="120" w:type="dxa"/>
              <w:left w:w="120" w:type="dxa"/>
              <w:bottom w:w="120" w:type="dxa"/>
              <w:right w:w="120" w:type="dxa"/>
            </w:tcMar>
            <w:vAlign w:val="center"/>
          </w:tcPr>
          <w:p w14:paraId="2E2F3D8D">
            <w:pPr>
              <w:keepNext w:val="0"/>
              <w:keepLines w:val="0"/>
              <w:widowControl/>
              <w:suppressLineNumbers w:val="0"/>
              <w:jc w:val="left"/>
              <w:rPr>
                <w:sz w:val="18"/>
                <w:szCs w:val="18"/>
                <w:highlight w:val="none"/>
              </w:rPr>
            </w:pPr>
            <w:r>
              <w:rPr>
                <w:rFonts w:ascii="宋体" w:hAnsi="宋体" w:eastAsia="宋体" w:cs="宋体"/>
                <w:kern w:val="0"/>
                <w:sz w:val="18"/>
                <w:szCs w:val="18"/>
                <w:highlight w:val="none"/>
                <w:lang w:val="en-US" w:eastAsia="zh-CN" w:bidi="ar"/>
              </w:rPr>
              <w:t>3</w:t>
            </w:r>
          </w:p>
        </w:tc>
        <w:tc>
          <w:tcPr>
            <w:tcW w:w="2266" w:type="dxa"/>
            <w:tcBorders>
              <w:top w:val="single" w:color="CCCCCC" w:sz="2" w:space="0"/>
              <w:left w:val="single" w:color="CCCCCC" w:sz="2" w:space="0"/>
              <w:bottom w:val="single" w:color="CCCCCC" w:sz="2" w:space="0"/>
              <w:right w:val="single" w:color="CCCCCC" w:sz="2" w:space="0"/>
            </w:tcBorders>
            <w:noWrap w:val="0"/>
            <w:tcMar>
              <w:top w:w="120" w:type="dxa"/>
              <w:left w:w="120" w:type="dxa"/>
              <w:bottom w:w="120" w:type="dxa"/>
              <w:right w:w="120" w:type="dxa"/>
            </w:tcMar>
            <w:vAlign w:val="center"/>
          </w:tcPr>
          <w:p w14:paraId="38EEE939">
            <w:pPr>
              <w:keepNext w:val="0"/>
              <w:keepLines w:val="0"/>
              <w:widowControl/>
              <w:suppressLineNumbers w:val="0"/>
              <w:jc w:val="left"/>
              <w:rPr>
                <w:sz w:val="18"/>
                <w:szCs w:val="18"/>
                <w:highlight w:val="none"/>
              </w:rPr>
            </w:pPr>
            <w:r>
              <w:rPr>
                <w:rFonts w:ascii="宋体" w:hAnsi="宋体" w:eastAsia="宋体" w:cs="宋体"/>
                <w:kern w:val="0"/>
                <w:sz w:val="18"/>
                <w:szCs w:val="18"/>
                <w:highlight w:val="none"/>
                <w:lang w:val="en-US" w:eastAsia="zh-CN" w:bidi="ar"/>
              </w:rPr>
              <w:t>医疗机构</w:t>
            </w:r>
          </w:p>
        </w:tc>
        <w:tc>
          <w:tcPr>
            <w:tcW w:w="700" w:type="dxa"/>
            <w:tcBorders>
              <w:top w:val="single" w:color="CCCCCC" w:sz="2" w:space="0"/>
              <w:left w:val="single" w:color="CCCCCC" w:sz="2" w:space="0"/>
              <w:bottom w:val="single" w:color="CCCCCC" w:sz="2" w:space="0"/>
              <w:right w:val="single" w:color="CCCCCC" w:sz="2" w:space="0"/>
            </w:tcBorders>
            <w:noWrap w:val="0"/>
            <w:tcMar>
              <w:top w:w="120" w:type="dxa"/>
              <w:left w:w="120" w:type="dxa"/>
              <w:bottom w:w="120" w:type="dxa"/>
              <w:right w:w="120" w:type="dxa"/>
            </w:tcMar>
            <w:vAlign w:val="center"/>
          </w:tcPr>
          <w:p w14:paraId="444523EA">
            <w:pPr>
              <w:keepNext w:val="0"/>
              <w:keepLines w:val="0"/>
              <w:widowControl/>
              <w:suppressLineNumbers w:val="0"/>
              <w:jc w:val="left"/>
              <w:rPr>
                <w:sz w:val="18"/>
                <w:szCs w:val="18"/>
                <w:highlight w:val="none"/>
              </w:rPr>
            </w:pPr>
            <w:r>
              <w:rPr>
                <w:rFonts w:hint="eastAsia" w:ascii="宋体" w:hAnsi="宋体" w:eastAsia="宋体" w:cs="宋体"/>
                <w:kern w:val="0"/>
                <w:sz w:val="18"/>
                <w:szCs w:val="18"/>
                <w:highlight w:val="none"/>
                <w:lang w:val="en-US" w:eastAsia="zh-CN" w:bidi="ar"/>
              </w:rPr>
              <w:t>3</w:t>
            </w:r>
            <w:bookmarkStart w:id="0" w:name="_GoBack"/>
            <w:bookmarkEnd w:id="0"/>
          </w:p>
        </w:tc>
        <w:tc>
          <w:tcPr>
            <w:tcW w:w="4881" w:type="dxa"/>
            <w:tcBorders>
              <w:top w:val="single" w:color="CCCCCC" w:sz="2" w:space="0"/>
              <w:left w:val="single" w:color="CCCCCC" w:sz="2" w:space="0"/>
              <w:bottom w:val="single" w:color="CCCCCC" w:sz="2" w:space="0"/>
              <w:right w:val="single" w:color="CCCCCC" w:sz="2" w:space="0"/>
            </w:tcBorders>
            <w:noWrap w:val="0"/>
            <w:tcMar>
              <w:top w:w="120" w:type="dxa"/>
              <w:left w:w="120" w:type="dxa"/>
              <w:bottom w:w="120" w:type="dxa"/>
              <w:right w:w="120" w:type="dxa"/>
            </w:tcMar>
            <w:vAlign w:val="center"/>
          </w:tcPr>
          <w:p w14:paraId="12559BCE">
            <w:pPr>
              <w:keepNext w:val="0"/>
              <w:keepLines w:val="0"/>
              <w:widowControl/>
              <w:suppressLineNumbers w:val="0"/>
              <w:jc w:val="left"/>
              <w:rPr>
                <w:rFonts w:hint="default"/>
                <w:sz w:val="18"/>
                <w:szCs w:val="18"/>
                <w:highlight w:val="none"/>
                <w:lang w:val="en-US"/>
              </w:rPr>
            </w:pPr>
            <w:r>
              <w:rPr>
                <w:rFonts w:hint="eastAsia" w:ascii="宋体" w:hAnsi="宋体" w:eastAsia="宋体" w:cs="宋体"/>
                <w:kern w:val="0"/>
                <w:sz w:val="18"/>
                <w:szCs w:val="18"/>
                <w:highlight w:val="none"/>
                <w:lang w:val="en-US" w:eastAsia="zh-CN" w:bidi="ar"/>
              </w:rPr>
              <w:t>长春中医药大学附属第一医院、英平风湿医院、</w:t>
            </w:r>
            <w:r>
              <w:rPr>
                <w:rFonts w:hint="eastAsia" w:ascii="宋体" w:hAnsi="宋体" w:cs="宋体"/>
                <w:kern w:val="0"/>
                <w:sz w:val="18"/>
                <w:szCs w:val="18"/>
                <w:lang w:bidi="ar"/>
              </w:rPr>
              <w:t>长春吉润净月医院</w:t>
            </w:r>
          </w:p>
        </w:tc>
      </w:tr>
      <w:tr w14:paraId="10174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99" w:type="dxa"/>
            <w:tcBorders>
              <w:top w:val="single" w:color="CCCCCC" w:sz="2" w:space="0"/>
              <w:left w:val="single" w:color="CCCCCC" w:sz="2" w:space="0"/>
              <w:bottom w:val="single" w:color="CCCCCC" w:sz="2" w:space="0"/>
              <w:right w:val="single" w:color="CCCCCC" w:sz="2" w:space="0"/>
            </w:tcBorders>
            <w:noWrap w:val="0"/>
            <w:tcMar>
              <w:top w:w="120" w:type="dxa"/>
              <w:left w:w="120" w:type="dxa"/>
              <w:bottom w:w="120" w:type="dxa"/>
              <w:right w:w="120" w:type="dxa"/>
            </w:tcMar>
            <w:vAlign w:val="center"/>
          </w:tcPr>
          <w:p w14:paraId="5A08E23F">
            <w:pPr>
              <w:keepNext w:val="0"/>
              <w:keepLines w:val="0"/>
              <w:widowControl/>
              <w:suppressLineNumbers w:val="0"/>
              <w:jc w:val="left"/>
              <w:rPr>
                <w:rFonts w:hint="default" w:ascii="宋体" w:hAnsi="宋体" w:eastAsia="宋体" w:cs="宋体"/>
                <w:kern w:val="0"/>
                <w:sz w:val="18"/>
                <w:szCs w:val="18"/>
                <w:highlight w:val="none"/>
                <w:lang w:val="en-US" w:eastAsia="zh-CN" w:bidi="ar"/>
              </w:rPr>
            </w:pPr>
            <w:r>
              <w:rPr>
                <w:rFonts w:hint="eastAsia" w:ascii="宋体" w:hAnsi="宋体" w:cs="宋体"/>
                <w:kern w:val="0"/>
                <w:sz w:val="18"/>
                <w:szCs w:val="18"/>
                <w:highlight w:val="none"/>
                <w:lang w:val="en-US" w:eastAsia="zh-CN" w:bidi="ar"/>
              </w:rPr>
              <w:t>4</w:t>
            </w:r>
          </w:p>
        </w:tc>
        <w:tc>
          <w:tcPr>
            <w:tcW w:w="2266" w:type="dxa"/>
            <w:tcBorders>
              <w:top w:val="single" w:color="CCCCCC" w:sz="2" w:space="0"/>
              <w:left w:val="single" w:color="CCCCCC" w:sz="2" w:space="0"/>
              <w:bottom w:val="single" w:color="CCCCCC" w:sz="2" w:space="0"/>
              <w:right w:val="single" w:color="CCCCCC" w:sz="2" w:space="0"/>
            </w:tcBorders>
            <w:noWrap w:val="0"/>
            <w:tcMar>
              <w:top w:w="120" w:type="dxa"/>
              <w:left w:w="120" w:type="dxa"/>
              <w:bottom w:w="120" w:type="dxa"/>
              <w:right w:w="120" w:type="dxa"/>
            </w:tcMar>
            <w:vAlign w:val="center"/>
          </w:tcPr>
          <w:p w14:paraId="00E29291">
            <w:pPr>
              <w:keepNext w:val="0"/>
              <w:keepLines w:val="0"/>
              <w:widowControl/>
              <w:suppressLineNumbers w:val="0"/>
              <w:jc w:val="left"/>
              <w:rPr>
                <w:rFonts w:hint="default" w:ascii="宋体" w:hAnsi="宋体" w:eastAsia="宋体" w:cs="宋体"/>
                <w:kern w:val="0"/>
                <w:sz w:val="18"/>
                <w:szCs w:val="18"/>
                <w:highlight w:val="none"/>
                <w:lang w:val="en-US" w:eastAsia="zh-CN" w:bidi="ar"/>
              </w:rPr>
            </w:pPr>
            <w:r>
              <w:rPr>
                <w:rFonts w:hint="eastAsia" w:ascii="宋体" w:hAnsi="宋体" w:cs="宋体"/>
                <w:kern w:val="0"/>
                <w:sz w:val="18"/>
                <w:szCs w:val="18"/>
                <w:highlight w:val="none"/>
                <w:lang w:val="en-US" w:eastAsia="zh-CN" w:bidi="ar"/>
              </w:rPr>
              <w:t>科研院所</w:t>
            </w:r>
          </w:p>
        </w:tc>
        <w:tc>
          <w:tcPr>
            <w:tcW w:w="700" w:type="dxa"/>
            <w:tcBorders>
              <w:top w:val="single" w:color="CCCCCC" w:sz="2" w:space="0"/>
              <w:left w:val="single" w:color="CCCCCC" w:sz="2" w:space="0"/>
              <w:bottom w:val="single" w:color="CCCCCC" w:sz="2" w:space="0"/>
              <w:right w:val="single" w:color="CCCCCC" w:sz="2" w:space="0"/>
            </w:tcBorders>
            <w:noWrap w:val="0"/>
            <w:tcMar>
              <w:top w:w="120" w:type="dxa"/>
              <w:left w:w="120" w:type="dxa"/>
              <w:bottom w:w="120" w:type="dxa"/>
              <w:right w:w="120" w:type="dxa"/>
            </w:tcMar>
            <w:vAlign w:val="center"/>
          </w:tcPr>
          <w:p w14:paraId="302C67CC">
            <w:pPr>
              <w:keepNext w:val="0"/>
              <w:keepLines w:val="0"/>
              <w:widowControl/>
              <w:suppressLineNumbers w:val="0"/>
              <w:jc w:val="left"/>
              <w:rPr>
                <w:rFonts w:hint="default" w:ascii="宋体" w:hAnsi="宋体" w:eastAsia="宋体" w:cs="宋体"/>
                <w:kern w:val="0"/>
                <w:sz w:val="18"/>
                <w:szCs w:val="18"/>
                <w:highlight w:val="none"/>
                <w:lang w:val="en-US" w:eastAsia="zh-CN" w:bidi="ar"/>
              </w:rPr>
            </w:pPr>
            <w:r>
              <w:rPr>
                <w:rFonts w:hint="eastAsia" w:ascii="宋体" w:hAnsi="宋体" w:cs="宋体"/>
                <w:kern w:val="0"/>
                <w:sz w:val="18"/>
                <w:szCs w:val="18"/>
                <w:highlight w:val="none"/>
                <w:lang w:val="en-US" w:eastAsia="zh-CN" w:bidi="ar"/>
              </w:rPr>
              <w:t>1</w:t>
            </w:r>
          </w:p>
        </w:tc>
        <w:tc>
          <w:tcPr>
            <w:tcW w:w="4881" w:type="dxa"/>
            <w:tcBorders>
              <w:top w:val="single" w:color="CCCCCC" w:sz="2" w:space="0"/>
              <w:left w:val="single" w:color="CCCCCC" w:sz="2" w:space="0"/>
              <w:bottom w:val="single" w:color="CCCCCC" w:sz="2" w:space="0"/>
              <w:right w:val="single" w:color="CCCCCC" w:sz="2" w:space="0"/>
            </w:tcBorders>
            <w:noWrap w:val="0"/>
            <w:tcMar>
              <w:top w:w="120" w:type="dxa"/>
              <w:left w:w="120" w:type="dxa"/>
              <w:bottom w:w="120" w:type="dxa"/>
              <w:right w:w="120" w:type="dxa"/>
            </w:tcMar>
            <w:vAlign w:val="center"/>
          </w:tcPr>
          <w:p w14:paraId="4EF9F0D4">
            <w:pPr>
              <w:keepNext w:val="0"/>
              <w:keepLines w:val="0"/>
              <w:widowControl/>
              <w:suppressLineNumbers w:val="0"/>
              <w:jc w:val="left"/>
              <w:rPr>
                <w:rFonts w:hint="eastAsia" w:ascii="宋体" w:hAnsi="宋体" w:eastAsia="宋体" w:cs="宋体"/>
                <w:kern w:val="0"/>
                <w:sz w:val="18"/>
                <w:szCs w:val="18"/>
                <w:highlight w:val="none"/>
                <w:lang w:val="en-US" w:eastAsia="zh-CN" w:bidi="ar"/>
              </w:rPr>
            </w:pPr>
            <w:r>
              <w:rPr>
                <w:rFonts w:hint="eastAsia" w:ascii="宋体" w:hAnsi="宋体" w:eastAsia="宋体" w:cs="宋体"/>
                <w:kern w:val="0"/>
                <w:sz w:val="18"/>
                <w:szCs w:val="18"/>
                <w:highlight w:val="none"/>
                <w:lang w:val="en-US" w:eastAsia="zh-CN" w:bidi="ar"/>
              </w:rPr>
              <w:t>北京英平医疗技术研究所</w:t>
            </w:r>
          </w:p>
        </w:tc>
      </w:tr>
      <w:tr w14:paraId="481E2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99" w:type="dxa"/>
            <w:tcBorders>
              <w:top w:val="single" w:color="CCCCCC" w:sz="2" w:space="0"/>
              <w:left w:val="single" w:color="CCCCCC" w:sz="2" w:space="0"/>
              <w:bottom w:val="single" w:color="CCCCCC" w:sz="2" w:space="0"/>
              <w:right w:val="single" w:color="CCCCCC" w:sz="2" w:space="0"/>
            </w:tcBorders>
            <w:noWrap w:val="0"/>
            <w:tcMar>
              <w:top w:w="120" w:type="dxa"/>
              <w:left w:w="120" w:type="dxa"/>
              <w:bottom w:w="120" w:type="dxa"/>
              <w:right w:w="120" w:type="dxa"/>
            </w:tcMar>
            <w:vAlign w:val="center"/>
          </w:tcPr>
          <w:p w14:paraId="3203B716">
            <w:pPr>
              <w:keepNext w:val="0"/>
              <w:keepLines w:val="0"/>
              <w:widowControl/>
              <w:suppressLineNumbers w:val="0"/>
              <w:jc w:val="left"/>
              <w:rPr>
                <w:rFonts w:hint="eastAsia" w:eastAsia="宋体"/>
                <w:sz w:val="18"/>
                <w:szCs w:val="18"/>
                <w:highlight w:val="none"/>
                <w:lang w:val="en-US" w:eastAsia="zh-CN"/>
              </w:rPr>
            </w:pPr>
            <w:r>
              <w:rPr>
                <w:rFonts w:hint="eastAsia"/>
                <w:sz w:val="18"/>
                <w:szCs w:val="18"/>
                <w:highlight w:val="none"/>
                <w:lang w:val="en-US" w:eastAsia="zh-CN"/>
              </w:rPr>
              <w:t>5</w:t>
            </w:r>
          </w:p>
        </w:tc>
        <w:tc>
          <w:tcPr>
            <w:tcW w:w="2266" w:type="dxa"/>
            <w:tcBorders>
              <w:top w:val="single" w:color="CCCCCC" w:sz="2" w:space="0"/>
              <w:left w:val="single" w:color="CCCCCC" w:sz="2" w:space="0"/>
              <w:bottom w:val="single" w:color="CCCCCC" w:sz="2" w:space="0"/>
              <w:right w:val="single" w:color="CCCCCC" w:sz="2" w:space="0"/>
            </w:tcBorders>
            <w:noWrap w:val="0"/>
            <w:tcMar>
              <w:top w:w="120" w:type="dxa"/>
              <w:left w:w="120" w:type="dxa"/>
              <w:bottom w:w="120" w:type="dxa"/>
              <w:right w:w="120" w:type="dxa"/>
            </w:tcMar>
            <w:vAlign w:val="center"/>
          </w:tcPr>
          <w:p w14:paraId="10108487">
            <w:pPr>
              <w:keepNext w:val="0"/>
              <w:keepLines w:val="0"/>
              <w:widowControl/>
              <w:suppressLineNumbers w:val="0"/>
              <w:jc w:val="left"/>
              <w:rPr>
                <w:sz w:val="18"/>
                <w:szCs w:val="18"/>
                <w:highlight w:val="none"/>
              </w:rPr>
            </w:pPr>
            <w:r>
              <w:rPr>
                <w:rFonts w:ascii="宋体" w:hAnsi="宋体" w:eastAsia="宋体" w:cs="宋体"/>
                <w:kern w:val="0"/>
                <w:sz w:val="18"/>
                <w:szCs w:val="18"/>
                <w:highlight w:val="none"/>
                <w:lang w:val="en-US" w:eastAsia="zh-CN" w:bidi="ar"/>
              </w:rPr>
              <w:t>医药及相关企业</w:t>
            </w:r>
          </w:p>
        </w:tc>
        <w:tc>
          <w:tcPr>
            <w:tcW w:w="700" w:type="dxa"/>
            <w:tcBorders>
              <w:top w:val="single" w:color="CCCCCC" w:sz="2" w:space="0"/>
              <w:left w:val="single" w:color="CCCCCC" w:sz="2" w:space="0"/>
              <w:bottom w:val="single" w:color="CCCCCC" w:sz="2" w:space="0"/>
              <w:right w:val="single" w:color="CCCCCC" w:sz="2" w:space="0"/>
            </w:tcBorders>
            <w:noWrap w:val="0"/>
            <w:tcMar>
              <w:top w:w="120" w:type="dxa"/>
              <w:left w:w="120" w:type="dxa"/>
              <w:bottom w:w="120" w:type="dxa"/>
              <w:right w:w="120" w:type="dxa"/>
            </w:tcMar>
            <w:vAlign w:val="center"/>
          </w:tcPr>
          <w:p w14:paraId="52A8FFB6">
            <w:pPr>
              <w:keepNext w:val="0"/>
              <w:keepLines w:val="0"/>
              <w:widowControl/>
              <w:suppressLineNumbers w:val="0"/>
              <w:jc w:val="left"/>
              <w:rPr>
                <w:sz w:val="18"/>
                <w:szCs w:val="18"/>
                <w:highlight w:val="none"/>
              </w:rPr>
            </w:pPr>
            <w:r>
              <w:rPr>
                <w:rFonts w:hint="eastAsia" w:ascii="宋体" w:hAnsi="宋体" w:eastAsia="宋体" w:cs="宋体"/>
                <w:kern w:val="0"/>
                <w:sz w:val="18"/>
                <w:szCs w:val="18"/>
                <w:highlight w:val="none"/>
                <w:lang w:val="en-US" w:eastAsia="zh-CN" w:bidi="ar"/>
              </w:rPr>
              <w:t>2</w:t>
            </w:r>
          </w:p>
        </w:tc>
        <w:tc>
          <w:tcPr>
            <w:tcW w:w="4881" w:type="dxa"/>
            <w:tcBorders>
              <w:top w:val="single" w:color="CCCCCC" w:sz="2" w:space="0"/>
              <w:left w:val="single" w:color="CCCCCC" w:sz="2" w:space="0"/>
              <w:bottom w:val="single" w:color="CCCCCC" w:sz="2" w:space="0"/>
              <w:right w:val="single" w:color="CCCCCC" w:sz="2" w:space="0"/>
            </w:tcBorders>
            <w:noWrap w:val="0"/>
            <w:tcMar>
              <w:top w:w="120" w:type="dxa"/>
              <w:left w:w="120" w:type="dxa"/>
              <w:bottom w:w="120" w:type="dxa"/>
              <w:right w:w="120" w:type="dxa"/>
            </w:tcMar>
            <w:vAlign w:val="center"/>
          </w:tcPr>
          <w:p w14:paraId="76B05A3F">
            <w:pPr>
              <w:keepNext w:val="0"/>
              <w:keepLines w:val="0"/>
              <w:widowControl/>
              <w:suppressLineNumbers w:val="0"/>
              <w:jc w:val="left"/>
              <w:rPr>
                <w:rFonts w:hint="default"/>
                <w:sz w:val="18"/>
                <w:szCs w:val="18"/>
                <w:highlight w:val="none"/>
                <w:lang w:val="en-US"/>
              </w:rPr>
            </w:pPr>
            <w:r>
              <w:rPr>
                <w:rFonts w:hint="eastAsia" w:ascii="宋体" w:hAnsi="宋体" w:eastAsia="宋体" w:cs="宋体"/>
                <w:kern w:val="0"/>
                <w:sz w:val="18"/>
                <w:szCs w:val="18"/>
                <w:highlight w:val="none"/>
                <w:lang w:val="en-US" w:eastAsia="zh-CN" w:bidi="ar"/>
              </w:rPr>
              <w:t>英平集团</w:t>
            </w:r>
            <w:r>
              <w:rPr>
                <w:rFonts w:ascii="宋体" w:hAnsi="宋体" w:eastAsia="宋体" w:cs="宋体"/>
                <w:kern w:val="0"/>
                <w:sz w:val="18"/>
                <w:szCs w:val="18"/>
                <w:highlight w:val="none"/>
                <w:lang w:val="en-US" w:eastAsia="zh-CN" w:bidi="ar"/>
              </w:rPr>
              <w:t>、</w:t>
            </w:r>
            <w:r>
              <w:rPr>
                <w:rFonts w:hint="eastAsia" w:ascii="宋体" w:hAnsi="宋体" w:eastAsia="宋体" w:cs="宋体"/>
                <w:kern w:val="0"/>
                <w:sz w:val="18"/>
                <w:szCs w:val="18"/>
                <w:highlight w:val="none"/>
                <w:lang w:val="en-US" w:eastAsia="zh-CN" w:bidi="ar"/>
              </w:rPr>
              <w:t>星烁</w:t>
            </w:r>
            <w:r>
              <w:rPr>
                <w:rFonts w:hint="eastAsia" w:ascii="宋体" w:hAnsi="宋体" w:cs="宋体"/>
                <w:kern w:val="0"/>
                <w:sz w:val="18"/>
                <w:szCs w:val="18"/>
                <w:highlight w:val="none"/>
                <w:lang w:val="en-US" w:eastAsia="zh-CN" w:bidi="ar"/>
              </w:rPr>
              <w:t>科技有限公司</w:t>
            </w:r>
          </w:p>
        </w:tc>
      </w:tr>
    </w:tbl>
    <w:p w14:paraId="7E26DD6F">
      <w:pPr>
        <w:spacing w:line="315" w:lineRule="auto"/>
        <w:rPr>
          <w:rFonts w:hint="eastAsia" w:ascii="宋体" w:hAnsi="宋体" w:eastAsia="宋体" w:cs="宋体"/>
          <w:sz w:val="21"/>
          <w:szCs w:val="21"/>
        </w:rPr>
      </w:pPr>
    </w:p>
    <w:p w14:paraId="0F8F6804">
      <w:pPr>
        <w:pStyle w:val="2"/>
        <w:spacing w:before="100" w:line="317" w:lineRule="auto"/>
        <w:ind w:right="321"/>
        <w:jc w:val="right"/>
        <w:rPr>
          <w:rFonts w:hint="eastAsia" w:ascii="宋体" w:hAnsi="宋体" w:eastAsia="宋体" w:cs="宋体"/>
          <w:spacing w:val="11"/>
          <w:sz w:val="21"/>
          <w:szCs w:val="21"/>
        </w:rPr>
      </w:pPr>
      <w:r>
        <w:rPr>
          <w:rFonts w:hint="eastAsia" w:ascii="Calibri" w:hAnsi="Calibri" w:eastAsia="宋体" w:cs="Times New Roman"/>
          <w:snapToGrid/>
          <w:kern w:val="2"/>
          <w:sz w:val="21"/>
          <w:szCs w:val="21"/>
          <w:highlight w:val="none"/>
          <w:lang w:eastAsia="zh-CN"/>
        </w:rPr>
        <w:t>《常见风湿免疫疾病中西医结合临床诊疗指南</w:t>
      </w:r>
      <w:r>
        <w:rPr>
          <w:rFonts w:hint="eastAsia" w:ascii="Calibri" w:hAnsi="Calibri" w:eastAsia="宋体" w:cs="Times New Roman"/>
          <w:snapToGrid/>
          <w:kern w:val="2"/>
          <w:sz w:val="21"/>
          <w:szCs w:val="21"/>
          <w:highlight w:val="none"/>
          <w:lang w:val="en-US" w:eastAsia="zh-CN"/>
        </w:rPr>
        <w:t xml:space="preserve"> 银屑病性关节炎</w:t>
      </w:r>
      <w:r>
        <w:rPr>
          <w:rFonts w:hint="eastAsia" w:ascii="Calibri" w:hAnsi="Calibri" w:eastAsia="宋体" w:cs="Times New Roman"/>
          <w:snapToGrid/>
          <w:kern w:val="2"/>
          <w:sz w:val="21"/>
          <w:szCs w:val="21"/>
          <w:highlight w:val="none"/>
          <w:lang w:eastAsia="zh-CN"/>
        </w:rPr>
        <w:t>》</w:t>
      </w:r>
      <w:r>
        <w:rPr>
          <w:rFonts w:hint="eastAsia" w:ascii="宋体" w:hAnsi="宋体" w:eastAsia="宋体" w:cs="宋体"/>
          <w:spacing w:val="8"/>
          <w:sz w:val="21"/>
          <w:szCs w:val="21"/>
        </w:rPr>
        <w:t>起草组</w:t>
      </w:r>
      <w:r>
        <w:rPr>
          <w:rFonts w:hint="eastAsia" w:ascii="宋体" w:hAnsi="宋体" w:eastAsia="宋体" w:cs="宋体"/>
          <w:spacing w:val="11"/>
          <w:sz w:val="21"/>
          <w:szCs w:val="21"/>
        </w:rPr>
        <w:t xml:space="preserve"> </w:t>
      </w:r>
    </w:p>
    <w:p w14:paraId="1A480A5B">
      <w:pPr>
        <w:pStyle w:val="2"/>
        <w:spacing w:before="100" w:line="317" w:lineRule="auto"/>
        <w:ind w:right="321"/>
        <w:jc w:val="right"/>
        <w:rPr>
          <w:rFonts w:hint="eastAsia" w:ascii="宋体" w:hAnsi="宋体" w:eastAsia="宋体" w:cs="宋体"/>
          <w:sz w:val="21"/>
          <w:szCs w:val="21"/>
        </w:rPr>
      </w:pPr>
      <w:r>
        <w:rPr>
          <w:rFonts w:ascii="宋体" w:hAnsi="宋体" w:eastAsia="宋体" w:cs="宋体"/>
          <w:sz w:val="21"/>
          <w:szCs w:val="21"/>
          <w:highlight w:val="none"/>
        </w:rPr>
        <w:t>2026年</w:t>
      </w:r>
      <w:r>
        <w:rPr>
          <w:rFonts w:hint="eastAsia" w:ascii="宋体" w:hAnsi="宋体" w:eastAsia="宋体" w:cs="宋体"/>
          <w:sz w:val="21"/>
          <w:szCs w:val="21"/>
          <w:highlight w:val="none"/>
          <w:lang w:val="en-US" w:eastAsia="zh-CN"/>
        </w:rPr>
        <w:t>9</w:t>
      </w:r>
      <w:r>
        <w:rPr>
          <w:rFonts w:ascii="宋体" w:hAnsi="宋体" w:eastAsia="宋体" w:cs="宋体"/>
          <w:sz w:val="21"/>
          <w:szCs w:val="21"/>
          <w:highlight w:val="none"/>
        </w:rPr>
        <w:t>月</w:t>
      </w:r>
      <w:r>
        <w:rPr>
          <w:rFonts w:hint="eastAsia" w:ascii="宋体" w:hAnsi="宋体" w:eastAsia="宋体" w:cs="宋体"/>
          <w:sz w:val="21"/>
          <w:szCs w:val="21"/>
          <w:highlight w:val="none"/>
          <w:lang w:val="en-US" w:eastAsia="zh-CN"/>
        </w:rPr>
        <w:t>2</w:t>
      </w:r>
      <w:r>
        <w:rPr>
          <w:rFonts w:ascii="宋体" w:hAnsi="宋体" w:eastAsia="宋体" w:cs="宋体"/>
          <w:sz w:val="21"/>
          <w:szCs w:val="21"/>
          <w:highlight w:val="none"/>
        </w:rPr>
        <w:t>日</w:t>
      </w:r>
    </w:p>
    <w:sectPr>
      <w:footerReference r:id="rId5" w:type="default"/>
      <w:pgSz w:w="11906" w:h="16839"/>
      <w:pgMar w:top="1431" w:right="1418" w:bottom="1156" w:left="1486" w:header="0" w:footer="994"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B1599E">
    <w:pPr>
      <w:spacing w:line="176" w:lineRule="auto"/>
      <w:ind w:left="4397"/>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2AC6985"/>
    <w:rsid w:val="16E34845"/>
    <w:rsid w:val="1EF5469C"/>
    <w:rsid w:val="2179058B"/>
    <w:rsid w:val="2A9D3F63"/>
    <w:rsid w:val="3C2105FF"/>
    <w:rsid w:val="3EC06060"/>
    <w:rsid w:val="4AC47C50"/>
    <w:rsid w:val="55986DE4"/>
    <w:rsid w:val="57884901"/>
    <w:rsid w:val="5879483A"/>
    <w:rsid w:val="5B7508EA"/>
    <w:rsid w:val="62113437"/>
    <w:rsid w:val="75FE450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仿宋" w:hAnsi="仿宋" w:eastAsia="仿宋" w:cs="仿宋"/>
      <w:sz w:val="20"/>
      <w:szCs w:val="20"/>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1732</Words>
  <Characters>1832</Characters>
  <TotalTime>0</TotalTime>
  <ScaleCrop>false</ScaleCrop>
  <LinksUpToDate>false</LinksUpToDate>
  <CharactersWithSpaces>1840</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2024-12-20T10:55:00Z</dcterms:created>
  <dc:creator>微软用户</dc:creator>
  <cp:lastModifiedBy>小螃蟹</cp:lastModifiedBy>
  <dcterms:modified xsi:type="dcterms:W3CDTF">2026-09-11T00:33:25Z</dcterms:modified>
  <dc:title>标准编制说明</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2024-12-24T11:02:52Z</vt:filetime>
  </property>
  <property fmtid="{D5CDD505-2E9C-101B-9397-08002B2CF9AE}" pid="4" name="KSOProductBuildVer">
    <vt:lpwstr>2052-12.1.0.28505</vt:lpwstr>
  </property>
  <property fmtid="{D5CDD505-2E9C-101B-9397-08002B2CF9AE}" pid="5" name="ICV">
    <vt:lpwstr>B73CAACA0C934C35A09A4F514609C171_13</vt:lpwstr>
  </property>
  <property fmtid="{D5CDD505-2E9C-101B-9397-08002B2CF9AE}" pid="6" name="KSOTemplateDocerSaveRecord">
    <vt:lpwstr>eyJoZGlkIjoiNTBjZWIzZjliZTBlZmRkYzRiNTY0MmFlYWYzZTc5MGUiLCJ1c2VySWQiOiI1MDY0NTY2MjEifQ==</vt:lpwstr>
  </property>
</Properties>
</file>