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20F690E">
      <w:pPr>
        <w:spacing w:line="360" w:lineRule="auto"/>
        <w:jc w:val="left"/>
        <w:rPr>
          <w:rFonts w:hint="default" w:ascii="仿宋" w:hAnsi="仿宋" w:eastAsia="仿宋" w:cs="Times New Roman"/>
          <w:b/>
          <w:bCs/>
          <w:color w:val="auto"/>
          <w:kern w:val="2"/>
          <w:sz w:val="28"/>
          <w:szCs w:val="28"/>
          <w:shd w:val="clear" w:color="auto" w:fill="FFFFFF"/>
          <w:lang w:val="en-US" w:eastAsia="zh-CN" w:bidi="ar-SA"/>
        </w:rPr>
      </w:pPr>
      <w:r>
        <w:rPr>
          <w:rFonts w:hint="eastAsia" w:ascii="仿宋" w:hAnsi="仿宋" w:eastAsia="仿宋" w:cs="Times New Roman"/>
          <w:b/>
          <w:bCs/>
          <w:color w:val="auto"/>
          <w:kern w:val="2"/>
          <w:sz w:val="28"/>
          <w:szCs w:val="28"/>
          <w:shd w:val="clear" w:color="auto" w:fill="FFFFFF"/>
          <w:lang w:val="en-US" w:eastAsia="zh-CN" w:bidi="ar-SA"/>
        </w:rPr>
        <w:t>附件：打分表</w:t>
      </w:r>
    </w:p>
    <w:tbl>
      <w:tblPr>
        <w:tblStyle w:val="18"/>
        <w:tblW w:w="986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7999"/>
        <w:gridCol w:w="710"/>
      </w:tblGrid>
      <w:tr w14:paraId="450E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noWrap w:val="0"/>
            <w:vAlign w:val="center"/>
          </w:tcPr>
          <w:p w14:paraId="7D532FE8">
            <w:pPr>
              <w:keepNext w:val="0"/>
              <w:keepLines w:val="0"/>
              <w:pageBreakBefore w:val="0"/>
              <w:widowControl w:val="0"/>
              <w:kinsoku/>
              <w:wordWrap/>
              <w:overflowPunct/>
              <w:topLinePunct w:val="0"/>
              <w:bidi w:val="0"/>
              <w:snapToGrid/>
              <w:spacing w:line="360" w:lineRule="auto"/>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评审项</w:t>
            </w:r>
          </w:p>
        </w:tc>
        <w:tc>
          <w:tcPr>
            <w:tcW w:w="7999" w:type="dxa"/>
            <w:noWrap w:val="0"/>
            <w:vAlign w:val="center"/>
          </w:tcPr>
          <w:p w14:paraId="6FAB5E9F">
            <w:pPr>
              <w:pStyle w:val="5"/>
              <w:keepNext w:val="0"/>
              <w:keepLines w:val="0"/>
              <w:pageBreakBefore w:val="0"/>
              <w:widowControl w:val="0"/>
              <w:kinsoku/>
              <w:wordWrap/>
              <w:overflowPunct/>
              <w:topLinePunct w:val="0"/>
              <w:bidi w:val="0"/>
              <w:snapToGrid/>
              <w:spacing w:after="0" w:afterLines="0" w:line="360" w:lineRule="auto"/>
              <w:jc w:val="center"/>
              <w:textAlignment w:val="auto"/>
              <w:rPr>
                <w:rFonts w:hint="default" w:ascii="宋体" w:hAnsi="宋体" w:eastAsia="宋体" w:cs="宋体"/>
                <w:color w:val="auto"/>
                <w:kern w:val="2"/>
                <w:sz w:val="21"/>
                <w:szCs w:val="21"/>
                <w:highlight w:val="yellow"/>
                <w:lang w:val="en-US" w:eastAsia="zh-CN" w:bidi="ar-SA"/>
              </w:rPr>
            </w:pPr>
            <w:r>
              <w:rPr>
                <w:rFonts w:hint="eastAsia" w:eastAsia="宋体"/>
                <w:color w:val="auto"/>
                <w:sz w:val="21"/>
                <w:szCs w:val="21"/>
                <w:highlight w:val="none"/>
                <w:lang w:val="en-US" w:eastAsia="zh-CN"/>
              </w:rPr>
              <w:t>评分标准</w:t>
            </w:r>
          </w:p>
        </w:tc>
        <w:tc>
          <w:tcPr>
            <w:tcW w:w="710" w:type="dxa"/>
            <w:noWrap w:val="0"/>
            <w:vAlign w:val="center"/>
          </w:tcPr>
          <w:p w14:paraId="549DB330">
            <w:pPr>
              <w:keepNext w:val="0"/>
              <w:keepLines w:val="0"/>
              <w:pageBreakBefore w:val="0"/>
              <w:widowControl w:val="0"/>
              <w:kinsoku/>
              <w:wordWrap/>
              <w:overflowPunct/>
              <w:topLinePunct w:val="0"/>
              <w:bidi w:val="0"/>
              <w:snapToGrid/>
              <w:spacing w:line="360" w:lineRule="auto"/>
              <w:jc w:val="center"/>
              <w:textAlignment w:val="auto"/>
              <w:rPr>
                <w:rFonts w:ascii="宋体" w:hAnsi="宋体" w:cs="宋体"/>
                <w:b/>
                <w:bCs/>
                <w:color w:val="auto"/>
                <w:sz w:val="21"/>
                <w:szCs w:val="21"/>
              </w:rPr>
            </w:pPr>
            <w:r>
              <w:rPr>
                <w:rFonts w:hint="eastAsia" w:ascii="宋体" w:hAnsi="宋体" w:cs="宋体"/>
                <w:color w:val="auto"/>
                <w:sz w:val="21"/>
                <w:szCs w:val="21"/>
                <w:lang w:val="en-US" w:eastAsia="zh-CN"/>
              </w:rPr>
              <w:t>分值</w:t>
            </w:r>
          </w:p>
        </w:tc>
      </w:tr>
      <w:tr w14:paraId="7760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160" w:type="dxa"/>
            <w:noWrap w:val="0"/>
            <w:vAlign w:val="center"/>
          </w:tcPr>
          <w:p w14:paraId="509E6FE8">
            <w:pPr>
              <w:keepNext w:val="0"/>
              <w:keepLines w:val="0"/>
              <w:pageBreakBefore w:val="0"/>
              <w:widowControl w:val="0"/>
              <w:kinsoku/>
              <w:wordWrap/>
              <w:overflowPunct/>
              <w:topLinePunct w:val="0"/>
              <w:bidi w:val="0"/>
              <w:snapToGrid/>
              <w:spacing w:line="360" w:lineRule="auto"/>
              <w:jc w:val="center"/>
              <w:textAlignment w:val="auto"/>
              <w:rPr>
                <w:rFonts w:hint="default" w:ascii="宋体" w:hAnsi="宋体" w:cs="宋体"/>
                <w:b/>
                <w:bCs/>
                <w:color w:val="auto"/>
                <w:szCs w:val="21"/>
                <w:lang w:val="en-US" w:eastAsia="zh-CN"/>
              </w:rPr>
            </w:pPr>
            <w:r>
              <w:rPr>
                <w:rFonts w:hint="eastAsia" w:ascii="宋体" w:hAnsi="宋体" w:cs="宋体"/>
                <w:b/>
                <w:bCs/>
                <w:color w:val="auto"/>
                <w:szCs w:val="21"/>
                <w:lang w:val="en-US" w:eastAsia="zh-CN"/>
              </w:rPr>
              <w:t>1.价格分</w:t>
            </w:r>
          </w:p>
        </w:tc>
        <w:tc>
          <w:tcPr>
            <w:tcW w:w="7999" w:type="dxa"/>
            <w:noWrap w:val="0"/>
            <w:vAlign w:val="center"/>
          </w:tcPr>
          <w:p w14:paraId="1A0EE711">
            <w:pPr>
              <w:pStyle w:val="7"/>
              <w:keepNext w:val="0"/>
              <w:keepLines w:val="0"/>
              <w:pageBreakBefore w:val="0"/>
              <w:widowControl w:val="0"/>
              <w:kinsoku/>
              <w:wordWrap/>
              <w:overflowPunct/>
              <w:topLinePunct w:val="0"/>
              <w:bidi w:val="0"/>
              <w:snapToGrid/>
              <w:spacing w:line="360" w:lineRule="auto"/>
              <w:textAlignment w:val="auto"/>
              <w:rPr>
                <w:rFonts w:hint="default"/>
                <w:lang w:val="en-US" w:eastAsia="zh-CN"/>
              </w:rPr>
            </w:pPr>
            <w:r>
              <w:rPr>
                <w:rFonts w:hint="eastAsia" w:ascii="宋体" w:hAnsi="宋体" w:eastAsia="宋体" w:cs="宋体"/>
                <w:b w:val="0"/>
                <w:bCs w:val="0"/>
                <w:color w:val="auto"/>
                <w:kern w:val="2"/>
                <w:sz w:val="21"/>
                <w:szCs w:val="21"/>
                <w:lang w:val="en-US" w:eastAsia="zh-CN" w:bidi="ar-SA"/>
              </w:rPr>
              <w:t>代理服务费收取标准：代理机构参照《贵州省招标采购协会招标（采购）代理服务收费指南（试行）》（黔招协(2025)35号）规定的基准费率为基础，每下浮1%的1分，满分10分。若根据下浮率收费后，金额不足5000.00元的，按照协会最低收取标准5000.00元执行。</w:t>
            </w:r>
          </w:p>
        </w:tc>
        <w:tc>
          <w:tcPr>
            <w:tcW w:w="710" w:type="dxa"/>
            <w:noWrap w:val="0"/>
            <w:vAlign w:val="center"/>
          </w:tcPr>
          <w:p w14:paraId="741609DF">
            <w:pPr>
              <w:keepNext w:val="0"/>
              <w:keepLines w:val="0"/>
              <w:pageBreakBefore w:val="0"/>
              <w:widowControl w:val="0"/>
              <w:kinsoku/>
              <w:wordWrap/>
              <w:overflowPunct/>
              <w:topLinePunct w:val="0"/>
              <w:bidi w:val="0"/>
              <w:snapToGrid/>
              <w:spacing w:line="360" w:lineRule="auto"/>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10分</w:t>
            </w:r>
          </w:p>
        </w:tc>
      </w:tr>
      <w:tr w14:paraId="29F4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160" w:type="dxa"/>
            <w:noWrap w:val="0"/>
            <w:vAlign w:val="center"/>
          </w:tcPr>
          <w:p w14:paraId="1178528A">
            <w:pPr>
              <w:spacing w:line="360" w:lineRule="auto"/>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2.项目团队</w:t>
            </w:r>
          </w:p>
        </w:tc>
        <w:tc>
          <w:tcPr>
            <w:tcW w:w="7999" w:type="dxa"/>
            <w:noWrap w:val="0"/>
            <w:vAlign w:val="center"/>
          </w:tcPr>
          <w:p w14:paraId="7642CAA7">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项目团队服务人员从业经验及水平情况</w:t>
            </w:r>
            <w:r>
              <w:rPr>
                <w:rFonts w:hint="eastAsia" w:ascii="宋体" w:hAnsi="宋体" w:cs="宋体"/>
                <w:b/>
                <w:bCs/>
                <w:color w:val="auto"/>
                <w:szCs w:val="21"/>
                <w:highlight w:val="none"/>
                <w:lang w:eastAsia="zh-CN"/>
              </w:rPr>
              <w:t>：</w:t>
            </w:r>
          </w:p>
          <w:p w14:paraId="421B3AFA">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招标采购代理机构须</w:t>
            </w:r>
            <w:r>
              <w:rPr>
                <w:rFonts w:hint="eastAsia" w:ascii="宋体" w:hAnsi="宋体" w:cs="宋体"/>
                <w:color w:val="auto"/>
                <w:szCs w:val="21"/>
                <w:highlight w:val="none"/>
              </w:rPr>
              <w:t>成立专门的项目组，项目</w:t>
            </w:r>
            <w:r>
              <w:rPr>
                <w:rFonts w:hint="eastAsia" w:ascii="宋体" w:hAnsi="宋体" w:cs="宋体"/>
                <w:color w:val="auto"/>
                <w:szCs w:val="21"/>
                <w:highlight w:val="none"/>
                <w:lang w:val="en-US" w:eastAsia="zh-CN"/>
              </w:rPr>
              <w:t>组负责人</w:t>
            </w:r>
            <w:r>
              <w:rPr>
                <w:rFonts w:hint="eastAsia" w:ascii="宋体" w:hAnsi="宋体" w:cs="宋体"/>
                <w:color w:val="auto"/>
                <w:szCs w:val="21"/>
                <w:highlight w:val="none"/>
              </w:rPr>
              <w:t>具有</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以上招标</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代理工作经验，且具有</w:t>
            </w:r>
            <w:r>
              <w:rPr>
                <w:rFonts w:hint="eastAsia" w:ascii="宋体" w:hAnsi="宋体" w:cs="宋体"/>
                <w:color w:val="auto"/>
                <w:szCs w:val="21"/>
                <w:highlight w:val="none"/>
                <w:lang w:val="en-US" w:eastAsia="zh-CN"/>
              </w:rPr>
              <w:t>中级职称及以上的得5分</w:t>
            </w:r>
            <w:r>
              <w:rPr>
                <w:rFonts w:hint="eastAsia" w:ascii="宋体" w:hAnsi="宋体" w:cs="宋体"/>
                <w:color w:val="auto"/>
                <w:szCs w:val="21"/>
                <w:highlight w:val="none"/>
                <w:lang w:eastAsia="zh-CN"/>
              </w:rPr>
              <w:t>。</w:t>
            </w:r>
          </w:p>
          <w:p w14:paraId="1CF27F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提供</w:t>
            </w:r>
            <w:r>
              <w:rPr>
                <w:rFonts w:hint="eastAsia" w:ascii="宋体" w:hAnsi="宋体" w:cs="宋体"/>
                <w:color w:val="auto"/>
                <w:szCs w:val="21"/>
                <w:highlight w:val="none"/>
                <w:lang w:val="en-US" w:eastAsia="zh-CN"/>
              </w:rPr>
              <w:t>项目组负责人身份证、2026年任意1个月社保缴纳证明材料</w:t>
            </w:r>
            <w:r>
              <w:rPr>
                <w:rFonts w:hint="eastAsia" w:ascii="宋体" w:hAnsi="宋体" w:cs="宋体"/>
                <w:color w:val="auto"/>
                <w:szCs w:val="21"/>
                <w:highlight w:val="none"/>
              </w:rPr>
              <w:t>、职称证书、工作经验证明材料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提供该负责人具有5年及以上工作年限的项目委托协议、中标公示网页截图或医院出具的证明材料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1BC1EB31">
            <w:pPr>
              <w:numPr>
                <w:ilvl w:val="0"/>
                <w:numId w:val="1"/>
              </w:num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除项目</w:t>
            </w:r>
            <w:r>
              <w:rPr>
                <w:rFonts w:hint="eastAsia" w:ascii="宋体" w:hAnsi="宋体" w:cs="宋体"/>
                <w:color w:val="auto"/>
                <w:szCs w:val="21"/>
                <w:highlight w:val="none"/>
                <w:lang w:val="en-US" w:eastAsia="zh-CN"/>
              </w:rPr>
              <w:t>组</w:t>
            </w:r>
            <w:r>
              <w:rPr>
                <w:rFonts w:hint="eastAsia" w:ascii="宋体" w:hAnsi="宋体" w:cs="宋体"/>
                <w:color w:val="auto"/>
                <w:szCs w:val="21"/>
                <w:highlight w:val="none"/>
              </w:rPr>
              <w:t>负责人外，</w:t>
            </w:r>
            <w:r>
              <w:rPr>
                <w:rFonts w:hint="eastAsia" w:ascii="宋体" w:hAnsi="宋体" w:cs="宋体"/>
                <w:color w:val="auto"/>
                <w:szCs w:val="21"/>
                <w:highlight w:val="none"/>
                <w:lang w:val="en-US" w:eastAsia="zh-CN"/>
              </w:rPr>
              <w:t>具有</w:t>
            </w:r>
            <w:r>
              <w:rPr>
                <w:rFonts w:hint="eastAsia" w:ascii="宋体" w:hAnsi="宋体" w:cs="宋体"/>
                <w:color w:val="auto"/>
                <w:szCs w:val="21"/>
                <w:highlight w:val="none"/>
              </w:rPr>
              <w:t>招标采购专职从业人员能力考评证书</w:t>
            </w:r>
            <w:r>
              <w:rPr>
                <w:rFonts w:hint="eastAsia" w:ascii="宋体" w:hAnsi="宋体" w:cs="宋体"/>
                <w:color w:val="auto"/>
                <w:szCs w:val="21"/>
                <w:highlight w:val="none"/>
                <w:lang w:val="en-US" w:eastAsia="zh-CN"/>
              </w:rPr>
              <w:t>每提供1人得2分，最多10分，其中若具有中级职称每提供一个得2分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满分10分。</w:t>
            </w:r>
          </w:p>
          <w:p w14:paraId="3BECBEEC">
            <w:pPr>
              <w:numPr>
                <w:ilvl w:val="0"/>
                <w:numId w:val="0"/>
              </w:num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注：以上须提供项目团队服务人员身份证、相关证书、2026年任意1个月社保缴纳证明材料，不提供或缺项该项不得分。</w:t>
            </w:r>
          </w:p>
        </w:tc>
        <w:tc>
          <w:tcPr>
            <w:tcW w:w="710" w:type="dxa"/>
            <w:noWrap w:val="0"/>
            <w:vAlign w:val="center"/>
          </w:tcPr>
          <w:p w14:paraId="34515EE6">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25分</w:t>
            </w:r>
          </w:p>
        </w:tc>
      </w:tr>
      <w:tr w14:paraId="7AC3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noWrap w:val="0"/>
            <w:vAlign w:val="center"/>
          </w:tcPr>
          <w:p w14:paraId="79E83301">
            <w:pPr>
              <w:spacing w:line="360" w:lineRule="auto"/>
              <w:jc w:val="center"/>
              <w:rPr>
                <w:rFonts w:hint="default" w:ascii="宋体" w:hAnsi="宋体" w:cs="宋体"/>
                <w:b/>
                <w:bCs/>
                <w:color w:val="auto"/>
                <w:szCs w:val="21"/>
                <w:lang w:val="en-US" w:eastAsia="zh-CN"/>
              </w:rPr>
            </w:pPr>
            <w:r>
              <w:rPr>
                <w:rFonts w:hint="eastAsia" w:ascii="宋体" w:hAnsi="宋体" w:cs="宋体"/>
                <w:b/>
                <w:bCs/>
                <w:color w:val="auto"/>
                <w:szCs w:val="21"/>
                <w:lang w:val="en-US" w:eastAsia="zh-CN"/>
              </w:rPr>
              <w:t>3、业绩</w:t>
            </w:r>
          </w:p>
        </w:tc>
        <w:tc>
          <w:tcPr>
            <w:tcW w:w="7999" w:type="dxa"/>
            <w:noWrap w:val="0"/>
            <w:vAlign w:val="center"/>
          </w:tcPr>
          <w:p w14:paraId="357D4D69">
            <w:pPr>
              <w:spacing w:line="360" w:lineRule="auto"/>
              <w:ind w:firstLine="420" w:firstLineChars="200"/>
              <w:jc w:val="left"/>
              <w:rPr>
                <w:rFonts w:hint="eastAsia" w:eastAsia="宋体"/>
                <w:b/>
                <w:bCs/>
                <w:color w:val="auto"/>
                <w:highlight w:val="none"/>
                <w:lang w:eastAsia="zh-CN"/>
              </w:rPr>
            </w:pPr>
            <w:r>
              <w:rPr>
                <w:rFonts w:hint="eastAsia"/>
                <w:b/>
                <w:bCs/>
                <w:color w:val="auto"/>
                <w:highlight w:val="none"/>
              </w:rPr>
              <w:t>业绩评价</w:t>
            </w:r>
            <w:r>
              <w:rPr>
                <w:rFonts w:hint="eastAsia"/>
                <w:b/>
                <w:bCs/>
                <w:color w:val="auto"/>
                <w:highlight w:val="none"/>
                <w:lang w:eastAsia="zh-CN"/>
              </w:rPr>
              <w:t>：</w:t>
            </w:r>
          </w:p>
          <w:p w14:paraId="55BF2CB5">
            <w:pPr>
              <w:spacing w:line="360" w:lineRule="auto"/>
              <w:ind w:firstLine="420" w:firstLineChars="200"/>
              <w:jc w:val="left"/>
              <w:rPr>
                <w:color w:val="auto"/>
                <w:highlight w:val="none"/>
              </w:rPr>
            </w:pPr>
            <w:r>
              <w:rPr>
                <w:rFonts w:hint="eastAsia"/>
                <w:color w:val="auto"/>
                <w:highlight w:val="none"/>
              </w:rPr>
              <w:t>招标采购代理机构</w:t>
            </w:r>
            <w:r>
              <w:rPr>
                <w:rFonts w:hint="eastAsia"/>
                <w:color w:val="auto"/>
                <w:highlight w:val="none"/>
                <w:lang w:val="en-US" w:eastAsia="zh-CN"/>
              </w:rPr>
              <w:t>提供（</w:t>
            </w:r>
            <w:r>
              <w:rPr>
                <w:rFonts w:hint="eastAsia"/>
                <w:color w:val="auto"/>
                <w:highlight w:val="none"/>
              </w:rPr>
              <w:t>202</w:t>
            </w:r>
            <w:r>
              <w:rPr>
                <w:rFonts w:hint="eastAsia"/>
                <w:color w:val="auto"/>
                <w:highlight w:val="none"/>
                <w:lang w:val="en-US" w:eastAsia="zh-CN"/>
              </w:rPr>
              <w:t>4</w:t>
            </w:r>
            <w:r>
              <w:rPr>
                <w:rFonts w:hint="eastAsia"/>
                <w:color w:val="auto"/>
                <w:highlight w:val="none"/>
              </w:rPr>
              <w:t>年1月至比选截止日期</w:t>
            </w:r>
            <w:r>
              <w:rPr>
                <w:rFonts w:hint="eastAsia"/>
                <w:color w:val="auto"/>
                <w:highlight w:val="none"/>
                <w:lang w:eastAsia="zh-CN"/>
              </w:rPr>
              <w:t>）</w:t>
            </w:r>
            <w:r>
              <w:rPr>
                <w:rFonts w:hint="eastAsia"/>
                <w:color w:val="auto"/>
                <w:highlight w:val="none"/>
              </w:rPr>
              <w:t>代理的项目业绩：</w:t>
            </w:r>
          </w:p>
          <w:p w14:paraId="659D9D1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（1）医疗设备采购类</w:t>
            </w:r>
            <w:r>
              <w:rPr>
                <w:rFonts w:hint="eastAsia" w:ascii="宋体" w:hAnsi="宋体" w:cs="宋体"/>
                <w:color w:val="auto"/>
                <w:szCs w:val="21"/>
                <w:highlight w:val="none"/>
                <w:lang w:val="en-US" w:eastAsia="zh-CN"/>
              </w:rPr>
              <w:t>或医院服务类项目</w:t>
            </w:r>
            <w:r>
              <w:rPr>
                <w:rFonts w:hint="eastAsia" w:ascii="宋体" w:hAnsi="宋体" w:cs="宋体"/>
                <w:color w:val="auto"/>
                <w:szCs w:val="21"/>
                <w:highlight w:val="none"/>
              </w:rPr>
              <w:t>每提供一个得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，该项最高得</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p w14:paraId="79D1872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（2）耗材/试剂采购类每提供一个得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，该项最高得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59DA0D7A">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类每提供一个得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，该项最高得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194CDB7F">
            <w:pPr>
              <w:spacing w:line="360" w:lineRule="auto"/>
              <w:ind w:firstLine="420" w:firstLineChars="200"/>
              <w:jc w:val="left"/>
              <w:rPr>
                <w:rFonts w:hint="eastAsia" w:ascii="宋体" w:hAnsi="宋体" w:cs="宋体"/>
                <w:color w:val="auto"/>
                <w:szCs w:val="21"/>
                <w:highlight w:val="none"/>
              </w:rPr>
            </w:pPr>
            <w:r>
              <w:rPr>
                <w:rFonts w:hint="eastAsia"/>
                <w:color w:val="auto"/>
                <w:highlight w:val="none"/>
              </w:rPr>
              <w:t>提供贵州省招标投标公共服务平台</w:t>
            </w:r>
            <w:r>
              <w:rPr>
                <w:rFonts w:hint="eastAsia"/>
                <w:color w:val="auto"/>
                <w:highlight w:val="none"/>
                <w:lang w:val="en-US" w:eastAsia="zh-CN"/>
              </w:rPr>
              <w:t>或贵州省政府采购网</w:t>
            </w:r>
            <w:r>
              <w:rPr>
                <w:rFonts w:hint="eastAsia"/>
                <w:color w:val="auto"/>
                <w:highlight w:val="none"/>
              </w:rPr>
              <w:t>的</w:t>
            </w:r>
            <w:r>
              <w:rPr>
                <w:rFonts w:hint="eastAsia"/>
                <w:color w:val="auto"/>
                <w:highlight w:val="none"/>
                <w:lang w:val="en-US" w:eastAsia="zh-CN"/>
              </w:rPr>
              <w:t>发布的招标公告、</w:t>
            </w:r>
            <w:r>
              <w:rPr>
                <w:rFonts w:hint="eastAsia"/>
                <w:color w:val="auto"/>
                <w:highlight w:val="none"/>
              </w:rPr>
              <w:t>中标公告（中标结果公示）截图</w:t>
            </w:r>
            <w:r>
              <w:rPr>
                <w:rFonts w:hint="eastAsia"/>
                <w:color w:val="auto"/>
                <w:highlight w:val="none"/>
                <w:lang w:val="en-US" w:eastAsia="zh-CN"/>
              </w:rPr>
              <w:t>及</w:t>
            </w:r>
            <w:r>
              <w:rPr>
                <w:rFonts w:hint="eastAsia"/>
                <w:color w:val="auto"/>
                <w:highlight w:val="none"/>
              </w:rPr>
              <w:t>委托代理合同（协议）作为证明材料，未提供不得分。</w:t>
            </w:r>
            <w:r>
              <w:rPr>
                <w:color w:val="auto"/>
                <w:highlight w:val="none"/>
              </w:rPr>
              <w:t xml:space="preserve"> </w:t>
            </w:r>
          </w:p>
        </w:tc>
        <w:tc>
          <w:tcPr>
            <w:tcW w:w="710" w:type="dxa"/>
            <w:noWrap w:val="0"/>
            <w:vAlign w:val="center"/>
          </w:tcPr>
          <w:p w14:paraId="74025954">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20分</w:t>
            </w:r>
          </w:p>
        </w:tc>
      </w:tr>
      <w:tr w14:paraId="47A6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noWrap w:val="0"/>
            <w:vAlign w:val="center"/>
          </w:tcPr>
          <w:p w14:paraId="642F552F">
            <w:pPr>
              <w:spacing w:line="360" w:lineRule="auto"/>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4、办公场所</w:t>
            </w:r>
          </w:p>
        </w:tc>
        <w:tc>
          <w:tcPr>
            <w:tcW w:w="7999" w:type="dxa"/>
            <w:noWrap w:val="0"/>
            <w:vAlign w:val="center"/>
          </w:tcPr>
          <w:p w14:paraId="75767E55">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招标</w:t>
            </w:r>
            <w:r>
              <w:rPr>
                <w:rFonts w:hint="eastAsia" w:ascii="宋体" w:hAnsi="宋体" w:cs="宋体"/>
                <w:b/>
                <w:bCs/>
                <w:color w:val="auto"/>
                <w:szCs w:val="21"/>
                <w:highlight w:val="none"/>
                <w:lang w:val="en-US" w:eastAsia="zh-CN"/>
              </w:rPr>
              <w:t>采购</w:t>
            </w:r>
            <w:r>
              <w:rPr>
                <w:rFonts w:hint="eastAsia" w:ascii="宋体" w:hAnsi="宋体" w:cs="宋体"/>
                <w:b/>
                <w:bCs/>
                <w:color w:val="auto"/>
                <w:szCs w:val="21"/>
                <w:highlight w:val="none"/>
              </w:rPr>
              <w:t>代理机构在</w:t>
            </w:r>
            <w:r>
              <w:rPr>
                <w:rFonts w:hint="eastAsia" w:ascii="宋体" w:hAnsi="宋体" w:cs="宋体"/>
                <w:b/>
                <w:bCs/>
                <w:color w:val="auto"/>
                <w:szCs w:val="21"/>
                <w:highlight w:val="none"/>
                <w:lang w:val="en-US" w:eastAsia="zh-CN"/>
              </w:rPr>
              <w:t>省内</w:t>
            </w:r>
            <w:r>
              <w:rPr>
                <w:rFonts w:hint="eastAsia" w:ascii="宋体" w:hAnsi="宋体" w:cs="宋体"/>
                <w:b/>
                <w:bCs/>
                <w:color w:val="auto"/>
                <w:szCs w:val="21"/>
                <w:highlight w:val="none"/>
              </w:rPr>
              <w:t>有固定办公场所</w:t>
            </w:r>
          </w:p>
          <w:p w14:paraId="61F387B8">
            <w:pPr>
              <w:pStyle w:val="2"/>
              <w:keepNext w:val="0"/>
              <w:keepLines w:val="0"/>
              <w:pageBreakBefore w:val="0"/>
              <w:widowControl w:val="0"/>
              <w:numPr>
                <w:ilvl w:val="0"/>
                <w:numId w:val="2"/>
              </w:numPr>
              <w:kinsoku/>
              <w:wordWrap/>
              <w:overflowPunct/>
              <w:autoSpaceDE/>
              <w:autoSpaceDN/>
              <w:bidi w:val="0"/>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办公场所面积600m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lang w:val="en-US" w:eastAsia="zh-CN"/>
              </w:rPr>
              <w:t>及以上，得5分；</w:t>
            </w:r>
          </w:p>
          <w:p w14:paraId="46558EC3">
            <w:pPr>
              <w:pStyle w:val="2"/>
              <w:keepNext w:val="0"/>
              <w:keepLines w:val="0"/>
              <w:pageBreakBefore w:val="0"/>
              <w:widowControl w:val="0"/>
              <w:numPr>
                <w:ilvl w:val="0"/>
                <w:numId w:val="2"/>
              </w:numPr>
              <w:kinsoku/>
              <w:wordWrap/>
              <w:overflowPunct/>
              <w:autoSpaceDE/>
              <w:autoSpaceDN/>
              <w:bidi w:val="0"/>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办公场所面积500m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lang w:val="en-US" w:eastAsia="zh-CN"/>
              </w:rPr>
              <w:t>～600m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lang w:val="en-US" w:eastAsia="zh-CN"/>
              </w:rPr>
              <w:t>（不含），得4分；</w:t>
            </w:r>
          </w:p>
          <w:p w14:paraId="1E49FAB9">
            <w:pPr>
              <w:pStyle w:val="2"/>
              <w:keepNext w:val="0"/>
              <w:keepLines w:val="0"/>
              <w:pageBreakBefore w:val="0"/>
              <w:widowControl w:val="0"/>
              <w:numPr>
                <w:ilvl w:val="0"/>
                <w:numId w:val="2"/>
              </w:numPr>
              <w:kinsoku/>
              <w:wordWrap/>
              <w:overflowPunct/>
              <w:autoSpaceDE/>
              <w:autoSpaceDN/>
              <w:bidi w:val="0"/>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办公场所面积300m</w:t>
            </w:r>
            <w:r>
              <w:rPr>
                <w:rFonts w:hint="eastAsia" w:ascii="宋体" w:hAnsi="宋体" w:eastAsia="宋体" w:cs="宋体"/>
                <w:color w:val="auto"/>
                <w:sz w:val="21"/>
                <w:szCs w:val="21"/>
                <w:highlight w:val="none"/>
                <w:vertAlign w:val="superscript"/>
                <w:lang w:val="en-US" w:eastAsia="zh-CN"/>
              </w:rPr>
              <w:t xml:space="preserve">2 </w:t>
            </w:r>
            <w:r>
              <w:rPr>
                <w:rFonts w:hint="eastAsia" w:ascii="宋体" w:hAnsi="宋体" w:eastAsia="宋体" w:cs="宋体"/>
                <w:color w:val="auto"/>
                <w:sz w:val="21"/>
                <w:szCs w:val="21"/>
                <w:highlight w:val="none"/>
                <w:lang w:val="en-US" w:eastAsia="zh-CN"/>
              </w:rPr>
              <w:t>～500m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lang w:val="en-US" w:eastAsia="zh-CN"/>
              </w:rPr>
              <w:t>（不含），得3分；</w:t>
            </w:r>
          </w:p>
          <w:p w14:paraId="0B45DB30">
            <w:pPr>
              <w:pStyle w:val="2"/>
              <w:keepNext w:val="0"/>
              <w:keepLines w:val="0"/>
              <w:pageBreakBefore w:val="0"/>
              <w:widowControl w:val="0"/>
              <w:numPr>
                <w:ilvl w:val="0"/>
                <w:numId w:val="2"/>
              </w:numPr>
              <w:kinsoku/>
              <w:wordWrap/>
              <w:overflowPunct/>
              <w:autoSpaceDE/>
              <w:autoSpaceDN/>
              <w:bidi w:val="0"/>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300m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lang w:val="en-US" w:eastAsia="zh-CN"/>
              </w:rPr>
              <w:t>（不含）以下，得2分；</w:t>
            </w:r>
          </w:p>
          <w:p w14:paraId="413F926B">
            <w:pPr>
              <w:pStyle w:val="2"/>
              <w:keepNext w:val="0"/>
              <w:keepLines w:val="0"/>
              <w:pageBreakBefore w:val="0"/>
              <w:widowControl w:val="0"/>
              <w:numPr>
                <w:ilvl w:val="0"/>
                <w:numId w:val="2"/>
              </w:numPr>
              <w:kinsoku/>
              <w:wordWrap/>
              <w:overflowPunct/>
              <w:autoSpaceDE/>
              <w:autoSpaceDN/>
              <w:bidi w:val="0"/>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贵州省内无办公室场所或未提供证明材料，得0分。</w:t>
            </w:r>
          </w:p>
          <w:p w14:paraId="669CD397">
            <w:pPr>
              <w:spacing w:line="360"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提供办公场所的证明文件</w:t>
            </w:r>
            <w:r>
              <w:rPr>
                <w:rFonts w:hint="eastAsia" w:ascii="宋体" w:hAnsi="宋体" w:cs="宋体"/>
                <w:b w:val="0"/>
                <w:bCs w:val="0"/>
                <w:color w:val="auto"/>
                <w:szCs w:val="21"/>
                <w:highlight w:val="none"/>
              </w:rPr>
              <w:t>，办公场所须配置独立的开标</w:t>
            </w:r>
            <w:r>
              <w:rPr>
                <w:rFonts w:hint="eastAsia" w:ascii="宋体" w:hAnsi="宋体" w:cs="宋体"/>
                <w:b w:val="0"/>
                <w:bCs w:val="0"/>
                <w:color w:val="auto"/>
                <w:szCs w:val="21"/>
                <w:highlight w:val="none"/>
                <w:lang w:val="en-US" w:eastAsia="zh-CN"/>
              </w:rPr>
              <w:t>室</w:t>
            </w:r>
            <w:r>
              <w:rPr>
                <w:rFonts w:hint="eastAsia" w:ascii="宋体" w:hAnsi="宋体" w:cs="宋体"/>
                <w:b w:val="0"/>
                <w:bCs w:val="0"/>
                <w:color w:val="auto"/>
                <w:szCs w:val="21"/>
                <w:highlight w:val="none"/>
              </w:rPr>
              <w:t>、评标</w:t>
            </w:r>
            <w:r>
              <w:rPr>
                <w:rFonts w:hint="eastAsia" w:ascii="宋体" w:hAnsi="宋体" w:cs="宋体"/>
                <w:b w:val="0"/>
                <w:bCs w:val="0"/>
                <w:color w:val="auto"/>
                <w:szCs w:val="21"/>
                <w:highlight w:val="none"/>
                <w:lang w:val="en-US" w:eastAsia="zh-CN"/>
              </w:rPr>
              <w:t>室</w:t>
            </w:r>
            <w:r>
              <w:rPr>
                <w:rFonts w:hint="eastAsia" w:ascii="宋体" w:hAnsi="宋体" w:cs="宋体"/>
                <w:b w:val="0"/>
                <w:bCs w:val="0"/>
                <w:color w:val="auto"/>
                <w:szCs w:val="21"/>
                <w:highlight w:val="none"/>
              </w:rPr>
              <w:t>、档案管理室、监控设施</w:t>
            </w:r>
            <w:r>
              <w:rPr>
                <w:rFonts w:hint="eastAsia" w:ascii="宋体" w:hAnsi="宋体" w:cs="宋体"/>
                <w:b w:val="0"/>
                <w:bCs w:val="0"/>
                <w:color w:val="auto"/>
                <w:szCs w:val="21"/>
                <w:highlight w:val="none"/>
                <w:lang w:val="en-US" w:eastAsia="zh-CN"/>
              </w:rPr>
              <w:t>等</w:t>
            </w:r>
            <w:r>
              <w:rPr>
                <w:rFonts w:hint="eastAsia" w:ascii="宋体" w:hAnsi="宋体" w:cs="宋体"/>
                <w:b w:val="0"/>
                <w:bCs w:val="0"/>
                <w:color w:val="auto"/>
                <w:szCs w:val="21"/>
                <w:highlight w:val="none"/>
              </w:rPr>
              <w:t>。</w:t>
            </w:r>
          </w:p>
          <w:p w14:paraId="31685D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代理机构自有物业</w:t>
            </w:r>
            <w:r>
              <w:rPr>
                <w:rFonts w:hint="eastAsia" w:ascii="宋体" w:hAnsi="宋体" w:cs="宋体"/>
                <w:color w:val="auto"/>
                <w:szCs w:val="21"/>
                <w:highlight w:val="none"/>
                <w:lang w:val="en-US" w:eastAsia="zh-CN"/>
              </w:rPr>
              <w:t>须提供</w:t>
            </w:r>
            <w:r>
              <w:rPr>
                <w:rFonts w:hint="eastAsia" w:ascii="宋体" w:hAnsi="宋体" w:cs="宋体"/>
                <w:color w:val="auto"/>
                <w:szCs w:val="21"/>
                <w:highlight w:val="none"/>
              </w:rPr>
              <w:t>产权证；非代理机构自有物业</w:t>
            </w:r>
            <w:r>
              <w:rPr>
                <w:rFonts w:hint="eastAsia" w:ascii="宋体" w:hAnsi="宋体" w:cs="宋体"/>
                <w:color w:val="auto"/>
                <w:szCs w:val="21"/>
                <w:highlight w:val="none"/>
                <w:lang w:val="en-US" w:eastAsia="zh-CN"/>
              </w:rPr>
              <w:t>须</w:t>
            </w:r>
            <w:r>
              <w:rPr>
                <w:rFonts w:hint="eastAsia" w:ascii="宋体" w:hAnsi="宋体" w:cs="宋体"/>
                <w:color w:val="auto"/>
                <w:szCs w:val="21"/>
                <w:highlight w:val="none"/>
              </w:rPr>
              <w:t>提供办公场所租赁合同</w:t>
            </w:r>
            <w:r>
              <w:rPr>
                <w:rFonts w:hint="eastAsia" w:ascii="宋体" w:hAnsi="宋体" w:cs="宋体"/>
                <w:color w:val="auto"/>
                <w:szCs w:val="21"/>
                <w:highlight w:val="none"/>
                <w:lang w:eastAsia="zh-CN"/>
              </w:rPr>
              <w:t>，</w:t>
            </w:r>
            <w:r>
              <w:rPr>
                <w:rFonts w:hint="eastAsia" w:ascii="宋体" w:hAnsi="宋体" w:cs="宋体"/>
                <w:color w:val="auto"/>
                <w:szCs w:val="21"/>
                <w:highlight w:val="none"/>
              </w:rPr>
              <w:t>同时提供场所实景照片等佐证材料，以上材料提供复印件加盖公章。</w:t>
            </w:r>
          </w:p>
          <w:p w14:paraId="7E2EC874">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证明材料缺项视同未提供</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本项不得分</w:t>
            </w:r>
            <w:r>
              <w:rPr>
                <w:rFonts w:hint="eastAsia" w:ascii="宋体" w:hAnsi="宋体" w:cs="宋体"/>
                <w:color w:val="auto"/>
                <w:szCs w:val="21"/>
                <w:highlight w:val="none"/>
              </w:rPr>
              <w:t>。</w:t>
            </w:r>
          </w:p>
        </w:tc>
        <w:tc>
          <w:tcPr>
            <w:tcW w:w="710" w:type="dxa"/>
            <w:noWrap w:val="0"/>
            <w:vAlign w:val="center"/>
          </w:tcPr>
          <w:p w14:paraId="642FC277">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5分</w:t>
            </w:r>
          </w:p>
        </w:tc>
      </w:tr>
      <w:tr w14:paraId="1ABA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1160" w:type="dxa"/>
            <w:noWrap w:val="0"/>
            <w:vAlign w:val="center"/>
          </w:tcPr>
          <w:p w14:paraId="4DC5D898">
            <w:pPr>
              <w:spacing w:line="360" w:lineRule="auto"/>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5、代理机构荣誉</w:t>
            </w:r>
          </w:p>
        </w:tc>
        <w:tc>
          <w:tcPr>
            <w:tcW w:w="7999" w:type="dxa"/>
            <w:noWrap w:val="0"/>
            <w:vAlign w:val="center"/>
          </w:tcPr>
          <w:p w14:paraId="74FFB1D1">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代理机构荣誉</w:t>
            </w:r>
          </w:p>
          <w:p w14:paraId="3FBC09A7">
            <w:pPr>
              <w:spacing w:line="360" w:lineRule="auto"/>
              <w:ind w:firstLine="420" w:firstLineChars="200"/>
              <w:rPr>
                <w:rFonts w:hint="default"/>
                <w:color w:val="auto"/>
                <w:highlight w:val="none"/>
                <w:lang w:val="en-US"/>
              </w:rPr>
            </w:pPr>
            <w:r>
              <w:rPr>
                <w:rFonts w:hint="eastAsia"/>
                <w:color w:val="auto"/>
                <w:highlight w:val="none"/>
                <w:lang w:val="en-US" w:eastAsia="zh-CN"/>
              </w:rPr>
              <w:t>近3年获得</w:t>
            </w:r>
            <w:r>
              <w:rPr>
                <w:rFonts w:hint="default"/>
                <w:color w:val="auto"/>
                <w:highlight w:val="none"/>
                <w:lang w:val="en-US"/>
              </w:rPr>
              <w:t>招</w:t>
            </w:r>
            <w:r>
              <w:rPr>
                <w:rFonts w:hint="eastAsia"/>
                <w:color w:val="auto"/>
                <w:highlight w:val="none"/>
                <w:lang w:val="en-US" w:eastAsia="zh-CN"/>
              </w:rPr>
              <w:t>投</w:t>
            </w:r>
            <w:r>
              <w:rPr>
                <w:rFonts w:hint="default"/>
                <w:color w:val="auto"/>
                <w:highlight w:val="none"/>
                <w:lang w:val="en-US"/>
              </w:rPr>
              <w:t>标行业协会“优秀招标代理机构”</w:t>
            </w:r>
            <w:r>
              <w:rPr>
                <w:rFonts w:hint="eastAsia"/>
                <w:color w:val="auto"/>
                <w:highlight w:val="none"/>
                <w:lang w:val="en-US" w:eastAsia="zh-CN"/>
              </w:rPr>
              <w:t>或</w:t>
            </w:r>
            <w:r>
              <w:rPr>
                <w:rFonts w:hint="default"/>
                <w:color w:val="auto"/>
                <w:highlight w:val="none"/>
                <w:lang w:val="en-US"/>
              </w:rPr>
              <w:t>其他获取权威机构与招标采购有关的“优秀招标（或采购）代理机构</w:t>
            </w:r>
            <w:r>
              <w:rPr>
                <w:rFonts w:hint="eastAsia"/>
                <w:color w:val="auto"/>
                <w:highlight w:val="none"/>
                <w:lang w:val="en-US" w:eastAsia="zh-CN"/>
              </w:rPr>
              <w:t>或百强政府采购代理机构</w:t>
            </w:r>
            <w:r>
              <w:rPr>
                <w:rFonts w:hint="default"/>
                <w:color w:val="auto"/>
                <w:highlight w:val="none"/>
                <w:lang w:val="en-US"/>
              </w:rPr>
              <w:t>”荣誉证书</w:t>
            </w:r>
            <w:r>
              <w:rPr>
                <w:rFonts w:hint="eastAsia"/>
                <w:color w:val="auto"/>
                <w:highlight w:val="none"/>
                <w:lang w:val="en-US" w:eastAsia="zh-CN"/>
              </w:rPr>
              <w:t>或行业协会咨询评级中获得“乙级”或以上的；每提供1份得2.5</w:t>
            </w:r>
            <w:r>
              <w:rPr>
                <w:rFonts w:hint="default"/>
                <w:color w:val="auto"/>
                <w:highlight w:val="none"/>
                <w:lang w:val="en-US"/>
              </w:rPr>
              <w:t>分，最高</w:t>
            </w:r>
            <w:r>
              <w:rPr>
                <w:rFonts w:hint="eastAsia"/>
                <w:color w:val="auto"/>
                <w:highlight w:val="none"/>
                <w:lang w:val="en-US" w:eastAsia="zh-CN"/>
              </w:rPr>
              <w:t>5</w:t>
            </w:r>
            <w:r>
              <w:rPr>
                <w:rFonts w:hint="default"/>
                <w:color w:val="auto"/>
                <w:highlight w:val="none"/>
                <w:lang w:val="en-US"/>
              </w:rPr>
              <w:t>分。</w:t>
            </w:r>
          </w:p>
          <w:p w14:paraId="4C0EE633">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default"/>
                <w:color w:val="auto"/>
                <w:highlight w:val="none"/>
                <w:lang w:val="en-US"/>
              </w:rPr>
            </w:pPr>
            <w:r>
              <w:rPr>
                <w:rFonts w:hint="default"/>
                <w:color w:val="auto"/>
                <w:highlight w:val="none"/>
                <w:lang w:val="en-US"/>
              </w:rPr>
              <w:t>注：</w:t>
            </w:r>
            <w:r>
              <w:rPr>
                <w:rFonts w:hint="eastAsia"/>
                <w:color w:val="auto"/>
                <w:highlight w:val="none"/>
                <w:lang w:val="en-US" w:eastAsia="zh-CN"/>
              </w:rPr>
              <w:t>须</w:t>
            </w:r>
            <w:r>
              <w:rPr>
                <w:rFonts w:hint="default"/>
                <w:color w:val="auto"/>
                <w:highlight w:val="none"/>
                <w:lang w:val="en-US"/>
              </w:rPr>
              <w:t>提供以上证书</w:t>
            </w:r>
            <w:r>
              <w:rPr>
                <w:rFonts w:hint="eastAsia"/>
                <w:color w:val="auto"/>
                <w:highlight w:val="none"/>
                <w:lang w:val="en-US" w:eastAsia="zh-CN"/>
              </w:rPr>
              <w:t>扫描件</w:t>
            </w:r>
            <w:r>
              <w:rPr>
                <w:rFonts w:hint="default"/>
                <w:color w:val="auto"/>
                <w:highlight w:val="none"/>
                <w:lang w:val="en-US"/>
              </w:rPr>
              <w:t>（有效并清晰可见，加盖公章）。</w:t>
            </w:r>
          </w:p>
        </w:tc>
        <w:tc>
          <w:tcPr>
            <w:tcW w:w="710" w:type="dxa"/>
            <w:noWrap w:val="0"/>
            <w:vAlign w:val="center"/>
          </w:tcPr>
          <w:p w14:paraId="1E7873B1">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5分</w:t>
            </w:r>
          </w:p>
        </w:tc>
      </w:tr>
      <w:tr w14:paraId="300A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noWrap w:val="0"/>
            <w:vAlign w:val="center"/>
          </w:tcPr>
          <w:p w14:paraId="6C4D13CD">
            <w:pPr>
              <w:spacing w:line="360" w:lineRule="auto"/>
              <w:jc w:val="center"/>
              <w:rPr>
                <w:rFonts w:hint="default" w:ascii="宋体" w:hAnsi="宋体" w:cs="宋体"/>
                <w:b/>
                <w:bCs/>
                <w:color w:val="auto"/>
                <w:szCs w:val="21"/>
                <w:lang w:val="en-US" w:eastAsia="zh-CN"/>
              </w:rPr>
            </w:pPr>
            <w:r>
              <w:rPr>
                <w:rFonts w:hint="eastAsia" w:ascii="宋体" w:hAnsi="宋体" w:cs="宋体"/>
                <w:b/>
                <w:bCs/>
                <w:color w:val="auto"/>
                <w:szCs w:val="21"/>
                <w:lang w:val="en-US" w:eastAsia="zh-CN"/>
              </w:rPr>
              <w:t>6、企业管理体系</w:t>
            </w:r>
          </w:p>
        </w:tc>
        <w:tc>
          <w:tcPr>
            <w:tcW w:w="7999" w:type="dxa"/>
            <w:noWrap w:val="0"/>
            <w:vAlign w:val="center"/>
          </w:tcPr>
          <w:p w14:paraId="657DA258">
            <w:pPr>
              <w:spacing w:line="360" w:lineRule="auto"/>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企业管理体系评价</w:t>
            </w:r>
          </w:p>
          <w:p w14:paraId="2B2378D6">
            <w:pPr>
              <w:spacing w:line="360" w:lineRule="auto"/>
              <w:ind w:firstLine="420" w:firstLineChars="200"/>
              <w:rPr>
                <w:rFonts w:hint="eastAsia" w:ascii="宋体" w:hAnsi="宋体" w:eastAsia="宋体" w:cs="宋体"/>
                <w:b w:val="0"/>
                <w:bCs w:val="0"/>
                <w:color w:val="auto"/>
                <w:szCs w:val="21"/>
              </w:rPr>
            </w:pPr>
            <w:r>
              <w:rPr>
                <w:rFonts w:hint="eastAsia" w:ascii="宋体" w:hAnsi="宋体" w:eastAsia="宋体" w:cs="宋体"/>
                <w:b w:val="0"/>
                <w:bCs w:val="0"/>
                <w:color w:val="auto"/>
                <w:szCs w:val="21"/>
              </w:rPr>
              <w:t>获得质量管理体系认证证书、环境管理体系认证证书、职业健康安全管理体系认证证书（</w:t>
            </w:r>
            <w:r>
              <w:rPr>
                <w:rFonts w:hint="eastAsia" w:ascii="宋体" w:hAnsi="宋体" w:cs="宋体"/>
                <w:b w:val="0"/>
                <w:bCs w:val="0"/>
                <w:color w:val="auto"/>
                <w:szCs w:val="21"/>
                <w:lang w:val="en-US" w:eastAsia="zh-CN"/>
              </w:rPr>
              <w:t>均与</w:t>
            </w:r>
            <w:r>
              <w:rPr>
                <w:rFonts w:hint="eastAsia" w:ascii="宋体" w:hAnsi="宋体" w:eastAsia="宋体" w:cs="宋体"/>
                <w:b w:val="0"/>
                <w:bCs w:val="0"/>
                <w:color w:val="auto"/>
                <w:szCs w:val="21"/>
              </w:rPr>
              <w:t>招标采购相关），全部提供得</w:t>
            </w:r>
            <w:r>
              <w:rPr>
                <w:rFonts w:hint="eastAsia" w:ascii="宋体" w:hAnsi="宋体" w:cs="宋体"/>
                <w:b w:val="0"/>
                <w:bCs w:val="0"/>
                <w:color w:val="auto"/>
                <w:szCs w:val="21"/>
                <w:lang w:val="en-US" w:eastAsia="zh-CN"/>
              </w:rPr>
              <w:t>5</w:t>
            </w:r>
            <w:r>
              <w:rPr>
                <w:rFonts w:hint="eastAsia" w:ascii="宋体" w:hAnsi="宋体" w:eastAsia="宋体" w:cs="宋体"/>
                <w:b w:val="0"/>
                <w:bCs w:val="0"/>
                <w:color w:val="auto"/>
                <w:szCs w:val="21"/>
              </w:rPr>
              <w:t>分，</w:t>
            </w:r>
            <w:r>
              <w:rPr>
                <w:rFonts w:hint="eastAsia" w:ascii="宋体" w:hAnsi="宋体" w:cs="宋体"/>
                <w:b w:val="0"/>
                <w:bCs w:val="0"/>
                <w:color w:val="auto"/>
                <w:szCs w:val="21"/>
                <w:lang w:val="en-US" w:eastAsia="zh-CN"/>
              </w:rPr>
              <w:t>不齐（</w:t>
            </w:r>
            <w:r>
              <w:rPr>
                <w:rFonts w:hint="eastAsia" w:ascii="宋体" w:hAnsi="宋体" w:eastAsia="宋体" w:cs="宋体"/>
                <w:b w:val="0"/>
                <w:bCs w:val="0"/>
                <w:color w:val="auto"/>
                <w:szCs w:val="21"/>
              </w:rPr>
              <w:t>缺项</w:t>
            </w:r>
            <w:r>
              <w:rPr>
                <w:rFonts w:hint="eastAsia" w:ascii="宋体" w:hAnsi="宋体" w:cs="宋体"/>
                <w:b w:val="0"/>
                <w:bCs w:val="0"/>
                <w:color w:val="auto"/>
                <w:szCs w:val="21"/>
                <w:lang w:val="en-US" w:eastAsia="zh-CN"/>
              </w:rPr>
              <w:t>）每提供1份得1分</w:t>
            </w:r>
            <w:r>
              <w:rPr>
                <w:rFonts w:hint="eastAsia" w:ascii="宋体" w:hAnsi="宋体" w:eastAsia="宋体" w:cs="宋体"/>
                <w:b w:val="0"/>
                <w:bCs w:val="0"/>
                <w:color w:val="auto"/>
                <w:szCs w:val="21"/>
              </w:rPr>
              <w:t>。</w:t>
            </w:r>
          </w:p>
          <w:p w14:paraId="6733EF8B">
            <w:pPr>
              <w:spacing w:line="360" w:lineRule="auto"/>
              <w:ind w:firstLine="420" w:firstLineChars="200"/>
              <w:rPr>
                <w:rFonts w:hint="eastAsia" w:ascii="宋体" w:hAnsi="宋体" w:eastAsia="宋体" w:cs="宋体"/>
                <w:b w:val="0"/>
                <w:bCs w:val="0"/>
                <w:color w:val="auto"/>
                <w:szCs w:val="21"/>
              </w:rPr>
            </w:pPr>
            <w:r>
              <w:rPr>
                <w:rFonts w:hint="eastAsia" w:ascii="宋体" w:hAnsi="宋体" w:eastAsia="宋体" w:cs="宋体"/>
                <w:b w:val="0"/>
                <w:bCs w:val="0"/>
                <w:color w:val="auto"/>
                <w:szCs w:val="21"/>
              </w:rPr>
              <w:t>注：提供以上</w:t>
            </w:r>
            <w:r>
              <w:rPr>
                <w:rFonts w:hint="eastAsia" w:ascii="宋体" w:hAnsi="宋体" w:cs="宋体"/>
                <w:b w:val="0"/>
                <w:bCs w:val="0"/>
                <w:color w:val="auto"/>
                <w:szCs w:val="21"/>
                <w:lang w:val="en-US" w:eastAsia="zh-CN"/>
              </w:rPr>
              <w:t>有效</w:t>
            </w:r>
            <w:r>
              <w:rPr>
                <w:rFonts w:hint="eastAsia" w:ascii="宋体" w:hAnsi="宋体" w:eastAsia="宋体" w:cs="宋体"/>
                <w:b w:val="0"/>
                <w:bCs w:val="0"/>
                <w:color w:val="auto"/>
                <w:szCs w:val="21"/>
              </w:rPr>
              <w:t>证书</w:t>
            </w:r>
            <w:r>
              <w:rPr>
                <w:rFonts w:hint="eastAsia" w:ascii="宋体" w:hAnsi="宋体" w:cs="宋体"/>
                <w:b w:val="0"/>
                <w:bCs w:val="0"/>
                <w:color w:val="auto"/>
                <w:szCs w:val="21"/>
                <w:lang w:val="en-US" w:eastAsia="zh-CN"/>
              </w:rPr>
              <w:t>扫描件</w:t>
            </w:r>
            <w:r>
              <w:rPr>
                <w:rFonts w:hint="eastAsia" w:ascii="宋体" w:hAnsi="宋体" w:eastAsia="宋体" w:cs="宋体"/>
                <w:b w:val="0"/>
                <w:bCs w:val="0"/>
                <w:color w:val="auto"/>
                <w:szCs w:val="21"/>
              </w:rPr>
              <w:t>作为证明材料（有效并清晰可见，加盖公章）。</w:t>
            </w:r>
          </w:p>
        </w:tc>
        <w:tc>
          <w:tcPr>
            <w:tcW w:w="710" w:type="dxa"/>
            <w:noWrap w:val="0"/>
            <w:vAlign w:val="center"/>
          </w:tcPr>
          <w:p w14:paraId="42AE41E2">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5分</w:t>
            </w:r>
          </w:p>
        </w:tc>
      </w:tr>
      <w:tr w14:paraId="1E4C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6" w:hRule="atLeast"/>
        </w:trPr>
        <w:tc>
          <w:tcPr>
            <w:tcW w:w="1160" w:type="dxa"/>
            <w:noWrap w:val="0"/>
            <w:vAlign w:val="center"/>
          </w:tcPr>
          <w:p w14:paraId="707BC1E2">
            <w:pPr>
              <w:spacing w:line="360" w:lineRule="auto"/>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7、工作方案</w:t>
            </w:r>
          </w:p>
        </w:tc>
        <w:tc>
          <w:tcPr>
            <w:tcW w:w="7999" w:type="dxa"/>
            <w:noWrap w:val="0"/>
            <w:vAlign w:val="center"/>
          </w:tcPr>
          <w:p w14:paraId="0BE4D37E">
            <w:pPr>
              <w:spacing w:line="360"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rPr>
              <w:t>招标采购代理工作方案</w:t>
            </w:r>
          </w:p>
          <w:p w14:paraId="5871BF95">
            <w:pPr>
              <w:spacing w:line="360" w:lineRule="auto"/>
              <w:ind w:firstLine="420" w:firstLineChars="200"/>
              <w:rPr>
                <w:rFonts w:hint="eastAsia" w:ascii="宋体" w:hAnsi="宋体" w:eastAsia="宋体" w:cs="宋体"/>
                <w:b w:val="0"/>
                <w:bCs w:val="0"/>
                <w:color w:val="auto"/>
                <w:szCs w:val="21"/>
              </w:rPr>
            </w:pPr>
            <w:r>
              <w:rPr>
                <w:rFonts w:hint="eastAsia" w:ascii="宋体" w:hAnsi="宋体" w:eastAsia="宋体" w:cs="宋体"/>
                <w:b w:val="0"/>
                <w:bCs w:val="0"/>
                <w:color w:val="auto"/>
                <w:szCs w:val="21"/>
              </w:rPr>
              <w:t>招标采购代理工作</w:t>
            </w:r>
            <w:r>
              <w:rPr>
                <w:rFonts w:hint="eastAsia" w:ascii="宋体" w:hAnsi="宋体" w:eastAsia="宋体" w:cs="宋体"/>
                <w:b w:val="0"/>
                <w:bCs w:val="0"/>
                <w:color w:val="auto"/>
                <w:szCs w:val="21"/>
                <w:lang w:val="en-US" w:eastAsia="zh-CN"/>
              </w:rPr>
              <w:t>方案包括但不限于</w:t>
            </w:r>
            <w:r>
              <w:rPr>
                <w:rFonts w:hint="eastAsia" w:ascii="宋体" w:hAnsi="宋体" w:eastAsia="宋体" w:cs="宋体"/>
                <w:b w:val="0"/>
                <w:bCs w:val="0"/>
                <w:color w:val="auto"/>
                <w:szCs w:val="21"/>
              </w:rPr>
              <w:t>招标采购代理①内部监督管理制度</w:t>
            </w:r>
            <w:r>
              <w:rPr>
                <w:rFonts w:hint="eastAsia" w:ascii="宋体" w:hAnsi="宋体" w:eastAsia="宋体" w:cs="宋体"/>
                <w:b w:val="0"/>
                <w:bCs w:val="0"/>
                <w:color w:val="auto"/>
                <w:szCs w:val="21"/>
                <w:lang w:eastAsia="zh-CN"/>
              </w:rPr>
              <w:t>、②代理服务措施和服务承诺、③进度实施计划、④</w:t>
            </w:r>
            <w:r>
              <w:rPr>
                <w:rFonts w:hint="eastAsia" w:ascii="宋体" w:hAnsi="宋体" w:cs="宋体"/>
                <w:b w:val="0"/>
                <w:bCs w:val="0"/>
                <w:color w:val="auto"/>
                <w:szCs w:val="21"/>
                <w:lang w:val="en-US" w:eastAsia="zh-CN"/>
              </w:rPr>
              <w:t>质疑投诉处理办法、</w:t>
            </w:r>
            <w:r>
              <w:rPr>
                <w:rFonts w:hint="eastAsia" w:ascii="宋体" w:hAnsi="宋体" w:eastAsia="宋体" w:cs="宋体"/>
                <w:b w:val="0"/>
                <w:bCs w:val="0"/>
                <w:color w:val="auto"/>
                <w:szCs w:val="21"/>
                <w:lang w:val="en-US" w:eastAsia="zh-CN"/>
              </w:rPr>
              <w:t>⑤采购</w:t>
            </w:r>
            <w:r>
              <w:rPr>
                <w:rFonts w:hint="eastAsia" w:ascii="宋体" w:hAnsi="宋体" w:eastAsia="宋体" w:cs="宋体"/>
                <w:b w:val="0"/>
                <w:bCs w:val="0"/>
                <w:color w:val="auto"/>
                <w:szCs w:val="21"/>
                <w:lang w:eastAsia="zh-CN"/>
              </w:rPr>
              <w:t>代理的质量保证、⑥保密等措施。</w:t>
            </w:r>
            <w:r>
              <w:rPr>
                <w:rFonts w:hint="eastAsia" w:ascii="宋体" w:hAnsi="宋体" w:eastAsia="宋体" w:cs="宋体"/>
                <w:b w:val="0"/>
                <w:bCs w:val="0"/>
                <w:color w:val="auto"/>
                <w:szCs w:val="21"/>
              </w:rPr>
              <w:t>根据采购代理</w:t>
            </w:r>
            <w:r>
              <w:rPr>
                <w:rFonts w:hint="eastAsia" w:ascii="宋体" w:hAnsi="宋体" w:eastAsia="宋体" w:cs="宋体"/>
                <w:b w:val="0"/>
                <w:bCs w:val="0"/>
                <w:color w:val="auto"/>
                <w:szCs w:val="21"/>
                <w:lang w:val="en-US" w:eastAsia="zh-CN"/>
              </w:rPr>
              <w:t>机构所提供的</w:t>
            </w:r>
            <w:r>
              <w:rPr>
                <w:rFonts w:hint="eastAsia" w:ascii="宋体" w:hAnsi="宋体" w:eastAsia="宋体" w:cs="宋体"/>
                <w:b w:val="0"/>
                <w:bCs w:val="0"/>
                <w:color w:val="auto"/>
                <w:szCs w:val="21"/>
              </w:rPr>
              <w:t>工作方案内容</w:t>
            </w:r>
            <w:r>
              <w:rPr>
                <w:rFonts w:hint="eastAsia" w:ascii="宋体" w:hAnsi="宋体" w:eastAsia="宋体" w:cs="宋体"/>
                <w:b w:val="0"/>
                <w:bCs w:val="0"/>
                <w:color w:val="auto"/>
                <w:szCs w:val="21"/>
                <w:lang w:val="en-US" w:eastAsia="zh-CN"/>
              </w:rPr>
              <w:t>综合</w:t>
            </w:r>
            <w:r>
              <w:rPr>
                <w:rFonts w:hint="eastAsia" w:ascii="宋体" w:hAnsi="宋体" w:eastAsia="宋体" w:cs="宋体"/>
                <w:b w:val="0"/>
                <w:bCs w:val="0"/>
                <w:color w:val="auto"/>
                <w:szCs w:val="21"/>
              </w:rPr>
              <w:t>评分，</w:t>
            </w:r>
          </w:p>
          <w:p w14:paraId="77F28E45">
            <w:pPr>
              <w:numPr>
                <w:ilvl w:val="0"/>
                <w:numId w:val="3"/>
              </w:numPr>
              <w:spacing w:line="360" w:lineRule="auto"/>
              <w:ind w:firstLine="420" w:firstLineChars="200"/>
              <w:rPr>
                <w:rFonts w:hint="eastAsia" w:ascii="宋体" w:hAnsi="宋体" w:cs="宋体"/>
                <w:b w:val="0"/>
                <w:bCs w:val="0"/>
                <w:color w:val="auto"/>
                <w:szCs w:val="21"/>
                <w:lang w:eastAsia="zh-CN"/>
              </w:rPr>
            </w:pPr>
            <w:r>
              <w:rPr>
                <w:rFonts w:hint="eastAsia" w:ascii="宋体" w:hAnsi="宋体" w:eastAsia="宋体" w:cs="宋体"/>
                <w:b w:val="0"/>
                <w:bCs w:val="0"/>
                <w:color w:val="auto"/>
                <w:szCs w:val="21"/>
                <w:lang w:val="en-US" w:eastAsia="zh-CN"/>
              </w:rPr>
              <w:t>方案描述准确、详细</w:t>
            </w:r>
            <w:r>
              <w:rPr>
                <w:rFonts w:hint="eastAsia" w:ascii="宋体" w:hAnsi="宋体" w:cs="宋体"/>
                <w:b w:val="0"/>
                <w:bCs w:val="0"/>
                <w:color w:val="auto"/>
                <w:szCs w:val="21"/>
                <w:lang w:val="en-US" w:eastAsia="zh-CN"/>
              </w:rPr>
              <w:t>的、完全满足或优于以上要求的得25</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30</w:t>
            </w:r>
            <w:r>
              <w:rPr>
                <w:rFonts w:hint="eastAsia" w:ascii="宋体" w:hAnsi="宋体" w:eastAsia="宋体" w:cs="宋体"/>
                <w:b w:val="0"/>
                <w:bCs w:val="0"/>
                <w:color w:val="auto"/>
                <w:szCs w:val="21"/>
              </w:rPr>
              <w:t>分</w:t>
            </w:r>
            <w:r>
              <w:rPr>
                <w:rFonts w:hint="eastAsia" w:ascii="宋体" w:hAnsi="宋体" w:cs="宋体"/>
                <w:b w:val="0"/>
                <w:bCs w:val="0"/>
                <w:color w:val="auto"/>
                <w:szCs w:val="21"/>
                <w:lang w:eastAsia="zh-CN"/>
              </w:rPr>
              <w:t>；</w:t>
            </w:r>
          </w:p>
          <w:p w14:paraId="6324638B">
            <w:pPr>
              <w:numPr>
                <w:ilvl w:val="0"/>
                <w:numId w:val="3"/>
              </w:numPr>
              <w:spacing w:line="360" w:lineRule="auto"/>
              <w:ind w:firstLine="420" w:firstLineChars="200"/>
              <w:rPr>
                <w:rFonts w:hint="eastAsia" w:ascii="宋体" w:hAnsi="宋体" w:eastAsia="宋体" w:cs="宋体"/>
                <w:color w:val="auto"/>
                <w:szCs w:val="21"/>
                <w:lang w:eastAsia="zh-CN"/>
              </w:rPr>
            </w:pPr>
            <w:r>
              <w:rPr>
                <w:rFonts w:hint="eastAsia" w:ascii="宋体" w:hAnsi="宋体" w:cs="宋体"/>
                <w:b w:val="0"/>
                <w:bCs w:val="0"/>
                <w:color w:val="auto"/>
                <w:szCs w:val="21"/>
                <w:lang w:val="en-US" w:eastAsia="zh-CN"/>
              </w:rPr>
              <w:t>方案涵盖以上内容，部分内容不够详细，但能够基本满足代理需求的得10</w:t>
            </w:r>
            <w:r>
              <w:rPr>
                <w:rFonts w:hint="eastAsia" w:ascii="宋体" w:hAnsi="宋体" w:eastAsia="宋体" w:cs="宋体"/>
                <w:b w:val="0"/>
                <w:bCs w:val="0"/>
                <w:color w:val="auto"/>
                <w:szCs w:val="21"/>
                <w:lang w:val="en-US" w:eastAsia="zh-CN"/>
              </w:rPr>
              <w:t>-</w:t>
            </w:r>
            <w:r>
              <w:rPr>
                <w:rFonts w:hint="eastAsia" w:ascii="宋体" w:hAnsi="宋体" w:cs="宋体"/>
                <w:b w:val="0"/>
                <w:bCs w:val="0"/>
                <w:color w:val="auto"/>
                <w:szCs w:val="21"/>
                <w:lang w:val="en-US" w:eastAsia="zh-CN"/>
              </w:rPr>
              <w:t>24</w:t>
            </w:r>
            <w:r>
              <w:rPr>
                <w:rFonts w:hint="eastAsia" w:ascii="宋体" w:hAnsi="宋体" w:eastAsia="宋体" w:cs="宋体"/>
                <w:b w:val="0"/>
                <w:bCs w:val="0"/>
                <w:color w:val="auto"/>
                <w:szCs w:val="21"/>
              </w:rPr>
              <w:t>分</w:t>
            </w:r>
            <w:r>
              <w:rPr>
                <w:rFonts w:hint="eastAsia" w:ascii="宋体" w:hAnsi="宋体" w:cs="宋体"/>
                <w:b w:val="0"/>
                <w:bCs w:val="0"/>
                <w:color w:val="auto"/>
                <w:szCs w:val="21"/>
                <w:lang w:eastAsia="zh-CN"/>
              </w:rPr>
              <w:t>；</w:t>
            </w:r>
          </w:p>
          <w:p w14:paraId="0BDE9E5D">
            <w:pPr>
              <w:numPr>
                <w:ilvl w:val="0"/>
                <w:numId w:val="3"/>
              </w:numPr>
              <w:spacing w:line="360" w:lineRule="auto"/>
              <w:ind w:firstLine="420" w:firstLineChars="200"/>
              <w:rPr>
                <w:rFonts w:hint="eastAsia" w:ascii="宋体" w:hAnsi="宋体" w:eastAsia="宋体" w:cs="宋体"/>
                <w:color w:val="auto"/>
                <w:szCs w:val="21"/>
                <w:lang w:eastAsia="zh-CN"/>
              </w:rPr>
            </w:pPr>
            <w:r>
              <w:rPr>
                <w:rFonts w:hint="eastAsia" w:ascii="宋体" w:hAnsi="宋体" w:cs="宋体"/>
                <w:b w:val="0"/>
                <w:bCs w:val="0"/>
                <w:color w:val="auto"/>
                <w:szCs w:val="21"/>
                <w:lang w:val="en-US" w:eastAsia="zh-CN"/>
              </w:rPr>
              <w:t>方案涵盖以上内容，但内容信息简单，不能完全满足采购需求</w:t>
            </w:r>
            <w:r>
              <w:rPr>
                <w:rFonts w:hint="eastAsia" w:ascii="宋体" w:hAnsi="宋体" w:eastAsia="宋体" w:cs="宋体"/>
                <w:b w:val="0"/>
                <w:bCs w:val="0"/>
                <w:color w:val="auto"/>
                <w:szCs w:val="21"/>
              </w:rPr>
              <w:t>的</w:t>
            </w:r>
            <w:r>
              <w:rPr>
                <w:rFonts w:hint="eastAsia" w:ascii="宋体" w:hAnsi="宋体" w:cs="宋体"/>
                <w:b w:val="0"/>
                <w:bCs w:val="0"/>
                <w:color w:val="auto"/>
                <w:szCs w:val="21"/>
                <w:lang w:val="en-US" w:eastAsia="zh-CN"/>
              </w:rPr>
              <w:t>得1</w:t>
            </w:r>
            <w:r>
              <w:rPr>
                <w:rFonts w:hint="eastAsia" w:ascii="宋体" w:hAnsi="宋体" w:eastAsia="宋体" w:cs="宋体"/>
                <w:b w:val="0"/>
                <w:bCs w:val="0"/>
                <w:color w:val="auto"/>
                <w:szCs w:val="21"/>
                <w:lang w:val="en-US" w:eastAsia="zh-CN"/>
              </w:rPr>
              <w:t>-</w:t>
            </w: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分</w:t>
            </w:r>
            <w:r>
              <w:rPr>
                <w:rFonts w:hint="eastAsia" w:ascii="宋体" w:hAnsi="宋体" w:eastAsia="宋体" w:cs="宋体"/>
                <w:b w:val="0"/>
                <w:bCs w:val="0"/>
                <w:color w:val="auto"/>
                <w:szCs w:val="21"/>
                <w:lang w:eastAsia="zh-CN"/>
              </w:rPr>
              <w:t>。</w:t>
            </w:r>
          </w:p>
          <w:p w14:paraId="09E3B32C">
            <w:pPr>
              <w:numPr>
                <w:ilvl w:val="0"/>
                <w:numId w:val="0"/>
              </w:numPr>
              <w:spacing w:line="360" w:lineRule="auto"/>
              <w:ind w:left="0" w:leftChars="0" w:firstLine="420" w:firstLineChars="200"/>
              <w:rPr>
                <w:rFonts w:hint="default"/>
                <w:lang w:val="en-US"/>
              </w:rPr>
            </w:pPr>
            <w:r>
              <w:rPr>
                <w:rFonts w:hint="eastAsia" w:ascii="宋体" w:hAnsi="宋体" w:cs="宋体"/>
                <w:b w:val="0"/>
                <w:bCs w:val="0"/>
                <w:color w:val="auto"/>
                <w:szCs w:val="21"/>
                <w:lang w:val="en-US" w:eastAsia="zh-CN"/>
              </w:rPr>
              <w:t>（4）方案未涵盖以上全部内容或未提供的或方案完全不满足采购需求的得0分</w:t>
            </w:r>
            <w:r>
              <w:rPr>
                <w:rFonts w:hint="eastAsia" w:ascii="宋体" w:hAnsi="宋体" w:eastAsia="宋体" w:cs="宋体"/>
                <w:b w:val="0"/>
                <w:bCs w:val="0"/>
                <w:color w:val="auto"/>
                <w:szCs w:val="21"/>
                <w:lang w:eastAsia="zh-CN"/>
              </w:rPr>
              <w:t>。</w:t>
            </w:r>
          </w:p>
        </w:tc>
        <w:tc>
          <w:tcPr>
            <w:tcW w:w="710" w:type="dxa"/>
            <w:noWrap w:val="0"/>
            <w:vAlign w:val="center"/>
          </w:tcPr>
          <w:p w14:paraId="08896C92">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30分</w:t>
            </w:r>
          </w:p>
        </w:tc>
      </w:tr>
    </w:tbl>
    <w:p w14:paraId="7FF2F3FD">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457" w:bottom="1440" w:left="145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C0AEB93A-1CA4-4E40-BF09-B342FEFA81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D0376">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53EE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553EE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082D5">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9C46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5B8C3">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1065">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834AE">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79CE5"/>
    <w:multiLevelType w:val="singleLevel"/>
    <w:tmpl w:val="18279CE5"/>
    <w:lvl w:ilvl="0" w:tentative="0">
      <w:start w:val="2"/>
      <w:numFmt w:val="decimal"/>
      <w:suff w:val="nothing"/>
      <w:lvlText w:val="（%1）"/>
      <w:lvlJc w:val="left"/>
    </w:lvl>
  </w:abstractNum>
  <w:abstractNum w:abstractNumId="1">
    <w:nsid w:val="32E5D463"/>
    <w:multiLevelType w:val="singleLevel"/>
    <w:tmpl w:val="32E5D463"/>
    <w:lvl w:ilvl="0" w:tentative="0">
      <w:start w:val="1"/>
      <w:numFmt w:val="decimal"/>
      <w:suff w:val="nothing"/>
      <w:lvlText w:val="（%1）"/>
      <w:lvlJc w:val="left"/>
    </w:lvl>
  </w:abstractNum>
  <w:abstractNum w:abstractNumId="2">
    <w:nsid w:val="6EEBF172"/>
    <w:multiLevelType w:val="singleLevel"/>
    <w:tmpl w:val="6EEBF172"/>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3ZDI1NjRiMWE5YjljZjE2YjgwMzdjYWMzZWIyODUifQ=="/>
  </w:docVars>
  <w:rsids>
    <w:rsidRoot w:val="00172A27"/>
    <w:rsid w:val="00011514"/>
    <w:rsid w:val="00044127"/>
    <w:rsid w:val="00055468"/>
    <w:rsid w:val="0009593D"/>
    <w:rsid w:val="000C1E4B"/>
    <w:rsid w:val="000D2B74"/>
    <w:rsid w:val="000E0ED0"/>
    <w:rsid w:val="000F68E1"/>
    <w:rsid w:val="00165254"/>
    <w:rsid w:val="0017469C"/>
    <w:rsid w:val="001A12F5"/>
    <w:rsid w:val="001C1911"/>
    <w:rsid w:val="001E63EF"/>
    <w:rsid w:val="00205029"/>
    <w:rsid w:val="002152BB"/>
    <w:rsid w:val="002752A8"/>
    <w:rsid w:val="002A1A4E"/>
    <w:rsid w:val="002A41C6"/>
    <w:rsid w:val="002A5543"/>
    <w:rsid w:val="002E429F"/>
    <w:rsid w:val="002F1756"/>
    <w:rsid w:val="00347891"/>
    <w:rsid w:val="00364931"/>
    <w:rsid w:val="00380200"/>
    <w:rsid w:val="00390A94"/>
    <w:rsid w:val="003C2B57"/>
    <w:rsid w:val="00437FC0"/>
    <w:rsid w:val="0044602B"/>
    <w:rsid w:val="00474C24"/>
    <w:rsid w:val="00477E7C"/>
    <w:rsid w:val="00496F87"/>
    <w:rsid w:val="00497BC2"/>
    <w:rsid w:val="004C00B5"/>
    <w:rsid w:val="00500129"/>
    <w:rsid w:val="00516E2A"/>
    <w:rsid w:val="00527339"/>
    <w:rsid w:val="005304C0"/>
    <w:rsid w:val="005533AB"/>
    <w:rsid w:val="005C61E5"/>
    <w:rsid w:val="005F1C33"/>
    <w:rsid w:val="0062443F"/>
    <w:rsid w:val="00663202"/>
    <w:rsid w:val="006649C1"/>
    <w:rsid w:val="006A600C"/>
    <w:rsid w:val="006D38F8"/>
    <w:rsid w:val="006F73F8"/>
    <w:rsid w:val="00712ECB"/>
    <w:rsid w:val="007A1628"/>
    <w:rsid w:val="007F2B3E"/>
    <w:rsid w:val="0083379E"/>
    <w:rsid w:val="00860D41"/>
    <w:rsid w:val="00867AFA"/>
    <w:rsid w:val="00872E01"/>
    <w:rsid w:val="008C50FF"/>
    <w:rsid w:val="008E50F8"/>
    <w:rsid w:val="0097319B"/>
    <w:rsid w:val="0099354D"/>
    <w:rsid w:val="009B2C9F"/>
    <w:rsid w:val="009B423D"/>
    <w:rsid w:val="009B7BE9"/>
    <w:rsid w:val="009C5F61"/>
    <w:rsid w:val="009D154F"/>
    <w:rsid w:val="009F2E6B"/>
    <w:rsid w:val="009F4D35"/>
    <w:rsid w:val="00A65519"/>
    <w:rsid w:val="00A6708B"/>
    <w:rsid w:val="00A9750D"/>
    <w:rsid w:val="00AC31F7"/>
    <w:rsid w:val="00B44F90"/>
    <w:rsid w:val="00B6482E"/>
    <w:rsid w:val="00BC131B"/>
    <w:rsid w:val="00BC540A"/>
    <w:rsid w:val="00BD3013"/>
    <w:rsid w:val="00BE19BF"/>
    <w:rsid w:val="00BF7025"/>
    <w:rsid w:val="00C03FE1"/>
    <w:rsid w:val="00C15422"/>
    <w:rsid w:val="00C3329F"/>
    <w:rsid w:val="00C361F4"/>
    <w:rsid w:val="00C62B2B"/>
    <w:rsid w:val="00C656CD"/>
    <w:rsid w:val="00CD19C5"/>
    <w:rsid w:val="00D102BF"/>
    <w:rsid w:val="00D94F00"/>
    <w:rsid w:val="00D967F4"/>
    <w:rsid w:val="00D97212"/>
    <w:rsid w:val="00DD2CE8"/>
    <w:rsid w:val="00E53BF1"/>
    <w:rsid w:val="00E67635"/>
    <w:rsid w:val="00EA09AC"/>
    <w:rsid w:val="00EA61E3"/>
    <w:rsid w:val="00ED11D1"/>
    <w:rsid w:val="00EE0BF7"/>
    <w:rsid w:val="00F47925"/>
    <w:rsid w:val="00F50F4A"/>
    <w:rsid w:val="00F74F12"/>
    <w:rsid w:val="00FB1120"/>
    <w:rsid w:val="00FC534A"/>
    <w:rsid w:val="019140CF"/>
    <w:rsid w:val="01A97BA1"/>
    <w:rsid w:val="01B26BBA"/>
    <w:rsid w:val="02AF58A4"/>
    <w:rsid w:val="04AD322B"/>
    <w:rsid w:val="0584186C"/>
    <w:rsid w:val="06914FFD"/>
    <w:rsid w:val="091837BC"/>
    <w:rsid w:val="0BE300B2"/>
    <w:rsid w:val="0C751048"/>
    <w:rsid w:val="0F4511B3"/>
    <w:rsid w:val="102D4119"/>
    <w:rsid w:val="10E661BD"/>
    <w:rsid w:val="129A42F1"/>
    <w:rsid w:val="13E10BC6"/>
    <w:rsid w:val="13EC268A"/>
    <w:rsid w:val="13F637F3"/>
    <w:rsid w:val="152062CE"/>
    <w:rsid w:val="15365AAA"/>
    <w:rsid w:val="15763471"/>
    <w:rsid w:val="15A5303A"/>
    <w:rsid w:val="15EC1A89"/>
    <w:rsid w:val="168D251B"/>
    <w:rsid w:val="1780366B"/>
    <w:rsid w:val="19EA7987"/>
    <w:rsid w:val="1D3764AF"/>
    <w:rsid w:val="1EB37DB8"/>
    <w:rsid w:val="1EC71FC0"/>
    <w:rsid w:val="1EE6018D"/>
    <w:rsid w:val="1FEE6F5E"/>
    <w:rsid w:val="200061DC"/>
    <w:rsid w:val="20F645A8"/>
    <w:rsid w:val="21190E2C"/>
    <w:rsid w:val="223D1363"/>
    <w:rsid w:val="23351F98"/>
    <w:rsid w:val="23694EE9"/>
    <w:rsid w:val="243504AA"/>
    <w:rsid w:val="253B04C9"/>
    <w:rsid w:val="2549092E"/>
    <w:rsid w:val="25FC1D38"/>
    <w:rsid w:val="290C4A1D"/>
    <w:rsid w:val="2B292CED"/>
    <w:rsid w:val="2B3C14BF"/>
    <w:rsid w:val="2B6E599F"/>
    <w:rsid w:val="2D065D72"/>
    <w:rsid w:val="2E634DFD"/>
    <w:rsid w:val="30286748"/>
    <w:rsid w:val="3359035F"/>
    <w:rsid w:val="33BC3117"/>
    <w:rsid w:val="34C7513E"/>
    <w:rsid w:val="35AD46F6"/>
    <w:rsid w:val="37690404"/>
    <w:rsid w:val="394C07DB"/>
    <w:rsid w:val="3C583A0B"/>
    <w:rsid w:val="3CD14C8E"/>
    <w:rsid w:val="3D6E0775"/>
    <w:rsid w:val="3DAD7CC1"/>
    <w:rsid w:val="3F7F6F23"/>
    <w:rsid w:val="3FDA3232"/>
    <w:rsid w:val="3FE67C49"/>
    <w:rsid w:val="415D5B12"/>
    <w:rsid w:val="41DC00CF"/>
    <w:rsid w:val="424E557E"/>
    <w:rsid w:val="43366C1E"/>
    <w:rsid w:val="4489226D"/>
    <w:rsid w:val="451D6418"/>
    <w:rsid w:val="46607718"/>
    <w:rsid w:val="46AB2282"/>
    <w:rsid w:val="498A0541"/>
    <w:rsid w:val="49D767A1"/>
    <w:rsid w:val="4A951409"/>
    <w:rsid w:val="4AB32D6A"/>
    <w:rsid w:val="4B2743A4"/>
    <w:rsid w:val="4D2A1D51"/>
    <w:rsid w:val="4D36564B"/>
    <w:rsid w:val="4E1800E8"/>
    <w:rsid w:val="5054070C"/>
    <w:rsid w:val="52466271"/>
    <w:rsid w:val="52F1714F"/>
    <w:rsid w:val="53E936EC"/>
    <w:rsid w:val="551408A9"/>
    <w:rsid w:val="557C538D"/>
    <w:rsid w:val="55C177EE"/>
    <w:rsid w:val="567E13F4"/>
    <w:rsid w:val="573235E9"/>
    <w:rsid w:val="57CE57C8"/>
    <w:rsid w:val="58EA5AF1"/>
    <w:rsid w:val="5A015F0A"/>
    <w:rsid w:val="5A5C1205"/>
    <w:rsid w:val="5B6254C8"/>
    <w:rsid w:val="5B901A36"/>
    <w:rsid w:val="5BC245D4"/>
    <w:rsid w:val="5C82434A"/>
    <w:rsid w:val="5E306C12"/>
    <w:rsid w:val="5EC56770"/>
    <w:rsid w:val="5F6F637A"/>
    <w:rsid w:val="5F70143F"/>
    <w:rsid w:val="5FC165EC"/>
    <w:rsid w:val="60682918"/>
    <w:rsid w:val="60870181"/>
    <w:rsid w:val="60BE14C0"/>
    <w:rsid w:val="61531905"/>
    <w:rsid w:val="63B86661"/>
    <w:rsid w:val="646D11AF"/>
    <w:rsid w:val="6667518D"/>
    <w:rsid w:val="667375D6"/>
    <w:rsid w:val="673B19CF"/>
    <w:rsid w:val="673D3DC8"/>
    <w:rsid w:val="6848334F"/>
    <w:rsid w:val="68573EFD"/>
    <w:rsid w:val="687E77A6"/>
    <w:rsid w:val="68A24BCD"/>
    <w:rsid w:val="68A27B7C"/>
    <w:rsid w:val="68CC0CDC"/>
    <w:rsid w:val="6932742A"/>
    <w:rsid w:val="6AE77E8C"/>
    <w:rsid w:val="6BB42FF0"/>
    <w:rsid w:val="6BE01143"/>
    <w:rsid w:val="6C5C0714"/>
    <w:rsid w:val="6CE87F8C"/>
    <w:rsid w:val="6D4B0788"/>
    <w:rsid w:val="6D8A0E78"/>
    <w:rsid w:val="6DAC7406"/>
    <w:rsid w:val="6E246E8D"/>
    <w:rsid w:val="6F8A0689"/>
    <w:rsid w:val="7003468C"/>
    <w:rsid w:val="702206C8"/>
    <w:rsid w:val="708E730A"/>
    <w:rsid w:val="7170164C"/>
    <w:rsid w:val="719646C8"/>
    <w:rsid w:val="71FE0B22"/>
    <w:rsid w:val="72710F63"/>
    <w:rsid w:val="72D52FCE"/>
    <w:rsid w:val="733A1083"/>
    <w:rsid w:val="7355166F"/>
    <w:rsid w:val="750468BC"/>
    <w:rsid w:val="75702DBD"/>
    <w:rsid w:val="75815786"/>
    <w:rsid w:val="76FA1BEC"/>
    <w:rsid w:val="783F1810"/>
    <w:rsid w:val="79C51FCB"/>
    <w:rsid w:val="7A462BC8"/>
    <w:rsid w:val="7AF02AF4"/>
    <w:rsid w:val="7AFD3E6A"/>
    <w:rsid w:val="7D943E8B"/>
    <w:rsid w:val="7DDA3B8E"/>
    <w:rsid w:val="7E735C0A"/>
    <w:rsid w:val="7E751B09"/>
    <w:rsid w:val="7EFB6058"/>
    <w:rsid w:val="7F0F391F"/>
    <w:rsid w:val="7F4C4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topLinePunct/>
      <w:adjustRightInd w:val="0"/>
      <w:spacing w:line="530" w:lineRule="exact"/>
      <w:textAlignment w:val="baseline"/>
      <w:outlineLvl w:val="1"/>
    </w:pPr>
    <w:rPr>
      <w:rFonts w:ascii="Arial" w:hAnsi="Arial" w:eastAsia="黑体"/>
      <w:sz w:val="32"/>
      <w:szCs w:val="32"/>
    </w:rPr>
  </w:style>
  <w:style w:type="paragraph" w:styleId="3">
    <w:name w:val="heading 3"/>
    <w:basedOn w:val="1"/>
    <w:next w:val="1"/>
    <w:autoRedefine/>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20">
    <w:name w:val="Default Paragraph Font"/>
    <w:autoRedefine/>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4">
    <w:name w:val="table of authorities"/>
    <w:basedOn w:val="1"/>
    <w:next w:val="1"/>
    <w:autoRedefine/>
    <w:unhideWhenUsed/>
    <w:qFormat/>
    <w:uiPriority w:val="99"/>
    <w:pPr>
      <w:ind w:left="200" w:leftChars="200"/>
    </w:pPr>
  </w:style>
  <w:style w:type="paragraph" w:styleId="5">
    <w:name w:val="Normal Indent"/>
    <w:basedOn w:val="1"/>
    <w:autoRedefine/>
    <w:qFormat/>
    <w:uiPriority w:val="0"/>
    <w:pPr>
      <w:autoSpaceDE w:val="0"/>
      <w:autoSpaceDN w:val="0"/>
      <w:adjustRightInd w:val="0"/>
      <w:spacing w:after="0" w:afterLines="0" w:line="315" w:lineRule="atLeast"/>
      <w:ind w:firstLine="420"/>
      <w:jc w:val="left"/>
    </w:pPr>
    <w:rPr>
      <w:rFonts w:ascii="楷体_GB2312" w:hAnsi="Times New Roman" w:eastAsia="楷体_GB2312" w:cs="Times New Roman"/>
      <w:kern w:val="0"/>
      <w:sz w:val="28"/>
      <w:szCs w:val="20"/>
      <w:lang w:val="en-US" w:eastAsia="zh-CN" w:bidi="ar-SA"/>
    </w:rPr>
  </w:style>
  <w:style w:type="paragraph" w:styleId="6">
    <w:name w:val="Body Text"/>
    <w:basedOn w:val="1"/>
    <w:next w:val="1"/>
    <w:autoRedefine/>
    <w:qFormat/>
    <w:uiPriority w:val="1"/>
    <w:rPr>
      <w:rFonts w:ascii="宋体" w:hAnsi="宋体" w:eastAsia="宋体" w:cs="宋体"/>
      <w:sz w:val="24"/>
      <w:szCs w:val="24"/>
      <w:lang w:val="zh-CN" w:eastAsia="zh-CN" w:bidi="zh-CN"/>
    </w:rPr>
  </w:style>
  <w:style w:type="paragraph" w:styleId="7">
    <w:name w:val="Body Text Indent"/>
    <w:basedOn w:val="1"/>
    <w:next w:val="8"/>
    <w:autoRedefine/>
    <w:qFormat/>
    <w:uiPriority w:val="0"/>
    <w:pPr>
      <w:ind w:firstLine="601" w:firstLineChars="200"/>
    </w:pPr>
    <w:rPr>
      <w:rFonts w:eastAsia="仿宋_GB2312"/>
      <w:b/>
      <w:bCs/>
      <w:sz w:val="30"/>
    </w:rPr>
  </w:style>
  <w:style w:type="paragraph" w:styleId="8">
    <w:name w:val="Body Text Indent 2"/>
    <w:basedOn w:val="1"/>
    <w:autoRedefine/>
    <w:qFormat/>
    <w:uiPriority w:val="0"/>
    <w:pPr>
      <w:spacing w:after="120" w:afterLines="0" w:line="480" w:lineRule="auto"/>
      <w:ind w:left="420" w:leftChars="200"/>
    </w:pPr>
  </w:style>
  <w:style w:type="paragraph" w:styleId="9">
    <w:name w:val="Plain Text"/>
    <w:basedOn w:val="1"/>
    <w:next w:val="1"/>
    <w:autoRedefine/>
    <w:qFormat/>
    <w:uiPriority w:val="0"/>
    <w:rPr>
      <w:rFonts w:ascii="宋体" w:hAnsi="Courier New"/>
    </w:rPr>
  </w:style>
  <w:style w:type="paragraph" w:styleId="10">
    <w:name w:val="Balloon Text"/>
    <w:basedOn w:val="1"/>
    <w:autoRedefine/>
    <w:qFormat/>
    <w:uiPriority w:val="0"/>
    <w:rPr>
      <w:sz w:val="18"/>
      <w:szCs w:val="18"/>
    </w:rPr>
  </w:style>
  <w:style w:type="paragraph" w:styleId="11">
    <w:name w:val="footer"/>
    <w:basedOn w:val="1"/>
    <w:link w:val="24"/>
    <w:autoRedefine/>
    <w:qFormat/>
    <w:uiPriority w:val="0"/>
    <w:pPr>
      <w:tabs>
        <w:tab w:val="center" w:pos="4153"/>
        <w:tab w:val="right" w:pos="8306"/>
      </w:tabs>
      <w:snapToGrid w:val="0"/>
      <w:jc w:val="left"/>
    </w:pPr>
    <w:rPr>
      <w:sz w:val="18"/>
      <w:szCs w:val="18"/>
    </w:rPr>
  </w:style>
  <w:style w:type="paragraph" w:styleId="12">
    <w:name w:val="header"/>
    <w:basedOn w:val="1"/>
    <w:link w:val="25"/>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autoRedefine/>
    <w:qFormat/>
    <w:uiPriority w:val="0"/>
    <w:pPr>
      <w:spacing w:after="120" w:afterLines="0"/>
      <w:ind w:left="420" w:leftChars="200"/>
    </w:pPr>
    <w:rPr>
      <w:sz w:val="16"/>
      <w:szCs w:val="16"/>
    </w:rPr>
  </w:style>
  <w:style w:type="paragraph" w:styleId="14">
    <w:name w:val="Body Text 2"/>
    <w:basedOn w:val="1"/>
    <w:autoRedefine/>
    <w:qFormat/>
    <w:uiPriority w:val="0"/>
    <w:pPr>
      <w:spacing w:after="120" w:afterLines="0" w:line="480" w:lineRule="auto"/>
    </w:pPr>
    <w:rPr>
      <w:rFonts w:ascii="Times New Roman" w:hAnsi="Times New Roman" w:eastAsia="宋体" w:cs="Times New Roman"/>
      <w:kern w:val="2"/>
      <w:sz w:val="21"/>
    </w:rPr>
  </w:style>
  <w:style w:type="paragraph" w:styleId="15">
    <w:name w:val="Normal (Web)"/>
    <w:basedOn w:val="1"/>
    <w:autoRedefine/>
    <w:qFormat/>
    <w:uiPriority w:val="0"/>
    <w:pPr>
      <w:spacing w:beforeAutospacing="1" w:afterAutospacing="1"/>
      <w:jc w:val="left"/>
    </w:pPr>
    <w:rPr>
      <w:kern w:val="0"/>
      <w:sz w:val="24"/>
    </w:rPr>
  </w:style>
  <w:style w:type="paragraph" w:styleId="16">
    <w:name w:val="Body Text First Indent"/>
    <w:basedOn w:val="6"/>
    <w:next w:val="9"/>
    <w:autoRedefine/>
    <w:qFormat/>
    <w:uiPriority w:val="0"/>
    <w:pPr>
      <w:ind w:firstLine="420" w:firstLineChars="100"/>
    </w:pPr>
    <w:rPr>
      <w:rFonts w:ascii="Calibri" w:hAnsi="Calibri" w:eastAsia="宋体" w:cs="Times New Roman"/>
      <w:szCs w:val="24"/>
    </w:rPr>
  </w:style>
  <w:style w:type="paragraph" w:styleId="17">
    <w:name w:val="Body Text First Indent 2"/>
    <w:basedOn w:val="7"/>
    <w:next w:val="1"/>
    <w:autoRedefine/>
    <w:qFormat/>
    <w:uiPriority w:val="0"/>
    <w:pPr>
      <w:spacing w:after="120" w:afterLines="0"/>
      <w:ind w:left="420" w:leftChars="200" w:firstLine="420"/>
    </w:pPr>
    <w:rPr>
      <w:rFonts w:eastAsia="宋体"/>
      <w:b w:val="0"/>
      <w:bCs w:val="0"/>
      <w:sz w:val="21"/>
      <w:szCs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0"/>
    <w:rPr>
      <w:b/>
      <w:bCs/>
    </w:rPr>
  </w:style>
  <w:style w:type="character" w:styleId="22">
    <w:name w:val="HTML Sample"/>
    <w:basedOn w:val="20"/>
    <w:qFormat/>
    <w:uiPriority w:val="0"/>
    <w:rPr>
      <w:rFonts w:ascii="Courier New" w:hAnsi="Courier New"/>
    </w:rPr>
  </w:style>
  <w:style w:type="paragraph" w:customStyle="1" w:styleId="23">
    <w:name w:val="列出段落1"/>
    <w:basedOn w:val="1"/>
    <w:autoRedefine/>
    <w:qFormat/>
    <w:uiPriority w:val="34"/>
    <w:pPr>
      <w:ind w:firstLine="420" w:firstLineChars="200"/>
    </w:pPr>
    <w:rPr>
      <w:rFonts w:ascii="宋体" w:hAnsi="宋体" w:eastAsia="宋体" w:cs="Times New Roman"/>
      <w:kern w:val="0"/>
      <w:sz w:val="20"/>
    </w:rPr>
  </w:style>
  <w:style w:type="character" w:customStyle="1" w:styleId="24">
    <w:name w:val="页脚 字符"/>
    <w:basedOn w:val="20"/>
    <w:link w:val="11"/>
    <w:autoRedefine/>
    <w:qFormat/>
    <w:uiPriority w:val="0"/>
    <w:rPr>
      <w:kern w:val="2"/>
      <w:sz w:val="18"/>
      <w:szCs w:val="18"/>
    </w:rPr>
  </w:style>
  <w:style w:type="character" w:customStyle="1" w:styleId="25">
    <w:name w:val="页眉 字符"/>
    <w:basedOn w:val="20"/>
    <w:link w:val="12"/>
    <w:autoRedefine/>
    <w:qFormat/>
    <w:uiPriority w:val="0"/>
    <w:rPr>
      <w:kern w:val="2"/>
      <w:sz w:val="18"/>
      <w:szCs w:val="18"/>
    </w:rPr>
  </w:style>
  <w:style w:type="paragraph" w:styleId="26">
    <w:name w:val="List Paragraph"/>
    <w:basedOn w:val="1"/>
    <w:autoRedefine/>
    <w:qFormat/>
    <w:uiPriority w:val="1"/>
    <w:pPr>
      <w:ind w:left="475"/>
    </w:pPr>
    <w:rPr>
      <w:rFonts w:ascii="宋体" w:hAnsi="宋体" w:eastAsia="宋体" w:cs="宋体"/>
      <w:lang w:val="zh-CN" w:eastAsia="zh-CN" w:bidi="zh-CN"/>
    </w:rPr>
  </w:style>
  <w:style w:type="paragraph" w:customStyle="1" w:styleId="27">
    <w:name w:val="Table Paragraph"/>
    <w:basedOn w:val="1"/>
    <w:autoRedefine/>
    <w:qFormat/>
    <w:uiPriority w:val="1"/>
    <w:rPr>
      <w:rFonts w:ascii="宋体" w:hAnsi="宋体" w:eastAsia="宋体" w:cs="宋体"/>
      <w:lang w:val="zh-CN" w:eastAsia="zh-CN" w:bidi="zh-CN"/>
    </w:rPr>
  </w:style>
  <w:style w:type="character" w:customStyle="1" w:styleId="28">
    <w:name w:val="divcss5"/>
    <w:basedOn w:val="20"/>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1375</Words>
  <Characters>1449</Characters>
  <Lines>3</Lines>
  <Paragraphs>6</Paragraphs>
  <TotalTime>0</TotalTime>
  <ScaleCrop>false</ScaleCrop>
  <LinksUpToDate>false</LinksUpToDate>
  <CharactersWithSpaces>1451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2022-10-13T12:54:00Z</dcterms:created>
  <dc:creator>liy</dc:creator>
  <cp:lastModifiedBy>가장 아름 다운 복 부인</cp:lastModifiedBy>
  <cp:lastPrinted>2023-02-10T07:06:00Z</cp:lastPrinted>
  <dcterms:modified xsi:type="dcterms:W3CDTF">2026-08-05T09:13:18Z</dcterms:modified>
  <dc:title>贵州省卫生厅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93FE3CED0E31483F87578A69D8160DB3_13</vt:lpwstr>
  </property>
  <property fmtid="{D5CDD505-2E9C-101B-9397-08002B2CF9AE}" pid="4" name="KSOTemplateDocerSaveRecord">
    <vt:lpwstr>eyJoZGlkIjoiNTljOWY2YWY3M2M1ZDFlMmNiMDdiZDUxMGI2ZjZhYjUiLCJ1c2VySWQiOiIyMzk0MDc0MDkifQ==</vt:lpwstr>
  </property>
</Properties>
</file>