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FD826">
      <w:pPr>
        <w:spacing w:line="400" w:lineRule="atLeast"/>
        <w:jc w:val="left"/>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rPr>
        <w:t>附件</w:t>
      </w:r>
      <w:r>
        <w:rPr>
          <w:rFonts w:hint="eastAsia" w:ascii="黑体" w:hAnsi="黑体" w:eastAsia="黑体" w:cs="黑体"/>
          <w:b w:val="0"/>
          <w:bCs w:val="0"/>
          <w:sz w:val="24"/>
          <w:szCs w:val="24"/>
          <w:lang w:val="en-US" w:eastAsia="zh-CN"/>
        </w:rPr>
        <w:t>1</w:t>
      </w:r>
    </w:p>
    <w:p w14:paraId="77585381">
      <w:pPr>
        <w:spacing w:line="400" w:lineRule="atLeast"/>
        <w:jc w:val="center"/>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评分标准</w:t>
      </w:r>
    </w:p>
    <w:p w14:paraId="0371E187">
      <w:pPr>
        <w:spacing w:line="400" w:lineRule="atLeast"/>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评分细则及各项评标因素权重值如下：</w:t>
      </w:r>
    </w:p>
    <w:tbl>
      <w:tblPr>
        <w:tblStyle w:val="2"/>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6"/>
        <w:gridCol w:w="1557"/>
        <w:gridCol w:w="1542"/>
        <w:gridCol w:w="3473"/>
      </w:tblGrid>
      <w:tr w14:paraId="132D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936" w:type="dxa"/>
            <w:vAlign w:val="center"/>
          </w:tcPr>
          <w:p w14:paraId="48E92171">
            <w:pPr>
              <w:spacing w:line="400" w:lineRule="atLeast"/>
              <w:jc w:val="center"/>
              <w:rPr>
                <w:rFonts w:hint="eastAsia" w:asciiTheme="majorEastAsia" w:hAnsiTheme="majorEastAsia" w:eastAsiaTheme="majorEastAsia" w:cstheme="majorEastAsia"/>
                <w:bCs/>
                <w:sz w:val="24"/>
              </w:rPr>
            </w:pPr>
            <w:bookmarkStart w:id="0" w:name="_Toc17637"/>
            <w:bookmarkStart w:id="1" w:name="_Toc8162"/>
            <w:bookmarkStart w:id="2" w:name="_Toc5875"/>
            <w:r>
              <w:rPr>
                <w:rFonts w:hint="eastAsia" w:asciiTheme="majorEastAsia" w:hAnsiTheme="majorEastAsia" w:eastAsiaTheme="majorEastAsia" w:cstheme="majorEastAsia"/>
                <w:bCs/>
                <w:sz w:val="24"/>
              </w:rPr>
              <w:t>评分细则</w:t>
            </w:r>
            <w:bookmarkEnd w:id="0"/>
            <w:bookmarkEnd w:id="1"/>
            <w:bookmarkEnd w:id="2"/>
          </w:p>
        </w:tc>
        <w:tc>
          <w:tcPr>
            <w:tcW w:w="1557" w:type="dxa"/>
            <w:vAlign w:val="center"/>
          </w:tcPr>
          <w:p w14:paraId="79537905">
            <w:pPr>
              <w:spacing w:line="400" w:lineRule="atLeast"/>
              <w:jc w:val="center"/>
              <w:rPr>
                <w:rFonts w:hint="eastAsia" w:asciiTheme="majorEastAsia" w:hAnsiTheme="majorEastAsia" w:eastAsiaTheme="majorEastAsia" w:cstheme="majorEastAsia"/>
                <w:bCs/>
                <w:sz w:val="24"/>
              </w:rPr>
            </w:pPr>
            <w:bookmarkStart w:id="3" w:name="_Toc5457"/>
            <w:bookmarkStart w:id="4" w:name="_Toc2845"/>
            <w:bookmarkStart w:id="5" w:name="_Toc22653"/>
            <w:r>
              <w:rPr>
                <w:rFonts w:hint="eastAsia" w:asciiTheme="majorEastAsia" w:hAnsiTheme="majorEastAsia" w:eastAsiaTheme="majorEastAsia" w:cstheme="majorEastAsia"/>
                <w:bCs/>
                <w:sz w:val="24"/>
              </w:rPr>
              <w:t>权重值(A)</w:t>
            </w:r>
            <w:bookmarkEnd w:id="3"/>
            <w:bookmarkEnd w:id="4"/>
            <w:bookmarkEnd w:id="5"/>
          </w:p>
        </w:tc>
        <w:tc>
          <w:tcPr>
            <w:tcW w:w="1542" w:type="dxa"/>
            <w:vAlign w:val="center"/>
          </w:tcPr>
          <w:p w14:paraId="6DFFB8D2">
            <w:pPr>
              <w:spacing w:line="400" w:lineRule="atLeast"/>
              <w:jc w:val="center"/>
              <w:rPr>
                <w:rFonts w:hint="eastAsia" w:asciiTheme="majorEastAsia" w:hAnsiTheme="majorEastAsia" w:eastAsiaTheme="majorEastAsia" w:cstheme="majorEastAsia"/>
                <w:bCs/>
                <w:sz w:val="24"/>
              </w:rPr>
            </w:pPr>
            <w:bookmarkStart w:id="6" w:name="_Toc24424"/>
            <w:bookmarkStart w:id="7" w:name="_Toc9657"/>
            <w:bookmarkStart w:id="8" w:name="_Toc14040"/>
            <w:r>
              <w:rPr>
                <w:rFonts w:hint="eastAsia" w:asciiTheme="majorEastAsia" w:hAnsiTheme="majorEastAsia" w:eastAsiaTheme="majorEastAsia" w:cstheme="majorEastAsia"/>
                <w:bCs/>
                <w:sz w:val="24"/>
              </w:rPr>
              <w:t>分值(F)</w:t>
            </w:r>
            <w:bookmarkEnd w:id="6"/>
            <w:bookmarkEnd w:id="7"/>
            <w:bookmarkEnd w:id="8"/>
          </w:p>
        </w:tc>
        <w:tc>
          <w:tcPr>
            <w:tcW w:w="3473" w:type="dxa"/>
            <w:vAlign w:val="center"/>
          </w:tcPr>
          <w:p w14:paraId="4D9CEC97">
            <w:pPr>
              <w:spacing w:line="400" w:lineRule="atLeast"/>
              <w:jc w:val="center"/>
              <w:rPr>
                <w:rFonts w:hint="eastAsia" w:asciiTheme="majorEastAsia" w:hAnsiTheme="majorEastAsia" w:eastAsiaTheme="majorEastAsia" w:cstheme="majorEastAsia"/>
                <w:bCs/>
                <w:sz w:val="24"/>
              </w:rPr>
            </w:pPr>
            <w:bookmarkStart w:id="9" w:name="_Toc19854"/>
            <w:bookmarkStart w:id="10" w:name="_Toc15598"/>
            <w:bookmarkStart w:id="11" w:name="_Toc18926"/>
            <w:r>
              <w:rPr>
                <w:rFonts w:hint="eastAsia" w:asciiTheme="majorEastAsia" w:hAnsiTheme="majorEastAsia" w:eastAsiaTheme="majorEastAsia" w:cstheme="majorEastAsia"/>
                <w:bCs/>
                <w:sz w:val="24"/>
              </w:rPr>
              <w:t>权重值×分值</w:t>
            </w:r>
            <w:bookmarkEnd w:id="9"/>
            <w:bookmarkEnd w:id="10"/>
            <w:bookmarkEnd w:id="11"/>
          </w:p>
        </w:tc>
      </w:tr>
      <w:tr w14:paraId="068A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jc w:val="center"/>
        </w:trPr>
        <w:tc>
          <w:tcPr>
            <w:tcW w:w="2936" w:type="dxa"/>
            <w:vAlign w:val="center"/>
          </w:tcPr>
          <w:p w14:paraId="53148F9C">
            <w:pPr>
              <w:spacing w:line="400" w:lineRule="atLeast"/>
              <w:jc w:val="center"/>
              <w:rPr>
                <w:rFonts w:hint="eastAsia" w:asciiTheme="majorEastAsia" w:hAnsiTheme="majorEastAsia" w:eastAsiaTheme="majorEastAsia" w:cstheme="majorEastAsia"/>
                <w:bCs/>
                <w:sz w:val="24"/>
              </w:rPr>
            </w:pPr>
            <w:bookmarkStart w:id="12" w:name="_Toc25602"/>
            <w:bookmarkStart w:id="13" w:name="_Toc9831"/>
            <w:bookmarkStart w:id="14" w:name="_Toc9598"/>
            <w:r>
              <w:rPr>
                <w:rFonts w:hint="eastAsia" w:asciiTheme="majorEastAsia" w:hAnsiTheme="majorEastAsia" w:eastAsiaTheme="majorEastAsia" w:cstheme="majorEastAsia"/>
                <w:bCs/>
                <w:sz w:val="24"/>
              </w:rPr>
              <w:t>报价分</w:t>
            </w:r>
            <w:bookmarkEnd w:id="12"/>
            <w:bookmarkEnd w:id="13"/>
            <w:bookmarkEnd w:id="14"/>
          </w:p>
        </w:tc>
        <w:tc>
          <w:tcPr>
            <w:tcW w:w="1557" w:type="dxa"/>
            <w:vAlign w:val="center"/>
          </w:tcPr>
          <w:p w14:paraId="6728A7FC">
            <w:pPr>
              <w:spacing w:line="400" w:lineRule="atLeast"/>
              <w:jc w:val="center"/>
              <w:rPr>
                <w:rFonts w:hint="eastAsia" w:asciiTheme="majorEastAsia" w:hAnsiTheme="majorEastAsia" w:eastAsiaTheme="majorEastAsia" w:cstheme="majorEastAsia"/>
                <w:bCs/>
                <w:sz w:val="24"/>
              </w:rPr>
            </w:pPr>
            <w:bookmarkStart w:id="15" w:name="_Toc23380"/>
            <w:bookmarkStart w:id="16" w:name="_Toc27535"/>
            <w:bookmarkStart w:id="17" w:name="_Toc1567"/>
            <w:r>
              <w:rPr>
                <w:rFonts w:hint="eastAsia" w:asciiTheme="majorEastAsia" w:hAnsiTheme="majorEastAsia" w:eastAsiaTheme="majorEastAsia" w:cstheme="majorEastAsia"/>
                <w:bCs/>
                <w:sz w:val="24"/>
              </w:rPr>
              <w:t>【0.10 】</w:t>
            </w:r>
            <w:bookmarkEnd w:id="15"/>
            <w:bookmarkEnd w:id="16"/>
            <w:bookmarkEnd w:id="17"/>
          </w:p>
        </w:tc>
        <w:tc>
          <w:tcPr>
            <w:tcW w:w="1542" w:type="dxa"/>
            <w:vAlign w:val="center"/>
          </w:tcPr>
          <w:p w14:paraId="3F858696">
            <w:pPr>
              <w:spacing w:line="400" w:lineRule="atLeast"/>
              <w:jc w:val="center"/>
              <w:rPr>
                <w:rFonts w:hint="eastAsia" w:asciiTheme="majorEastAsia" w:hAnsiTheme="majorEastAsia" w:eastAsiaTheme="majorEastAsia" w:cstheme="majorEastAsia"/>
                <w:bCs/>
                <w:sz w:val="24"/>
              </w:rPr>
            </w:pPr>
            <w:bookmarkStart w:id="18" w:name="_Toc20212"/>
            <w:bookmarkStart w:id="19" w:name="_Toc9240"/>
            <w:bookmarkStart w:id="20" w:name="_Toc22075"/>
            <w:r>
              <w:rPr>
                <w:rFonts w:hint="eastAsia" w:asciiTheme="majorEastAsia" w:hAnsiTheme="majorEastAsia" w:eastAsiaTheme="majorEastAsia" w:cstheme="majorEastAsia"/>
                <w:bCs/>
                <w:sz w:val="24"/>
              </w:rPr>
              <w:t>100</w:t>
            </w:r>
            <w:bookmarkEnd w:id="18"/>
            <w:bookmarkEnd w:id="19"/>
            <w:bookmarkEnd w:id="20"/>
          </w:p>
        </w:tc>
        <w:tc>
          <w:tcPr>
            <w:tcW w:w="3473" w:type="dxa"/>
            <w:vAlign w:val="center"/>
          </w:tcPr>
          <w:p w14:paraId="5B2B22EE">
            <w:pPr>
              <w:spacing w:line="400" w:lineRule="atLeast"/>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10</w:t>
            </w:r>
          </w:p>
        </w:tc>
      </w:tr>
      <w:tr w14:paraId="5036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2936" w:type="dxa"/>
            <w:vAlign w:val="center"/>
          </w:tcPr>
          <w:p w14:paraId="415018A1">
            <w:pPr>
              <w:spacing w:line="400" w:lineRule="atLeast"/>
              <w:jc w:val="center"/>
              <w:rPr>
                <w:rFonts w:hint="eastAsia" w:asciiTheme="majorEastAsia" w:hAnsiTheme="majorEastAsia" w:eastAsiaTheme="majorEastAsia" w:cstheme="majorEastAsia"/>
                <w:bCs/>
                <w:sz w:val="24"/>
              </w:rPr>
            </w:pPr>
            <w:bookmarkStart w:id="21" w:name="_Toc23649"/>
            <w:bookmarkStart w:id="22" w:name="_Toc22915"/>
            <w:bookmarkStart w:id="23" w:name="_Toc23068"/>
            <w:r>
              <w:rPr>
                <w:rFonts w:hint="eastAsia" w:asciiTheme="majorEastAsia" w:hAnsiTheme="majorEastAsia" w:eastAsiaTheme="majorEastAsia" w:cstheme="majorEastAsia"/>
                <w:bCs/>
                <w:sz w:val="24"/>
              </w:rPr>
              <w:t>技术分</w:t>
            </w:r>
            <w:bookmarkEnd w:id="21"/>
            <w:bookmarkEnd w:id="22"/>
            <w:bookmarkEnd w:id="23"/>
          </w:p>
        </w:tc>
        <w:tc>
          <w:tcPr>
            <w:tcW w:w="1557" w:type="dxa"/>
            <w:vAlign w:val="center"/>
          </w:tcPr>
          <w:p w14:paraId="2E0644DD">
            <w:pPr>
              <w:spacing w:line="400" w:lineRule="atLeast"/>
              <w:jc w:val="center"/>
              <w:rPr>
                <w:rFonts w:hint="eastAsia" w:asciiTheme="majorEastAsia" w:hAnsiTheme="majorEastAsia" w:eastAsiaTheme="majorEastAsia" w:cstheme="majorEastAsia"/>
                <w:bCs/>
                <w:sz w:val="24"/>
              </w:rPr>
            </w:pPr>
            <w:bookmarkStart w:id="24" w:name="_Toc32655"/>
            <w:bookmarkStart w:id="25" w:name="_Toc25490"/>
            <w:bookmarkStart w:id="26" w:name="_Toc27005"/>
            <w:r>
              <w:rPr>
                <w:rFonts w:hint="eastAsia" w:asciiTheme="majorEastAsia" w:hAnsiTheme="majorEastAsia" w:eastAsiaTheme="majorEastAsia" w:cstheme="majorEastAsia"/>
                <w:bCs/>
                <w:sz w:val="24"/>
              </w:rPr>
              <w:t>【0.30 】</w:t>
            </w:r>
            <w:bookmarkEnd w:id="24"/>
            <w:bookmarkEnd w:id="25"/>
            <w:bookmarkEnd w:id="26"/>
          </w:p>
        </w:tc>
        <w:tc>
          <w:tcPr>
            <w:tcW w:w="1542" w:type="dxa"/>
            <w:vAlign w:val="center"/>
          </w:tcPr>
          <w:p w14:paraId="63F6EF26">
            <w:pPr>
              <w:spacing w:line="400" w:lineRule="atLeast"/>
              <w:jc w:val="center"/>
              <w:rPr>
                <w:rFonts w:hint="eastAsia" w:asciiTheme="majorEastAsia" w:hAnsiTheme="majorEastAsia" w:eastAsiaTheme="majorEastAsia" w:cstheme="majorEastAsia"/>
                <w:bCs/>
                <w:sz w:val="24"/>
              </w:rPr>
            </w:pPr>
            <w:bookmarkStart w:id="27" w:name="_Toc8503"/>
            <w:bookmarkStart w:id="28" w:name="_Toc18129"/>
            <w:bookmarkStart w:id="29" w:name="_Toc3455"/>
            <w:r>
              <w:rPr>
                <w:rFonts w:hint="eastAsia" w:asciiTheme="majorEastAsia" w:hAnsiTheme="majorEastAsia" w:eastAsiaTheme="majorEastAsia" w:cstheme="majorEastAsia"/>
                <w:bCs/>
                <w:sz w:val="24"/>
              </w:rPr>
              <w:t>100</w:t>
            </w:r>
            <w:bookmarkEnd w:id="27"/>
            <w:bookmarkEnd w:id="28"/>
            <w:bookmarkEnd w:id="29"/>
          </w:p>
        </w:tc>
        <w:tc>
          <w:tcPr>
            <w:tcW w:w="3473" w:type="dxa"/>
            <w:vAlign w:val="center"/>
          </w:tcPr>
          <w:p w14:paraId="177A6DBA">
            <w:pPr>
              <w:spacing w:line="400" w:lineRule="atLeast"/>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30</w:t>
            </w:r>
          </w:p>
        </w:tc>
      </w:tr>
      <w:tr w14:paraId="240E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2936" w:type="dxa"/>
            <w:vAlign w:val="center"/>
          </w:tcPr>
          <w:p w14:paraId="5008C1A6">
            <w:pPr>
              <w:spacing w:line="400" w:lineRule="atLeast"/>
              <w:jc w:val="center"/>
              <w:rPr>
                <w:rFonts w:hint="eastAsia" w:asciiTheme="majorEastAsia" w:hAnsiTheme="majorEastAsia" w:eastAsiaTheme="majorEastAsia" w:cstheme="majorEastAsia"/>
                <w:bCs/>
                <w:sz w:val="24"/>
              </w:rPr>
            </w:pPr>
            <w:bookmarkStart w:id="30" w:name="_Toc6659"/>
            <w:bookmarkStart w:id="31" w:name="_Toc6175"/>
            <w:bookmarkStart w:id="32" w:name="_Toc5589"/>
            <w:r>
              <w:rPr>
                <w:rFonts w:hint="eastAsia" w:asciiTheme="majorEastAsia" w:hAnsiTheme="majorEastAsia" w:eastAsiaTheme="majorEastAsia" w:cstheme="majorEastAsia"/>
                <w:bCs/>
                <w:sz w:val="24"/>
              </w:rPr>
              <w:t>商务分</w:t>
            </w:r>
            <w:bookmarkEnd w:id="30"/>
            <w:bookmarkEnd w:id="31"/>
            <w:bookmarkEnd w:id="32"/>
          </w:p>
        </w:tc>
        <w:tc>
          <w:tcPr>
            <w:tcW w:w="1557" w:type="dxa"/>
            <w:vAlign w:val="center"/>
          </w:tcPr>
          <w:p w14:paraId="2DEEACF0">
            <w:pPr>
              <w:spacing w:line="400" w:lineRule="atLeast"/>
              <w:jc w:val="center"/>
              <w:rPr>
                <w:rFonts w:hint="eastAsia" w:asciiTheme="majorEastAsia" w:hAnsiTheme="majorEastAsia" w:eastAsiaTheme="majorEastAsia" w:cstheme="majorEastAsia"/>
                <w:bCs/>
                <w:sz w:val="24"/>
              </w:rPr>
            </w:pPr>
            <w:bookmarkStart w:id="33" w:name="_Toc23019"/>
            <w:bookmarkStart w:id="34" w:name="_Toc7191"/>
            <w:bookmarkStart w:id="35" w:name="_Toc15553"/>
            <w:r>
              <w:rPr>
                <w:rFonts w:hint="eastAsia" w:asciiTheme="majorEastAsia" w:hAnsiTheme="majorEastAsia" w:eastAsiaTheme="majorEastAsia" w:cstheme="majorEastAsia"/>
                <w:bCs/>
                <w:sz w:val="24"/>
              </w:rPr>
              <w:t>【0.60 】</w:t>
            </w:r>
            <w:bookmarkEnd w:id="33"/>
            <w:bookmarkEnd w:id="34"/>
            <w:bookmarkEnd w:id="35"/>
          </w:p>
        </w:tc>
        <w:tc>
          <w:tcPr>
            <w:tcW w:w="1542" w:type="dxa"/>
            <w:vAlign w:val="center"/>
          </w:tcPr>
          <w:p w14:paraId="28793583">
            <w:pPr>
              <w:spacing w:line="400" w:lineRule="atLeast"/>
              <w:jc w:val="center"/>
              <w:rPr>
                <w:rFonts w:hint="eastAsia" w:asciiTheme="majorEastAsia" w:hAnsiTheme="majorEastAsia" w:eastAsiaTheme="majorEastAsia" w:cstheme="majorEastAsia"/>
                <w:bCs/>
                <w:sz w:val="24"/>
              </w:rPr>
            </w:pPr>
            <w:bookmarkStart w:id="36" w:name="_Toc18694"/>
            <w:bookmarkStart w:id="37" w:name="_Toc6517"/>
            <w:bookmarkStart w:id="38" w:name="_Toc7483"/>
            <w:r>
              <w:rPr>
                <w:rFonts w:hint="eastAsia" w:asciiTheme="majorEastAsia" w:hAnsiTheme="majorEastAsia" w:eastAsiaTheme="majorEastAsia" w:cstheme="majorEastAsia"/>
                <w:bCs/>
                <w:sz w:val="24"/>
              </w:rPr>
              <w:t>100</w:t>
            </w:r>
            <w:bookmarkEnd w:id="36"/>
            <w:bookmarkEnd w:id="37"/>
            <w:bookmarkEnd w:id="38"/>
          </w:p>
        </w:tc>
        <w:tc>
          <w:tcPr>
            <w:tcW w:w="3473" w:type="dxa"/>
            <w:vAlign w:val="center"/>
          </w:tcPr>
          <w:p w14:paraId="3ABD43A9">
            <w:pPr>
              <w:spacing w:line="400" w:lineRule="atLeast"/>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60</w:t>
            </w:r>
          </w:p>
        </w:tc>
      </w:tr>
    </w:tbl>
    <w:p w14:paraId="6DAFE6A7">
      <w:pPr>
        <w:spacing w:line="400" w:lineRule="atLeast"/>
        <w:rPr>
          <w:rFonts w:hint="eastAsia" w:asciiTheme="majorEastAsia" w:hAnsiTheme="majorEastAsia" w:eastAsiaTheme="majorEastAsia" w:cstheme="majorEastAsia"/>
          <w:b/>
          <w:bCs/>
          <w:sz w:val="24"/>
        </w:rPr>
      </w:pPr>
      <w:bookmarkStart w:id="39" w:name="_Toc18221"/>
      <w:bookmarkStart w:id="40" w:name="_Toc28855"/>
      <w:bookmarkStart w:id="41" w:name="_Toc1346"/>
      <w:r>
        <w:rPr>
          <w:rFonts w:hint="eastAsia" w:asciiTheme="majorEastAsia" w:hAnsiTheme="majorEastAsia" w:eastAsiaTheme="majorEastAsia" w:cstheme="majorEastAsia"/>
          <w:b/>
          <w:bCs/>
          <w:sz w:val="24"/>
        </w:rPr>
        <w:t>报价分： 10 分</w:t>
      </w:r>
      <w:bookmarkEnd w:id="39"/>
      <w:bookmarkEnd w:id="40"/>
      <w:bookmarkEnd w:id="41"/>
    </w:p>
    <w:tbl>
      <w:tblPr>
        <w:tblStyle w:val="2"/>
        <w:tblW w:w="9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8412"/>
      </w:tblGrid>
      <w:tr w14:paraId="01CF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132" w:type="dxa"/>
            <w:vAlign w:val="center"/>
          </w:tcPr>
          <w:p w14:paraId="556A6C0A">
            <w:pPr>
              <w:spacing w:line="400" w:lineRule="atLeast"/>
              <w:rPr>
                <w:rFonts w:hint="eastAsia" w:asciiTheme="majorEastAsia" w:hAnsiTheme="majorEastAsia" w:eastAsiaTheme="majorEastAsia" w:cstheme="majorEastAsia"/>
                <w:bCs/>
                <w:sz w:val="24"/>
              </w:rPr>
            </w:pPr>
            <w:bookmarkStart w:id="42" w:name="_Toc26182"/>
            <w:bookmarkStart w:id="43" w:name="_Toc28534"/>
            <w:bookmarkStart w:id="44" w:name="_Toc5594"/>
            <w:r>
              <w:rPr>
                <w:rFonts w:hint="eastAsia" w:asciiTheme="majorEastAsia" w:hAnsiTheme="majorEastAsia" w:eastAsiaTheme="majorEastAsia" w:cstheme="majorEastAsia"/>
                <w:bCs/>
                <w:sz w:val="24"/>
              </w:rPr>
              <w:t>评分项目</w:t>
            </w:r>
            <w:bookmarkEnd w:id="42"/>
            <w:bookmarkEnd w:id="43"/>
            <w:bookmarkEnd w:id="44"/>
          </w:p>
        </w:tc>
        <w:tc>
          <w:tcPr>
            <w:tcW w:w="8412" w:type="dxa"/>
            <w:vAlign w:val="center"/>
          </w:tcPr>
          <w:p w14:paraId="6016B86F">
            <w:pPr>
              <w:spacing w:line="400" w:lineRule="atLeast"/>
              <w:jc w:val="center"/>
              <w:rPr>
                <w:rFonts w:hint="eastAsia" w:asciiTheme="majorEastAsia" w:hAnsiTheme="majorEastAsia" w:eastAsiaTheme="majorEastAsia" w:cstheme="majorEastAsia"/>
                <w:sz w:val="24"/>
              </w:rPr>
            </w:pPr>
            <w:bookmarkStart w:id="45" w:name="_Toc8675"/>
            <w:bookmarkStart w:id="46" w:name="_Toc2836"/>
            <w:bookmarkStart w:id="47" w:name="_Toc25059"/>
            <w:r>
              <w:rPr>
                <w:rFonts w:hint="eastAsia" w:asciiTheme="majorEastAsia" w:hAnsiTheme="majorEastAsia" w:eastAsiaTheme="majorEastAsia" w:cstheme="majorEastAsia"/>
                <w:bCs/>
                <w:sz w:val="24"/>
              </w:rPr>
              <w:t>说   明</w:t>
            </w:r>
            <w:bookmarkEnd w:id="45"/>
            <w:bookmarkEnd w:id="46"/>
            <w:bookmarkEnd w:id="47"/>
          </w:p>
        </w:tc>
      </w:tr>
      <w:tr w14:paraId="70F1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2" w:type="dxa"/>
            <w:vAlign w:val="center"/>
          </w:tcPr>
          <w:p w14:paraId="5D20C552">
            <w:pPr>
              <w:spacing w:line="400" w:lineRule="atLeast"/>
              <w:jc w:val="center"/>
              <w:rPr>
                <w:rFonts w:hint="eastAsia" w:asciiTheme="majorEastAsia" w:hAnsiTheme="majorEastAsia" w:eastAsiaTheme="majorEastAsia" w:cstheme="majorEastAsia"/>
                <w:sz w:val="24"/>
              </w:rPr>
            </w:pPr>
            <w:bookmarkStart w:id="48" w:name="_Toc10818"/>
            <w:bookmarkStart w:id="49" w:name="_Toc24027"/>
            <w:bookmarkStart w:id="50" w:name="_Toc22855"/>
            <w:r>
              <w:rPr>
                <w:rFonts w:hint="eastAsia" w:asciiTheme="majorEastAsia" w:hAnsiTheme="majorEastAsia" w:eastAsiaTheme="majorEastAsia" w:cstheme="majorEastAsia"/>
                <w:bCs/>
                <w:sz w:val="24"/>
              </w:rPr>
              <w:t>报价</w:t>
            </w:r>
            <w:bookmarkEnd w:id="48"/>
            <w:bookmarkEnd w:id="49"/>
            <w:bookmarkEnd w:id="50"/>
          </w:p>
        </w:tc>
        <w:tc>
          <w:tcPr>
            <w:tcW w:w="8412" w:type="dxa"/>
          </w:tcPr>
          <w:p w14:paraId="02C55724">
            <w:pPr>
              <w:spacing w:line="400" w:lineRule="atLeast"/>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投标报价得分=(评标基准价／投标报价)×10</w:t>
            </w:r>
          </w:p>
          <w:p w14:paraId="4B173B05">
            <w:pPr>
              <w:spacing w:line="400" w:lineRule="atLeast"/>
              <w:rPr>
                <w:rFonts w:hint="eastAsia" w:asciiTheme="majorEastAsia" w:hAnsiTheme="majorEastAsia" w:eastAsiaTheme="majorEastAsia" w:cstheme="majorEastAsia"/>
                <w:bCs/>
                <w:sz w:val="24"/>
              </w:rPr>
            </w:pPr>
            <w:bookmarkStart w:id="51" w:name="_Toc28178"/>
            <w:bookmarkStart w:id="52" w:name="_Toc17204"/>
            <w:bookmarkStart w:id="53" w:name="_Toc17302"/>
            <w:r>
              <w:rPr>
                <w:rFonts w:hint="eastAsia" w:asciiTheme="majorEastAsia" w:hAnsiTheme="majorEastAsia" w:eastAsiaTheme="majorEastAsia" w:cstheme="majorEastAsia"/>
                <w:bCs/>
                <w:sz w:val="24"/>
              </w:rPr>
              <w:t>注：1.满足磋商文件要求且投标价格最低的投标报价为评标基准价，其价格分为满分。</w:t>
            </w:r>
          </w:p>
          <w:p w14:paraId="36758BC2">
            <w:pPr>
              <w:spacing w:line="400" w:lineRule="atLeast"/>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2.投标人投标报价超过预算价或最高限价或未按磋商文件要求进行报价的，作无效投标处理。</w:t>
            </w:r>
            <w:bookmarkEnd w:id="51"/>
            <w:bookmarkEnd w:id="52"/>
            <w:bookmarkEnd w:id="53"/>
          </w:p>
          <w:p w14:paraId="47F19795">
            <w:pPr>
              <w:spacing w:line="400" w:lineRule="atLeas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bCs/>
                <w:sz w:val="24"/>
              </w:rPr>
              <w:t>3.投标报价以最终报价为准。</w:t>
            </w:r>
          </w:p>
        </w:tc>
      </w:tr>
    </w:tbl>
    <w:p w14:paraId="359F0060">
      <w:pPr>
        <w:spacing w:line="400" w:lineRule="atLeas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商务分： 60 分</w:t>
      </w:r>
    </w:p>
    <w:tbl>
      <w:tblPr>
        <w:tblStyle w:val="2"/>
        <w:tblW w:w="9784" w:type="dxa"/>
        <w:jc w:val="center"/>
        <w:tblLayout w:type="fixed"/>
        <w:tblCellMar>
          <w:top w:w="0" w:type="dxa"/>
          <w:left w:w="108" w:type="dxa"/>
          <w:bottom w:w="0" w:type="dxa"/>
          <w:right w:w="108" w:type="dxa"/>
        </w:tblCellMar>
      </w:tblPr>
      <w:tblGrid>
        <w:gridCol w:w="1099"/>
        <w:gridCol w:w="720"/>
        <w:gridCol w:w="7965"/>
      </w:tblGrid>
      <w:tr w14:paraId="7287AE90">
        <w:tblPrEx>
          <w:tblCellMar>
            <w:top w:w="0" w:type="dxa"/>
            <w:left w:w="108" w:type="dxa"/>
            <w:bottom w:w="0" w:type="dxa"/>
            <w:right w:w="108" w:type="dxa"/>
          </w:tblCellMar>
        </w:tblPrEx>
        <w:trPr>
          <w:trHeight w:val="379" w:hRule="atLeast"/>
          <w:jc w:val="center"/>
        </w:trPr>
        <w:tc>
          <w:tcPr>
            <w:tcW w:w="1099" w:type="dxa"/>
            <w:tcBorders>
              <w:top w:val="single" w:color="auto" w:sz="4" w:space="0"/>
              <w:left w:val="single" w:color="auto" w:sz="4" w:space="0"/>
              <w:bottom w:val="single" w:color="auto" w:sz="4" w:space="0"/>
              <w:right w:val="single" w:color="auto" w:sz="4" w:space="0"/>
            </w:tcBorders>
            <w:vAlign w:val="center"/>
          </w:tcPr>
          <w:p w14:paraId="30ED828B">
            <w:pPr>
              <w:widowControl/>
              <w:spacing w:line="400" w:lineRule="atLeast"/>
              <w:jc w:val="center"/>
              <w:outlineLvl w:val="3"/>
              <w:rPr>
                <w:rFonts w:hint="eastAsia" w:asciiTheme="majorEastAsia" w:hAnsiTheme="majorEastAsia" w:eastAsiaTheme="majorEastAsia" w:cstheme="majorEastAsia"/>
                <w:b/>
                <w:bCs/>
                <w:kern w:val="0"/>
                <w:sz w:val="24"/>
              </w:rPr>
            </w:pPr>
            <w:r>
              <w:rPr>
                <w:rFonts w:hint="eastAsia" w:asciiTheme="majorEastAsia" w:hAnsiTheme="majorEastAsia" w:eastAsiaTheme="majorEastAsia" w:cstheme="majorEastAsia"/>
                <w:b/>
                <w:bCs/>
                <w:kern w:val="0"/>
                <w:sz w:val="24"/>
              </w:rPr>
              <w:t>评分项目</w:t>
            </w:r>
          </w:p>
        </w:tc>
        <w:tc>
          <w:tcPr>
            <w:tcW w:w="720" w:type="dxa"/>
            <w:tcBorders>
              <w:top w:val="single" w:color="auto" w:sz="4" w:space="0"/>
              <w:left w:val="nil"/>
              <w:bottom w:val="single" w:color="auto" w:sz="4" w:space="0"/>
              <w:right w:val="single" w:color="auto" w:sz="4" w:space="0"/>
            </w:tcBorders>
            <w:vAlign w:val="center"/>
          </w:tcPr>
          <w:p w14:paraId="18570408">
            <w:pPr>
              <w:widowControl/>
              <w:spacing w:line="400" w:lineRule="atLeast"/>
              <w:jc w:val="center"/>
              <w:outlineLvl w:val="3"/>
              <w:rPr>
                <w:rFonts w:hint="eastAsia" w:asciiTheme="majorEastAsia" w:hAnsiTheme="majorEastAsia" w:eastAsiaTheme="majorEastAsia" w:cstheme="majorEastAsia"/>
                <w:b/>
                <w:bCs/>
                <w:kern w:val="0"/>
                <w:sz w:val="24"/>
              </w:rPr>
            </w:pPr>
            <w:r>
              <w:rPr>
                <w:rFonts w:hint="eastAsia" w:asciiTheme="majorEastAsia" w:hAnsiTheme="majorEastAsia" w:eastAsiaTheme="majorEastAsia" w:cstheme="majorEastAsia"/>
                <w:b/>
                <w:bCs/>
                <w:kern w:val="0"/>
                <w:sz w:val="24"/>
              </w:rPr>
              <w:t>分值</w:t>
            </w:r>
          </w:p>
        </w:tc>
        <w:tc>
          <w:tcPr>
            <w:tcW w:w="7965" w:type="dxa"/>
            <w:tcBorders>
              <w:top w:val="single" w:color="auto" w:sz="4" w:space="0"/>
              <w:left w:val="nil"/>
              <w:bottom w:val="single" w:color="auto" w:sz="4" w:space="0"/>
              <w:right w:val="single" w:color="auto" w:sz="4" w:space="0"/>
            </w:tcBorders>
            <w:vAlign w:val="center"/>
          </w:tcPr>
          <w:p w14:paraId="7C4DF58C">
            <w:pPr>
              <w:widowControl/>
              <w:spacing w:line="400" w:lineRule="atLeast"/>
              <w:jc w:val="center"/>
              <w:outlineLvl w:val="3"/>
              <w:rPr>
                <w:rFonts w:hint="eastAsia" w:asciiTheme="majorEastAsia" w:hAnsiTheme="majorEastAsia" w:eastAsiaTheme="majorEastAsia" w:cstheme="majorEastAsia"/>
                <w:b/>
                <w:bCs/>
                <w:kern w:val="0"/>
                <w:sz w:val="24"/>
              </w:rPr>
            </w:pPr>
            <w:r>
              <w:rPr>
                <w:rFonts w:hint="eastAsia" w:asciiTheme="majorEastAsia" w:hAnsiTheme="majorEastAsia" w:eastAsiaTheme="majorEastAsia" w:cstheme="majorEastAsia"/>
                <w:b/>
                <w:bCs/>
                <w:kern w:val="0"/>
                <w:sz w:val="24"/>
              </w:rPr>
              <w:t>评分标准</w:t>
            </w:r>
          </w:p>
        </w:tc>
      </w:tr>
      <w:tr w14:paraId="17E0B8E8">
        <w:tblPrEx>
          <w:tblCellMar>
            <w:top w:w="0" w:type="dxa"/>
            <w:left w:w="108" w:type="dxa"/>
            <w:bottom w:w="0" w:type="dxa"/>
            <w:right w:w="108" w:type="dxa"/>
          </w:tblCellMar>
        </w:tblPrEx>
        <w:trPr>
          <w:trHeight w:val="90" w:hRule="atLeast"/>
          <w:jc w:val="center"/>
        </w:trPr>
        <w:tc>
          <w:tcPr>
            <w:tcW w:w="1099" w:type="dxa"/>
            <w:tcBorders>
              <w:top w:val="single" w:color="auto" w:sz="4" w:space="0"/>
              <w:left w:val="single" w:color="auto" w:sz="4" w:space="0"/>
              <w:bottom w:val="single" w:color="auto" w:sz="4" w:space="0"/>
              <w:right w:val="single" w:color="auto" w:sz="4" w:space="0"/>
            </w:tcBorders>
            <w:vAlign w:val="center"/>
          </w:tcPr>
          <w:p w14:paraId="097DB17C">
            <w:pPr>
              <w:widowControl/>
              <w:wordWrap w:val="0"/>
              <w:spacing w:line="400" w:lineRule="atLeast"/>
              <w:jc w:val="left"/>
              <w:rPr>
                <w:rFonts w:hint="eastAsia" w:asciiTheme="majorEastAsia" w:hAnsiTheme="majorEastAsia" w:eastAsiaTheme="majorEastAsia" w:cstheme="majorEastAsia"/>
                <w:sz w:val="24"/>
                <w:lang w:val="zh-TW" w:bidi="ar"/>
              </w:rPr>
            </w:pPr>
            <w:r>
              <w:rPr>
                <w:rFonts w:hint="eastAsia" w:asciiTheme="majorEastAsia" w:hAnsiTheme="majorEastAsia" w:eastAsiaTheme="majorEastAsia" w:cstheme="majorEastAsia"/>
                <w:sz w:val="24"/>
                <w:lang w:val="zh-TW" w:bidi="ar"/>
              </w:rPr>
              <w:t>资质及能力</w:t>
            </w:r>
          </w:p>
        </w:tc>
        <w:tc>
          <w:tcPr>
            <w:tcW w:w="720" w:type="dxa"/>
            <w:tcBorders>
              <w:top w:val="single" w:color="auto" w:sz="4" w:space="0"/>
              <w:left w:val="nil"/>
              <w:bottom w:val="single" w:color="auto" w:sz="4" w:space="0"/>
              <w:right w:val="single" w:color="auto" w:sz="4" w:space="0"/>
            </w:tcBorders>
            <w:vAlign w:val="center"/>
          </w:tcPr>
          <w:p w14:paraId="4FF47BF6">
            <w:pPr>
              <w:spacing w:line="400" w:lineRule="atLeast"/>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12</w:t>
            </w:r>
          </w:p>
        </w:tc>
        <w:tc>
          <w:tcPr>
            <w:tcW w:w="7965" w:type="dxa"/>
            <w:tcBorders>
              <w:top w:val="single" w:color="auto" w:sz="4" w:space="0"/>
              <w:left w:val="nil"/>
              <w:bottom w:val="single" w:color="auto" w:sz="4" w:space="0"/>
              <w:right w:val="single" w:color="auto" w:sz="4" w:space="0"/>
            </w:tcBorders>
            <w:vAlign w:val="center"/>
          </w:tcPr>
          <w:p w14:paraId="3A2D0D77">
            <w:pPr>
              <w:pStyle w:val="4"/>
              <w:spacing w:line="400" w:lineRule="atLeas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1、供应商具有效的ISO9001质量管理体系认证证书得4分；</w:t>
            </w:r>
          </w:p>
          <w:p w14:paraId="611E7BA0">
            <w:pPr>
              <w:pStyle w:val="4"/>
              <w:spacing w:line="400" w:lineRule="atLeas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b/>
                <w:bCs/>
                <w:sz w:val="24"/>
              </w:rPr>
              <w:t>2</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color w:val="auto"/>
                <w:sz w:val="24"/>
              </w:rPr>
              <w:t>供应商具备有效的IS0 20000信息技术服务管理体系证书得4分；</w:t>
            </w:r>
          </w:p>
          <w:p w14:paraId="60676E0F">
            <w:pPr>
              <w:pStyle w:val="4"/>
              <w:spacing w:line="400" w:lineRule="atLeas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3、</w:t>
            </w:r>
            <w:bookmarkStart w:id="54" w:name="OLE_LINK1"/>
            <w:r>
              <w:rPr>
                <w:rFonts w:hint="eastAsia" w:asciiTheme="majorEastAsia" w:hAnsiTheme="majorEastAsia" w:eastAsiaTheme="majorEastAsia" w:cstheme="majorEastAsia"/>
                <w:sz w:val="24"/>
              </w:rPr>
              <w:t>供应商具备中国网络安全审查认证和信息安全服务资质认证证书（信息安全风险评估）得4分；</w:t>
            </w:r>
            <w:bookmarkEnd w:id="54"/>
          </w:p>
        </w:tc>
      </w:tr>
      <w:tr w14:paraId="013B8A27">
        <w:tblPrEx>
          <w:tblCellMar>
            <w:top w:w="0" w:type="dxa"/>
            <w:left w:w="108" w:type="dxa"/>
            <w:bottom w:w="0" w:type="dxa"/>
            <w:right w:w="108" w:type="dxa"/>
          </w:tblCellMar>
        </w:tblPrEx>
        <w:trPr>
          <w:trHeight w:val="598" w:hRule="atLeast"/>
          <w:jc w:val="center"/>
        </w:trPr>
        <w:tc>
          <w:tcPr>
            <w:tcW w:w="1099" w:type="dxa"/>
            <w:tcBorders>
              <w:top w:val="single" w:color="auto" w:sz="4" w:space="0"/>
              <w:left w:val="single" w:color="auto" w:sz="4" w:space="0"/>
              <w:bottom w:val="single" w:color="auto" w:sz="4" w:space="0"/>
              <w:right w:val="single" w:color="auto" w:sz="4" w:space="0"/>
            </w:tcBorders>
            <w:vAlign w:val="center"/>
          </w:tcPr>
          <w:p w14:paraId="2C762B3F">
            <w:pPr>
              <w:widowControl/>
              <w:wordWrap w:val="0"/>
              <w:spacing w:line="400" w:lineRule="atLeast"/>
              <w:jc w:val="left"/>
              <w:rPr>
                <w:rFonts w:hint="eastAsia" w:asciiTheme="majorEastAsia" w:hAnsiTheme="majorEastAsia" w:eastAsiaTheme="majorEastAsia" w:cstheme="majorEastAsia"/>
                <w:sz w:val="24"/>
                <w:lang w:val="zh-TW" w:bidi="ar"/>
              </w:rPr>
            </w:pPr>
            <w:r>
              <w:rPr>
                <w:rFonts w:hint="eastAsia" w:asciiTheme="majorEastAsia" w:hAnsiTheme="majorEastAsia" w:eastAsiaTheme="majorEastAsia" w:cstheme="majorEastAsia"/>
                <w:sz w:val="24"/>
                <w:lang w:val="zh-TW" w:bidi="ar"/>
              </w:rPr>
              <w:t>人员具备资质及能力</w:t>
            </w:r>
          </w:p>
        </w:tc>
        <w:tc>
          <w:tcPr>
            <w:tcW w:w="720" w:type="dxa"/>
            <w:tcBorders>
              <w:top w:val="single" w:color="auto" w:sz="4" w:space="0"/>
              <w:left w:val="nil"/>
              <w:bottom w:val="single" w:color="auto" w:sz="4" w:space="0"/>
              <w:right w:val="single" w:color="auto" w:sz="4" w:space="0"/>
            </w:tcBorders>
            <w:vAlign w:val="center"/>
          </w:tcPr>
          <w:p w14:paraId="59AA7D5C">
            <w:pPr>
              <w:spacing w:line="400" w:lineRule="atLeast"/>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30</w:t>
            </w:r>
          </w:p>
        </w:tc>
        <w:tc>
          <w:tcPr>
            <w:tcW w:w="7965" w:type="dxa"/>
            <w:tcBorders>
              <w:top w:val="single" w:color="auto" w:sz="4" w:space="0"/>
              <w:left w:val="nil"/>
              <w:bottom w:val="single" w:color="auto" w:sz="4" w:space="0"/>
              <w:right w:val="single" w:color="auto" w:sz="4" w:space="0"/>
            </w:tcBorders>
            <w:vAlign w:val="center"/>
          </w:tcPr>
          <w:p w14:paraId="54AD00CD">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（1）项目负责人（1人）</w:t>
            </w:r>
          </w:p>
          <w:p w14:paraId="76054888">
            <w:pPr>
              <w:widowControl/>
              <w:wordWrap w:val="0"/>
              <w:spacing w:line="400" w:lineRule="atLeast"/>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具备</w:t>
            </w:r>
            <w:bookmarkStart w:id="55" w:name="OLE_LINK22"/>
            <w:r>
              <w:rPr>
                <w:rFonts w:hint="eastAsia" w:asciiTheme="majorEastAsia" w:hAnsiTheme="majorEastAsia" w:eastAsiaTheme="majorEastAsia" w:cstheme="majorEastAsia"/>
                <w:color w:val="auto"/>
                <w:sz w:val="24"/>
              </w:rPr>
              <w:t>网络安全等级测评师证书（高级）</w:t>
            </w:r>
            <w:bookmarkEnd w:id="55"/>
            <w:r>
              <w:rPr>
                <w:rFonts w:hint="eastAsia" w:asciiTheme="majorEastAsia" w:hAnsiTheme="majorEastAsia" w:eastAsiaTheme="majorEastAsia" w:cstheme="majorEastAsia"/>
                <w:color w:val="auto"/>
                <w:sz w:val="24"/>
              </w:rPr>
              <w:t>，得</w:t>
            </w:r>
            <w:r>
              <w:rPr>
                <w:rFonts w:hint="eastAsia" w:asciiTheme="majorEastAsia" w:hAnsiTheme="majorEastAsia" w:eastAsiaTheme="majorEastAsia" w:cstheme="majorEastAsia"/>
                <w:color w:val="auto"/>
                <w:sz w:val="24"/>
                <w:lang w:val="en-US" w:eastAsia="zh-CN"/>
              </w:rPr>
              <w:t>3</w:t>
            </w:r>
            <w:r>
              <w:rPr>
                <w:rFonts w:hint="eastAsia" w:asciiTheme="majorEastAsia" w:hAnsiTheme="majorEastAsia" w:eastAsiaTheme="majorEastAsia" w:cstheme="majorEastAsia"/>
                <w:color w:val="auto"/>
                <w:sz w:val="24"/>
              </w:rPr>
              <w:t>分。</w:t>
            </w:r>
          </w:p>
          <w:p w14:paraId="22877FF0">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具备网络与信息安全管理师证书得</w:t>
            </w:r>
            <w:r>
              <w:rPr>
                <w:rFonts w:hint="eastAsia" w:asciiTheme="majorEastAsia" w:hAnsiTheme="majorEastAsia" w:eastAsiaTheme="majorEastAsia" w:cstheme="majorEastAsia"/>
                <w:sz w:val="24"/>
                <w:lang w:val="en-US" w:eastAsia="zh-CN"/>
              </w:rPr>
              <w:t>3</w:t>
            </w:r>
            <w:r>
              <w:rPr>
                <w:rFonts w:hint="eastAsia" w:asciiTheme="majorEastAsia" w:hAnsiTheme="majorEastAsia" w:eastAsiaTheme="majorEastAsia" w:cstheme="majorEastAsia"/>
                <w:sz w:val="24"/>
              </w:rPr>
              <w:t>分</w:t>
            </w:r>
          </w:p>
          <w:p w14:paraId="64BF084A">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具备注册渗透测试专家（CISP-PTS）证书得2分</w:t>
            </w:r>
          </w:p>
          <w:p w14:paraId="735D3388">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具备</w:t>
            </w:r>
            <w:r>
              <w:rPr>
                <w:rFonts w:hint="eastAsia" w:asciiTheme="majorEastAsia" w:hAnsiTheme="majorEastAsia" w:eastAsiaTheme="majorEastAsia" w:cstheme="majorEastAsia"/>
                <w:sz w:val="24"/>
                <w:lang w:val="en-US" w:eastAsia="zh-CN"/>
              </w:rPr>
              <w:t>其他任意一种</w:t>
            </w:r>
            <w:r>
              <w:rPr>
                <w:rFonts w:hint="eastAsia" w:asciiTheme="majorEastAsia" w:hAnsiTheme="majorEastAsia" w:eastAsiaTheme="majorEastAsia" w:cstheme="majorEastAsia"/>
                <w:sz w:val="24"/>
              </w:rPr>
              <w:t>CISP 注册证书得2分</w:t>
            </w:r>
          </w:p>
          <w:p w14:paraId="012B2FCB">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本项满分10分。</w:t>
            </w:r>
          </w:p>
          <w:p w14:paraId="03B5A3B5">
            <w:pPr>
              <w:widowControl/>
              <w:numPr>
                <w:ilvl w:val="0"/>
                <w:numId w:val="1"/>
              </w:numPr>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质量管理人员（1人）</w:t>
            </w:r>
          </w:p>
          <w:p w14:paraId="3FC558DC">
            <w:pPr>
              <w:widowControl/>
              <w:wordWrap w:val="0"/>
              <w:spacing w:line="400" w:lineRule="atLeast"/>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具备</w:t>
            </w:r>
            <w:bookmarkStart w:id="56" w:name="OLE_LINK23"/>
            <w:r>
              <w:rPr>
                <w:rFonts w:hint="eastAsia" w:asciiTheme="majorEastAsia" w:hAnsiTheme="majorEastAsia" w:eastAsiaTheme="majorEastAsia" w:cstheme="majorEastAsia"/>
                <w:color w:val="auto"/>
                <w:sz w:val="24"/>
              </w:rPr>
              <w:t>网络安全等级测评师证书</w:t>
            </w:r>
            <w:bookmarkEnd w:id="56"/>
            <w:r>
              <w:rPr>
                <w:rFonts w:hint="eastAsia" w:asciiTheme="majorEastAsia" w:hAnsiTheme="majorEastAsia" w:eastAsiaTheme="majorEastAsia" w:cstheme="majorEastAsia"/>
                <w:color w:val="auto"/>
                <w:sz w:val="24"/>
              </w:rPr>
              <w:t>（中级及以上），得</w:t>
            </w:r>
            <w:r>
              <w:rPr>
                <w:rFonts w:hint="eastAsia" w:asciiTheme="majorEastAsia" w:hAnsiTheme="majorEastAsia" w:eastAsiaTheme="majorEastAsia" w:cstheme="majorEastAsia"/>
                <w:color w:val="auto"/>
                <w:sz w:val="24"/>
                <w:lang w:val="en-US" w:eastAsia="zh-CN"/>
              </w:rPr>
              <w:t>2</w:t>
            </w:r>
            <w:r>
              <w:rPr>
                <w:rFonts w:hint="eastAsia" w:asciiTheme="majorEastAsia" w:hAnsiTheme="majorEastAsia" w:eastAsiaTheme="majorEastAsia" w:cstheme="majorEastAsia"/>
                <w:color w:val="auto"/>
                <w:sz w:val="24"/>
              </w:rPr>
              <w:t>分</w:t>
            </w:r>
          </w:p>
          <w:p w14:paraId="3A0E3A66">
            <w:pPr>
              <w:widowControl/>
              <w:wordWrap w:val="0"/>
              <w:spacing w:line="400" w:lineRule="atLeast"/>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具备中国网络安全审查技术与认证中心颁发的信息安全保障人员认证证书（CISAW）得</w:t>
            </w:r>
            <w:r>
              <w:rPr>
                <w:rFonts w:hint="eastAsia" w:asciiTheme="majorEastAsia" w:hAnsiTheme="majorEastAsia" w:eastAsiaTheme="majorEastAsia" w:cstheme="majorEastAsia"/>
                <w:color w:val="auto"/>
                <w:sz w:val="24"/>
                <w:lang w:val="en-US" w:eastAsia="zh-CN"/>
              </w:rPr>
              <w:t>3</w:t>
            </w:r>
            <w:r>
              <w:rPr>
                <w:rFonts w:hint="eastAsia" w:asciiTheme="majorEastAsia" w:hAnsiTheme="majorEastAsia" w:eastAsiaTheme="majorEastAsia" w:cstheme="majorEastAsia"/>
                <w:color w:val="auto"/>
                <w:sz w:val="24"/>
              </w:rPr>
              <w:t>分</w:t>
            </w:r>
          </w:p>
          <w:p w14:paraId="1A104673">
            <w:pPr>
              <w:widowControl/>
              <w:wordWrap w:val="0"/>
              <w:spacing w:line="400" w:lineRule="atLeast"/>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具备数据安全评估师（CCRC-DSA）得</w:t>
            </w:r>
            <w:r>
              <w:rPr>
                <w:rFonts w:hint="eastAsia" w:asciiTheme="majorEastAsia" w:hAnsiTheme="majorEastAsia" w:eastAsiaTheme="majorEastAsia" w:cstheme="majorEastAsia"/>
                <w:color w:val="auto"/>
                <w:sz w:val="24"/>
                <w:lang w:val="en-US" w:eastAsia="zh-CN"/>
              </w:rPr>
              <w:t>3</w:t>
            </w:r>
            <w:r>
              <w:rPr>
                <w:rFonts w:hint="eastAsia" w:asciiTheme="majorEastAsia" w:hAnsiTheme="majorEastAsia" w:eastAsiaTheme="majorEastAsia" w:cstheme="majorEastAsia"/>
                <w:color w:val="auto"/>
                <w:sz w:val="24"/>
              </w:rPr>
              <w:t>分。</w:t>
            </w:r>
          </w:p>
          <w:p w14:paraId="53E53D26">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本项满分8分。</w:t>
            </w:r>
          </w:p>
          <w:p w14:paraId="263B9027">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（3）渗透测试工程师（1名）</w:t>
            </w:r>
          </w:p>
          <w:p w14:paraId="16B5DC7A">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color w:val="auto"/>
                <w:sz w:val="24"/>
              </w:rPr>
              <w:t>在网络安全等级测评师证书的基础上，</w:t>
            </w:r>
            <w:r>
              <w:rPr>
                <w:rFonts w:hint="eastAsia" w:asciiTheme="majorEastAsia" w:hAnsiTheme="majorEastAsia" w:eastAsiaTheme="majorEastAsia" w:cstheme="majorEastAsia"/>
                <w:color w:val="auto"/>
                <w:sz w:val="24"/>
                <w:lang w:val="en-US" w:eastAsia="zh-CN"/>
              </w:rPr>
              <w:t>同时</w:t>
            </w:r>
            <w:r>
              <w:rPr>
                <w:rFonts w:hint="eastAsia" w:asciiTheme="majorEastAsia" w:hAnsiTheme="majorEastAsia" w:eastAsiaTheme="majorEastAsia" w:cstheme="majorEastAsia"/>
                <w:color w:val="auto"/>
                <w:sz w:val="24"/>
              </w:rPr>
              <w:t>具有</w:t>
            </w:r>
            <w:r>
              <w:rPr>
                <w:rFonts w:hint="eastAsia" w:asciiTheme="majorEastAsia" w:hAnsiTheme="majorEastAsia" w:eastAsiaTheme="majorEastAsia" w:cstheme="majorEastAsia"/>
                <w:color w:val="auto"/>
                <w:sz w:val="24"/>
                <w:lang w:val="en-US" w:eastAsia="zh-CN"/>
              </w:rPr>
              <w:t>国内官方认证的</w:t>
            </w:r>
            <w:r>
              <w:rPr>
                <w:rFonts w:hint="eastAsia" w:asciiTheme="majorEastAsia" w:hAnsiTheme="majorEastAsia" w:eastAsiaTheme="majorEastAsia" w:cstheme="majorEastAsia"/>
                <w:color w:val="auto"/>
                <w:sz w:val="24"/>
              </w:rPr>
              <w:t>网络安全渗透评估专业人员</w:t>
            </w:r>
            <w:r>
              <w:rPr>
                <w:rFonts w:hint="eastAsia" w:asciiTheme="majorEastAsia" w:hAnsiTheme="majorEastAsia" w:eastAsiaTheme="majorEastAsia" w:cstheme="majorEastAsia"/>
                <w:color w:val="auto"/>
                <w:sz w:val="24"/>
                <w:lang w:val="en-US" w:eastAsia="zh-CN"/>
              </w:rPr>
              <w:t>相关证书</w:t>
            </w:r>
            <w:r>
              <w:rPr>
                <w:rFonts w:hint="eastAsia" w:asciiTheme="majorEastAsia" w:hAnsiTheme="majorEastAsia" w:eastAsiaTheme="majorEastAsia" w:cstheme="majorEastAsia"/>
                <w:color w:val="auto"/>
                <w:sz w:val="24"/>
              </w:rPr>
              <w:t>得4分</w:t>
            </w:r>
            <w:r>
              <w:rPr>
                <w:rFonts w:hint="eastAsia" w:asciiTheme="majorEastAsia" w:hAnsiTheme="majorEastAsia" w:eastAsiaTheme="majorEastAsia" w:cstheme="majorEastAsia"/>
                <w:sz w:val="24"/>
              </w:rPr>
              <w:t>。</w:t>
            </w:r>
          </w:p>
          <w:p w14:paraId="73317EB0">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（4）项目成员：</w:t>
            </w:r>
          </w:p>
          <w:p w14:paraId="627D6E20">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具有1名网络安全等级测评师证书（高级）得2分；</w:t>
            </w:r>
          </w:p>
          <w:p w14:paraId="29D75106">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具有2名及以上网络安全等级测评师证书（</w:t>
            </w:r>
            <w:r>
              <w:rPr>
                <w:rFonts w:hint="eastAsia" w:asciiTheme="majorEastAsia" w:hAnsiTheme="majorEastAsia" w:eastAsiaTheme="majorEastAsia" w:cstheme="majorEastAsia"/>
                <w:sz w:val="24"/>
                <w:lang w:val="en-US" w:eastAsia="zh-CN"/>
              </w:rPr>
              <w:t>中级</w:t>
            </w:r>
            <w:r>
              <w:rPr>
                <w:rFonts w:hint="eastAsia" w:asciiTheme="majorEastAsia" w:hAnsiTheme="majorEastAsia" w:eastAsiaTheme="majorEastAsia" w:cstheme="majorEastAsia"/>
                <w:sz w:val="24"/>
              </w:rPr>
              <w:t>）得2分；</w:t>
            </w:r>
          </w:p>
          <w:p w14:paraId="03293227">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项目成员中具备测评师证书同时具备职业能力认证证书（密码技术应用），每提供1名成员得2分，满分4分。</w:t>
            </w:r>
          </w:p>
          <w:p w14:paraId="5A4837FD">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注：以上人员不能重复，提供人员身份证复印件、资质证书、2025年1月以来任意连续三个月在投标人单位的社保缴费证明，加盖供应商公章。如人员无身份证件、资质证书、投标人为其缴纳社保的证明，则该人员不做计分。</w:t>
            </w:r>
          </w:p>
        </w:tc>
      </w:tr>
      <w:tr w14:paraId="63589864">
        <w:tblPrEx>
          <w:tblCellMar>
            <w:top w:w="0" w:type="dxa"/>
            <w:left w:w="108" w:type="dxa"/>
            <w:bottom w:w="0" w:type="dxa"/>
            <w:right w:w="108" w:type="dxa"/>
          </w:tblCellMar>
        </w:tblPrEx>
        <w:trPr>
          <w:trHeight w:val="90" w:hRule="atLeast"/>
          <w:jc w:val="center"/>
        </w:trPr>
        <w:tc>
          <w:tcPr>
            <w:tcW w:w="1099" w:type="dxa"/>
            <w:tcBorders>
              <w:top w:val="single" w:color="auto" w:sz="4" w:space="0"/>
              <w:left w:val="single" w:color="auto" w:sz="4" w:space="0"/>
              <w:bottom w:val="single" w:color="auto" w:sz="4" w:space="0"/>
              <w:right w:val="single" w:color="auto" w:sz="4" w:space="0"/>
            </w:tcBorders>
            <w:vAlign w:val="center"/>
          </w:tcPr>
          <w:p w14:paraId="54C124D7">
            <w:pPr>
              <w:widowControl/>
              <w:wordWrap w:val="0"/>
              <w:spacing w:line="400" w:lineRule="atLeast"/>
              <w:jc w:val="left"/>
              <w:rPr>
                <w:rFonts w:hint="eastAsia" w:asciiTheme="majorEastAsia" w:hAnsiTheme="majorEastAsia" w:eastAsiaTheme="majorEastAsia" w:cstheme="majorEastAsia"/>
                <w:sz w:val="24"/>
                <w:lang w:bidi="ar"/>
              </w:rPr>
            </w:pPr>
            <w:r>
              <w:rPr>
                <w:rFonts w:hint="eastAsia" w:asciiTheme="majorEastAsia" w:hAnsiTheme="majorEastAsia" w:eastAsiaTheme="majorEastAsia" w:cstheme="majorEastAsia"/>
                <w:sz w:val="24"/>
                <w:lang w:bidi="ar"/>
              </w:rPr>
              <w:t>业绩</w:t>
            </w:r>
          </w:p>
        </w:tc>
        <w:tc>
          <w:tcPr>
            <w:tcW w:w="720" w:type="dxa"/>
            <w:tcBorders>
              <w:top w:val="single" w:color="auto" w:sz="4" w:space="0"/>
              <w:left w:val="nil"/>
              <w:bottom w:val="single" w:color="auto" w:sz="4" w:space="0"/>
              <w:right w:val="single" w:color="auto" w:sz="4" w:space="0"/>
            </w:tcBorders>
            <w:vAlign w:val="center"/>
          </w:tcPr>
          <w:p w14:paraId="7E77389E">
            <w:pPr>
              <w:spacing w:line="400" w:lineRule="atLeast"/>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6</w:t>
            </w:r>
          </w:p>
        </w:tc>
        <w:tc>
          <w:tcPr>
            <w:tcW w:w="7965" w:type="dxa"/>
            <w:tcBorders>
              <w:top w:val="single" w:color="auto" w:sz="4" w:space="0"/>
              <w:left w:val="nil"/>
              <w:bottom w:val="single" w:color="auto" w:sz="4" w:space="0"/>
              <w:right w:val="single" w:color="auto" w:sz="4" w:space="0"/>
            </w:tcBorders>
            <w:vAlign w:val="center"/>
          </w:tcPr>
          <w:p w14:paraId="5F88134E">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2022年以来对投标人完成过等保测评服务成功案例进行评分[以合同关键页（包括双方盖章、合同金额、签约时间、采购内容）复印件为准，不重复计分]。每提供1个等保测评服务成功案例得2分，本项满分6分。</w:t>
            </w:r>
          </w:p>
        </w:tc>
      </w:tr>
      <w:tr w14:paraId="19F96DDB">
        <w:tblPrEx>
          <w:tblCellMar>
            <w:top w:w="0" w:type="dxa"/>
            <w:left w:w="108" w:type="dxa"/>
            <w:bottom w:w="0" w:type="dxa"/>
            <w:right w:w="108" w:type="dxa"/>
          </w:tblCellMar>
        </w:tblPrEx>
        <w:trPr>
          <w:trHeight w:val="90" w:hRule="atLeast"/>
          <w:jc w:val="center"/>
        </w:trPr>
        <w:tc>
          <w:tcPr>
            <w:tcW w:w="1099" w:type="dxa"/>
            <w:tcBorders>
              <w:top w:val="single" w:color="auto" w:sz="4" w:space="0"/>
              <w:left w:val="single" w:color="auto" w:sz="4" w:space="0"/>
              <w:bottom w:val="single" w:color="auto" w:sz="4" w:space="0"/>
              <w:right w:val="single" w:color="auto" w:sz="4" w:space="0"/>
            </w:tcBorders>
            <w:vAlign w:val="center"/>
          </w:tcPr>
          <w:p w14:paraId="07582520">
            <w:pPr>
              <w:widowControl/>
              <w:wordWrap w:val="0"/>
              <w:spacing w:line="400" w:lineRule="atLeast"/>
              <w:jc w:val="left"/>
              <w:rPr>
                <w:rFonts w:hint="eastAsia" w:asciiTheme="majorEastAsia" w:hAnsiTheme="majorEastAsia" w:eastAsiaTheme="majorEastAsia" w:cstheme="majorEastAsia"/>
                <w:sz w:val="24"/>
                <w:lang w:bidi="ar"/>
              </w:rPr>
            </w:pPr>
            <w:r>
              <w:rPr>
                <w:rFonts w:hint="eastAsia" w:asciiTheme="majorEastAsia" w:hAnsiTheme="majorEastAsia" w:eastAsiaTheme="majorEastAsia" w:cstheme="majorEastAsia"/>
                <w:sz w:val="24"/>
                <w:lang w:bidi="ar"/>
              </w:rPr>
              <w:t>服务承诺</w:t>
            </w:r>
          </w:p>
        </w:tc>
        <w:tc>
          <w:tcPr>
            <w:tcW w:w="720" w:type="dxa"/>
            <w:tcBorders>
              <w:top w:val="single" w:color="auto" w:sz="4" w:space="0"/>
              <w:left w:val="nil"/>
              <w:bottom w:val="single" w:color="auto" w:sz="4" w:space="0"/>
              <w:right w:val="single" w:color="auto" w:sz="4" w:space="0"/>
            </w:tcBorders>
            <w:vAlign w:val="center"/>
          </w:tcPr>
          <w:p w14:paraId="338D4807">
            <w:pPr>
              <w:spacing w:line="400" w:lineRule="atLeast"/>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12</w:t>
            </w:r>
          </w:p>
        </w:tc>
        <w:tc>
          <w:tcPr>
            <w:tcW w:w="7965" w:type="dxa"/>
            <w:tcBorders>
              <w:top w:val="single" w:color="auto" w:sz="4" w:space="0"/>
              <w:left w:val="nil"/>
              <w:bottom w:val="single" w:color="auto" w:sz="4" w:space="0"/>
              <w:right w:val="single" w:color="auto" w:sz="4" w:space="0"/>
            </w:tcBorders>
            <w:vAlign w:val="center"/>
          </w:tcPr>
          <w:p w14:paraId="1DCA1318">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1、供应商承诺</w:t>
            </w:r>
            <w:bookmarkStart w:id="57" w:name="OLE_LINK8"/>
            <w:r>
              <w:rPr>
                <w:rFonts w:hint="eastAsia" w:asciiTheme="majorEastAsia" w:hAnsiTheme="majorEastAsia" w:eastAsiaTheme="majorEastAsia" w:cstheme="majorEastAsia"/>
                <w:sz w:val="24"/>
              </w:rPr>
              <w:t>完成测评服务后且提供对应付款申请和发票再申请付款</w:t>
            </w:r>
            <w:bookmarkEnd w:id="57"/>
            <w:r>
              <w:rPr>
                <w:rFonts w:hint="eastAsia" w:asciiTheme="majorEastAsia" w:hAnsiTheme="majorEastAsia" w:eastAsiaTheme="majorEastAsia" w:cstheme="majorEastAsia"/>
                <w:sz w:val="24"/>
              </w:rPr>
              <w:t>，得4分，不提供不得分。</w:t>
            </w:r>
          </w:p>
          <w:p w14:paraId="6016346F">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2、供应商承诺针对此次测评工作对采购单位的相关资料信息进行保密，对由供应商引起的泄密问题，由供应商承担相应责任，提供承诺函得4分，不提供不得分。</w:t>
            </w:r>
          </w:p>
          <w:p w14:paraId="7E94369F">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3、供应商承诺针对此次等保测评工作中标后，不存在分包转包的情况，提供承诺函得4分，不提供不得分。</w:t>
            </w:r>
          </w:p>
        </w:tc>
      </w:tr>
    </w:tbl>
    <w:p w14:paraId="05A8A125">
      <w:pPr>
        <w:spacing w:line="400" w:lineRule="atLeas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技术部分（30分）</w:t>
      </w:r>
    </w:p>
    <w:tbl>
      <w:tblPr>
        <w:tblStyle w:val="2"/>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977"/>
        <w:gridCol w:w="7239"/>
      </w:tblGrid>
      <w:tr w14:paraId="2625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339" w:type="dxa"/>
            <w:vAlign w:val="center"/>
          </w:tcPr>
          <w:p w14:paraId="313ACAD4">
            <w:pPr>
              <w:widowControl/>
              <w:spacing w:line="400" w:lineRule="atLeast"/>
              <w:jc w:val="center"/>
              <w:rPr>
                <w:rFonts w:hint="eastAsia" w:asciiTheme="majorEastAsia" w:hAnsiTheme="majorEastAsia" w:eastAsiaTheme="majorEastAsia" w:cstheme="majorEastAsia"/>
                <w:b/>
                <w:bCs/>
                <w:kern w:val="0"/>
                <w:sz w:val="24"/>
              </w:rPr>
            </w:pPr>
            <w:r>
              <w:rPr>
                <w:rFonts w:hint="eastAsia" w:asciiTheme="majorEastAsia" w:hAnsiTheme="majorEastAsia" w:eastAsiaTheme="majorEastAsia" w:cstheme="majorEastAsia"/>
                <w:b/>
                <w:bCs/>
                <w:kern w:val="0"/>
                <w:sz w:val="24"/>
              </w:rPr>
              <w:t>评分项目</w:t>
            </w:r>
          </w:p>
        </w:tc>
        <w:tc>
          <w:tcPr>
            <w:tcW w:w="977" w:type="dxa"/>
            <w:vAlign w:val="center"/>
          </w:tcPr>
          <w:p w14:paraId="3783FE4F">
            <w:pPr>
              <w:widowControl/>
              <w:spacing w:line="400" w:lineRule="atLeast"/>
              <w:jc w:val="center"/>
              <w:rPr>
                <w:rFonts w:hint="eastAsia" w:asciiTheme="majorEastAsia" w:hAnsiTheme="majorEastAsia" w:eastAsiaTheme="majorEastAsia" w:cstheme="majorEastAsia"/>
                <w:b/>
                <w:bCs/>
                <w:kern w:val="0"/>
                <w:sz w:val="24"/>
              </w:rPr>
            </w:pPr>
            <w:r>
              <w:rPr>
                <w:rFonts w:hint="eastAsia" w:asciiTheme="majorEastAsia" w:hAnsiTheme="majorEastAsia" w:eastAsiaTheme="majorEastAsia" w:cstheme="majorEastAsia"/>
                <w:b/>
                <w:bCs/>
                <w:kern w:val="0"/>
                <w:sz w:val="24"/>
              </w:rPr>
              <w:t>分值</w:t>
            </w:r>
          </w:p>
        </w:tc>
        <w:tc>
          <w:tcPr>
            <w:tcW w:w="7239" w:type="dxa"/>
            <w:vAlign w:val="center"/>
          </w:tcPr>
          <w:p w14:paraId="5DBFE7A0">
            <w:pPr>
              <w:widowControl/>
              <w:spacing w:line="400" w:lineRule="atLeast"/>
              <w:jc w:val="center"/>
              <w:rPr>
                <w:rFonts w:hint="eastAsia" w:asciiTheme="majorEastAsia" w:hAnsiTheme="majorEastAsia" w:eastAsiaTheme="majorEastAsia" w:cstheme="majorEastAsia"/>
                <w:b/>
                <w:bCs/>
                <w:kern w:val="0"/>
                <w:sz w:val="24"/>
              </w:rPr>
            </w:pPr>
            <w:r>
              <w:rPr>
                <w:rFonts w:hint="eastAsia" w:asciiTheme="majorEastAsia" w:hAnsiTheme="majorEastAsia" w:eastAsiaTheme="majorEastAsia" w:cstheme="majorEastAsia"/>
                <w:b/>
                <w:bCs/>
                <w:kern w:val="0"/>
                <w:sz w:val="24"/>
              </w:rPr>
              <w:t>评分标准</w:t>
            </w:r>
          </w:p>
        </w:tc>
      </w:tr>
      <w:tr w14:paraId="2667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339" w:type="dxa"/>
            <w:vAlign w:val="center"/>
          </w:tcPr>
          <w:p w14:paraId="14CAB0FD">
            <w:pPr>
              <w:widowControl/>
              <w:spacing w:line="400" w:lineRule="atLeast"/>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服务方案</w:t>
            </w:r>
          </w:p>
        </w:tc>
        <w:tc>
          <w:tcPr>
            <w:tcW w:w="977" w:type="dxa"/>
            <w:vAlign w:val="center"/>
          </w:tcPr>
          <w:p w14:paraId="3EF483F2">
            <w:pPr>
              <w:widowControl/>
              <w:spacing w:line="400" w:lineRule="atLeast"/>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30</w:t>
            </w:r>
          </w:p>
        </w:tc>
        <w:tc>
          <w:tcPr>
            <w:tcW w:w="7239" w:type="dxa"/>
            <w:vAlign w:val="center"/>
          </w:tcPr>
          <w:p w14:paraId="4576B0EF">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（一）供应商根据本项目需求提供详细的等保测评服务方案，根据服务方案完整情况评分，方案内容包括测评思路、测评内容、项目工具、风险控制、保密措施等。评分标准：</w:t>
            </w:r>
          </w:p>
          <w:p w14:paraId="255A873C">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1.了解服务需求以及重点难点分析，从方案的可行性、合理性和建设性方面综合评价，得（20-30】分。</w:t>
            </w:r>
          </w:p>
          <w:p w14:paraId="1D02D7A0">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2.方案理解完整、依据明确、方案内容及要点清晰明确，无与项目无关，符合项目需求，得（10-20】分。</w:t>
            </w:r>
          </w:p>
          <w:p w14:paraId="1116CBE7">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3.方案有明显的欠缺，针对性较差得（0-10】分。</w:t>
            </w:r>
          </w:p>
          <w:p w14:paraId="719CC614">
            <w:pPr>
              <w:widowControl/>
              <w:wordWrap w:val="0"/>
              <w:spacing w:line="400" w:lineRule="atLeas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4.方案完全不满足不得分。</w:t>
            </w:r>
          </w:p>
        </w:tc>
      </w:tr>
    </w:tbl>
    <w:p w14:paraId="18489475">
      <w:bookmarkStart w:id="58" w:name="_GoBack"/>
      <w:bookmarkEnd w:id="5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0CC156"/>
    <w:multiLevelType w:val="singleLevel"/>
    <w:tmpl w:val="350CC15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D233A4"/>
    <w:rsid w:val="1FD23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无间隔1"/>
    <w:basedOn w:val="1"/>
    <w:qFormat/>
    <w:uiPriority w:val="1"/>
    <w:rPr>
      <w:rFonts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2026-07-30T08:07:00Z</dcterms:created>
  <dc:creator>禄晨捷</dc:creator>
  <cp:lastModifiedBy>禄晨捷</cp:lastModifiedBy>
  <dcterms:modified xsi:type="dcterms:W3CDTF">2026-07-30T08:08:52Z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89FD46B65CB143D4B87DAC43E82655F8_11</vt:lpwstr>
  </property>
  <property fmtid="{D5CDD505-2E9C-101B-9397-08002B2CF9AE}" pid="4" name="KSOTemplateDocerSaveRecord">
    <vt:lpwstr>eyJoZGlkIjoiOWNiZjY0ZWNhNDE4NzllYWY1Y2FjNjE5Mzk5NGE4YjYiLCJ1c2VySWQiOiIxNDUxOTY0NzA1In0=</vt:lpwstr>
  </property>
</Properties>
</file>