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9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3"/>
        <w:gridCol w:w="9277"/>
      </w:tblGrid>
      <w:tr w14:paraId="33691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7" w:hRule="atLeast"/>
        </w:trPr>
        <w:tc>
          <w:tcPr>
            <w:tcW w:w="83" w:type="dxa"/>
          </w:tcPr>
          <w:p w14:paraId="7D2C91B8">
            <w:pPr>
              <w:pStyle w:val="8"/>
              <w:framePr w:wrap="notBeside" w:vAnchor="page" w:hAnchor="page" w:x="1454" w:y="552"/>
              <w:tabs>
                <w:tab w:val="left" w:pos="420"/>
              </w:tabs>
              <w:spacing w:line="240" w:lineRule="auto"/>
              <w:jc w:val="left"/>
              <w:rPr>
                <w:rFonts w:ascii="黑体" w:hAnsi="黑体" w:eastAsia="黑体"/>
                <w:kern w:val="0"/>
                <w:sz w:val="21"/>
                <w:szCs w:val="21"/>
              </w:rPr>
            </w:pPr>
            <w:r>
              <w:rPr>
                <w:rFonts w:hint="eastAsia" w:ascii="黑体" w:hAnsi="黑体" w:eastAsia="黑体"/>
                <w:kern w:val="0"/>
                <w:sz w:val="21"/>
                <w:szCs w:val="21"/>
                <w:lang w:eastAsia="zh-CN"/>
              </w:rPr>
              <w:t>　</w:t>
            </w:r>
            <w:r>
              <w:rPr>
                <w:rFonts w:hint="eastAsia" w:ascii="黑体" w:hAnsi="黑体" w:eastAsia="黑体"/>
                <w:kern w:val="0"/>
                <w:sz w:val="21"/>
                <w:szCs w:val="21"/>
              </w:rPr>
              <w:t xml:space="preserve"> </w:t>
            </w:r>
          </w:p>
        </w:tc>
        <w:tc>
          <w:tcPr>
            <w:tcW w:w="9273" w:type="dxa"/>
          </w:tcPr>
          <w:p w14:paraId="3CD64E4D">
            <w:pPr>
              <w:pStyle w:val="8"/>
              <w:framePr w:wrap="notBeside" w:vAnchor="page" w:hAnchor="page" w:x="1454" w:y="552"/>
              <w:tabs>
                <w:tab w:val="left" w:pos="420"/>
              </w:tabs>
              <w:spacing w:before="40" w:line="240" w:lineRule="auto"/>
              <w:jc w:val="left"/>
              <w:rPr>
                <w:rFonts w:hint="default" w:ascii="黑体" w:hAnsi="黑体" w:eastAsia="黑体"/>
                <w:kern w:val="0"/>
                <w:sz w:val="21"/>
                <w:szCs w:val="21"/>
                <w:lang w:val="en-US" w:eastAsia="zh-CN"/>
              </w:rPr>
            </w:pPr>
            <w:r>
              <w:rPr>
                <w:rFonts w:hint="default" w:ascii="Times New Roman" w:hAnsi="Times New Roman" w:eastAsia="黑体" w:cs="Times New Roman"/>
                <w:b/>
                <w:bCs/>
                <w:kern w:val="0"/>
                <w:sz w:val="21"/>
                <w:szCs w:val="21"/>
              </w:rPr>
              <w:t xml:space="preserve">ICS </w:t>
            </w:r>
            <w:r>
              <w:rPr>
                <w:rFonts w:hint="eastAsia" w:ascii="黑体" w:hAnsi="黑体" w:eastAsia="黑体" w:cs="黑体"/>
                <w:b w:val="0"/>
                <w:bCs w:val="0"/>
                <w:kern w:val="0"/>
                <w:sz w:val="21"/>
                <w:szCs w:val="21"/>
                <w:lang w:val="en-US" w:eastAsia="zh-CN"/>
              </w:rPr>
              <w:t>11.100</w:t>
            </w:r>
          </w:p>
        </w:tc>
      </w:tr>
      <w:tr w14:paraId="1F696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3" w:type="dxa"/>
          </w:tcPr>
          <w:p w14:paraId="22D3D03B">
            <w:pPr>
              <w:pStyle w:val="8"/>
              <w:framePr w:wrap="notBeside" w:vAnchor="page" w:hAnchor="page" w:x="1454" w:y="552"/>
              <w:tabs>
                <w:tab w:val="left" w:pos="420"/>
              </w:tabs>
              <w:spacing w:before="40" w:line="240" w:lineRule="auto"/>
              <w:jc w:val="left"/>
              <w:rPr>
                <w:rFonts w:hint="eastAsia" w:ascii="黑体" w:hAnsi="黑体" w:eastAsia="黑体"/>
                <w:kern w:val="0"/>
                <w:sz w:val="21"/>
                <w:szCs w:val="21"/>
                <w:lang w:eastAsia="zh-CN"/>
              </w:rPr>
            </w:pPr>
            <w:r>
              <w:rPr>
                <w:rFonts w:hint="eastAsia" w:ascii="Times New Roman" w:hAnsi="Times New Roman" w:eastAsia="黑体"/>
                <w:kern w:val="0"/>
                <w:sz w:val="21"/>
                <w:szCs w:val="21"/>
                <w:lang w:eastAsia="zh-CN"/>
              </w:rPr>
              <w:t>　</w:t>
            </w:r>
          </w:p>
        </w:tc>
        <w:tc>
          <w:tcPr>
            <w:tcW w:w="9273" w:type="dxa"/>
          </w:tcPr>
          <w:tbl>
            <w:tblPr>
              <w:tblStyle w:val="15"/>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EB8A91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atLeast"/>
              </w:trPr>
              <w:tc>
                <w:tcPr>
                  <w:tcW w:w="9242" w:type="dxa"/>
                  <w:vAlign w:val="center"/>
                </w:tcPr>
                <w:p w14:paraId="085C1796">
                  <w:pPr>
                    <w:pStyle w:val="20"/>
                    <w:framePr w:wrap="notBeside" w:vAnchor="page" w:hAnchor="page" w:x="1454" w:y="552"/>
                    <w:wordWrap w:val="0"/>
                    <w:ind w:left="420" w:right="349"/>
                    <w:rPr>
                      <w:rFonts w:hint="default" w:ascii="宋体" w:hAnsi="宋体"/>
                      <w:sz w:val="28"/>
                      <w:szCs w:val="28"/>
                      <w:lang w:val="en-US"/>
                    </w:rPr>
                  </w:pPr>
                  <w:r>
                    <w:rPr>
                      <w:rFonts w:hint="eastAsia"/>
                      <w:sz w:val="120"/>
                      <w:szCs w:val="120"/>
                      <w:lang w:val="en-US" w:eastAsia="zh-CN"/>
                    </w:rPr>
                    <w:t>CHNHN</w:t>
                  </w:r>
                </w:p>
              </w:tc>
            </w:tr>
          </w:tbl>
          <w:p w14:paraId="13BC98E7">
            <w:pPr>
              <w:pStyle w:val="8"/>
              <w:framePr w:wrap="notBeside" w:vAnchor="page" w:hAnchor="page" w:x="1454" w:y="552"/>
              <w:tabs>
                <w:tab w:val="left" w:pos="420"/>
              </w:tabs>
              <w:spacing w:before="40" w:line="240" w:lineRule="auto"/>
              <w:jc w:val="left"/>
              <w:rPr>
                <w:rFonts w:ascii="黑体" w:hAnsi="黑体" w:eastAsia="黑体"/>
                <w:sz w:val="21"/>
                <w:szCs w:val="21"/>
              </w:rPr>
            </w:pPr>
            <w:r>
              <w:rPr>
                <w:rFonts w:hint="default" w:ascii="Times New Roman" w:hAnsi="Times New Roman" w:eastAsia="黑体" w:cs="Times New Roman"/>
                <w:b/>
                <w:bCs/>
                <w:kern w:val="0"/>
                <w:sz w:val="21"/>
                <w:szCs w:val="21"/>
              </w:rPr>
              <w:t xml:space="preserve">CCS </w:t>
            </w:r>
            <w:r>
              <w:rPr>
                <w:rFonts w:hint="eastAsia" w:ascii="黑体" w:hAnsi="黑体" w:eastAsia="黑体" w:cs="黑体"/>
                <w:b w:val="0"/>
                <w:bCs w:val="0"/>
                <w:kern w:val="0"/>
                <w:sz w:val="21"/>
                <w:szCs w:val="21"/>
              </w:rPr>
              <w:t>C</w:t>
            </w:r>
            <w:r>
              <w:rPr>
                <w:rFonts w:hint="eastAsia" w:ascii="黑体" w:hAnsi="黑体" w:eastAsia="黑体" w:cs="黑体"/>
                <w:b/>
                <w:bCs/>
                <w:kern w:val="0"/>
                <w:sz w:val="21"/>
                <w:szCs w:val="21"/>
              </w:rPr>
              <w:t xml:space="preserve"> </w:t>
            </w:r>
            <w:r>
              <w:rPr>
                <w:rFonts w:hint="eastAsia" w:ascii="黑体" w:hAnsi="黑体" w:eastAsia="黑体" w:cs="黑体"/>
                <w:b w:val="0"/>
                <w:bCs w:val="0"/>
                <w:kern w:val="0"/>
                <w:sz w:val="21"/>
                <w:szCs w:val="21"/>
              </w:rPr>
              <w:t>05</w:t>
            </w:r>
          </w:p>
        </w:tc>
      </w:tr>
    </w:tbl>
    <w:p w14:paraId="50C058F0">
      <w:pPr>
        <w:pStyle w:val="21"/>
        <w:framePr w:w="9639" w:h="746" w:hRule="exact" w:hSpace="181" w:vSpace="181" w:wrap="around" w:vAnchor="page" w:hAnchor="page" w:x="1298" w:y="2596"/>
        <w:pBdr>
          <w:top w:val="none" w:color="auto" w:sz="0" w:space="0"/>
          <w:left w:val="none" w:color="auto" w:sz="0" w:space="0"/>
          <w:bottom w:val="none" w:color="auto" w:sz="0" w:space="0"/>
          <w:right w:val="none" w:color="auto" w:sz="0" w:space="0"/>
        </w:pBdr>
        <w:rPr>
          <w:rFonts w:ascii="Times New Roman" w:eastAsia="Songti SC"/>
          <w:b w:val="0"/>
          <w:bCs w:val="0"/>
          <w:color w:val="auto"/>
          <w:w w:val="100"/>
          <w:sz w:val="48"/>
          <w:szCs w:val="48"/>
        </w:rPr>
      </w:pPr>
      <w:bookmarkStart w:id="0" w:name="_Hlk26473981"/>
      <w:r>
        <w:rPr>
          <w:rFonts w:hint="eastAsia" w:ascii="方正小标宋简体" w:hAnsi="方正小标宋简体" w:eastAsia="方正小标宋简体"/>
          <w:b w:val="0"/>
          <w:bCs w:val="0"/>
          <w:color w:val="000000" w:themeColor="text1"/>
          <w:w w:val="120"/>
          <w:sz w:val="52"/>
          <w:szCs w:val="52"/>
          <w14:textFill>
            <w14:solidFill>
              <w14:schemeClr w14:val="tx1"/>
            </w14:solidFill>
          </w14:textFill>
        </w:rPr>
        <w:t>团体标准</w:t>
      </w:r>
    </w:p>
    <w:bookmarkEnd w:id="0"/>
    <w:p w14:paraId="4E3D2F29">
      <w:pPr>
        <w:pStyle w:val="37"/>
        <w:framePr w:h="624" w:hRule="exact" w:x="1413" w:y="3371"/>
        <w:rPr>
          <w:rFonts w:hint="eastAsia" w:eastAsia="黑体"/>
          <w:lang w:val="en-US" w:eastAsia="zh-CN"/>
        </w:rPr>
      </w:pPr>
      <w:r>
        <w:rPr>
          <w:rFonts w:hint="default" w:ascii="Times New Roman" w:hAnsi="Times New Roman" w:cs="Times New Roman"/>
          <w:b/>
          <w:bCs w:val="0"/>
        </w:rPr>
        <w:t>T/</w:t>
      </w:r>
      <w:r>
        <w:rPr>
          <w:rFonts w:hint="eastAsia" w:ascii="Times New Roman" w:cs="Times New Roman"/>
          <w:b/>
          <w:bCs w:val="0"/>
          <w:lang w:val="en-US" w:eastAsia="zh-CN"/>
        </w:rPr>
        <w:t>CNHAW</w:t>
      </w:r>
      <w:r>
        <w:rPr>
          <w:rFonts w:hint="eastAsia"/>
        </w:rPr>
        <w:t xml:space="preserve"> </w:t>
      </w:r>
      <w:r>
        <w:rPr>
          <w:rFonts w:hint="eastAsia" w:hAnsi="黑体"/>
          <w:lang w:val="en-US" w:eastAsia="zh-CN"/>
        </w:rPr>
        <w:t>00xx</w:t>
      </w:r>
      <w:r>
        <w:rPr>
          <w:rFonts w:hint="eastAsia" w:hAnsi="黑体"/>
        </w:rPr>
        <w:t>—</w:t>
      </w:r>
      <w:r>
        <w:rPr>
          <w:rFonts w:hint="eastAsia"/>
        </w:rPr>
        <w:t>202</w:t>
      </w:r>
      <w:r>
        <w:rPr>
          <w:rFonts w:hint="eastAsia"/>
          <w:lang w:val="en-US" w:eastAsia="zh-CN"/>
        </w:rPr>
        <w:t>6</w:t>
      </w:r>
    </w:p>
    <w:p w14:paraId="61D88521">
      <w:pPr>
        <w:pStyle w:val="38"/>
        <w:framePr w:h="624" w:hRule="exact" w:x="1413" w:y="3371"/>
        <w:rPr>
          <w:rFonts w:hAnsi="黑体"/>
        </w:rPr>
      </w:pPr>
    </w:p>
    <w:p w14:paraId="742F323E">
      <w:pPr>
        <w:spacing w:line="240" w:lineRule="auto"/>
        <w:rPr>
          <w:rFonts w:ascii="黑体" w:hAnsi="黑体" w:eastAsia="黑体"/>
          <w:kern w:val="0"/>
          <w:sz w:val="10"/>
          <w:szCs w:val="10"/>
        </w:rPr>
      </w:pPr>
      <w:bookmarkStart w:id="110" w:name="_GoBack"/>
      <w:bookmarkEnd w:id="110"/>
      <w:r>
        <w:rPr>
          <w:rFonts w:hint="eastAsia"/>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4fvj&#10;GOUBAACsAwAADgAAAAAAAAABACAAAAAnAQAAZHJzL2Uyb0RvYy54bWxQSwUGAAAAAAYABgBZAQAA&#10;fgUAAAAA&#10;">
                <v:fill on="f" focussize="0,0"/>
                <v:stroke color="#000000" joinstyle="round"/>
                <v:imagedata o:title=""/>
                <o:lock v:ext="edit" aspectratio="f"/>
              </v:line>
            </w:pict>
          </mc:Fallback>
        </mc:AlternateContent>
      </w:r>
    </w:p>
    <w:p w14:paraId="476E5353">
      <w:pPr>
        <w:pStyle w:val="21"/>
        <w:framePr w:w="9639" w:h="6976" w:hRule="exact" w:hSpace="0" w:vSpace="0" w:wrap="around" w:vAnchor="margin" w:hAnchor="page" w:y="6408"/>
        <w:jc w:val="center"/>
        <w:rPr>
          <w:rFonts w:ascii="黑体" w:hAnsi="黑体" w:eastAsia="黑体"/>
          <w:b w:val="0"/>
          <w:bCs w:val="0"/>
          <w:w w:val="100"/>
        </w:rPr>
      </w:pPr>
    </w:p>
    <w:p w14:paraId="619B678F">
      <w:pPr>
        <w:pStyle w:val="23"/>
        <w:framePr w:w="9639" w:h="6974" w:hRule="exact" w:wrap="around" w:vAnchor="page" w:hAnchor="page" w:x="1354" w:y="6057" w:anchorLock="1"/>
        <w:spacing w:before="120" w:after="567" w:afterLines="0"/>
        <w:rPr>
          <w:rFonts w:hint="eastAsia" w:eastAsia="黑体"/>
          <w:sz w:val="48"/>
          <w:szCs w:val="48"/>
          <w:lang w:val="en-US" w:eastAsia="zh-CN"/>
        </w:rPr>
      </w:pPr>
      <w:r>
        <w:rPr>
          <w:rFonts w:hint="eastAsia" w:ascii="黑体"/>
          <w:lang w:val="en-US" w:eastAsia="zh-CN"/>
        </w:rPr>
        <w:t>全自动离心式血浆置换技术规范</w:t>
      </w:r>
    </w:p>
    <w:p w14:paraId="6EDB48D5">
      <w:pPr>
        <w:pStyle w:val="24"/>
        <w:framePr w:w="9639" w:h="6974" w:hRule="exact" w:wrap="around" w:vAnchor="page" w:hAnchor="page" w:x="1354" w:y="6057" w:anchorLock="1"/>
        <w:spacing w:before="120" w:after="567" w:afterLines="0"/>
      </w:pPr>
      <w:r>
        <w:rPr>
          <w:rFonts w:hint="eastAsia"/>
          <w:lang w:val="en-US" w:eastAsia="zh-CN"/>
        </w:rPr>
        <w:t>Specifications for blood purification therapy in acute poisoning from commonly used clinical drugs</w:t>
      </w:r>
    </w:p>
    <w:p w14:paraId="04D23BDA">
      <w:pPr>
        <w:framePr w:w="9639" w:h="6974" w:hRule="exact" w:wrap="around" w:vAnchor="page" w:hAnchor="page" w:x="1354" w:y="6057" w:anchorLock="1"/>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（征求意见稿）</w:t>
      </w:r>
    </w:p>
    <w:p w14:paraId="0092373E">
      <w:pPr>
        <w:framePr w:w="9639" w:h="6974" w:hRule="exact" w:wrap="around" w:vAnchor="page" w:hAnchor="page" w:x="1354" w:y="6057" w:anchorLock="1"/>
        <w:jc w:val="center"/>
        <w:rPr>
          <w:rFonts w:hint="eastAsia"/>
        </w:rPr>
      </w:pPr>
    </w:p>
    <w:p w14:paraId="71459627">
      <w:pPr>
        <w:framePr w:w="9639" w:h="6974" w:hRule="exact" w:wrap="around" w:vAnchor="page" w:hAnchor="page" w:x="1354" w:y="6057" w:anchorLock="1"/>
        <w:jc w:val="center"/>
        <w:rPr>
          <w:rFonts w:hint="eastAsia" w:ascii="Times New Roman" w:hAnsi="Times New Roman" w:eastAsia="黑体"/>
          <w:sz w:val="28"/>
          <w:szCs w:val="28"/>
        </w:rPr>
      </w:pPr>
    </w:p>
    <w:p w14:paraId="098C8753">
      <w:pPr>
        <w:pStyle w:val="25"/>
        <w:framePr w:h="471" w:hRule="exact" w:wrap="around" w:y="14176"/>
      </w:pPr>
      <w:r>
        <w:rPr>
          <w:rFonts w:hint="eastAsia" w:ascii="黑体"/>
        </w:rPr>
        <w:t>202</w:t>
      </w:r>
      <w:r>
        <w:rPr>
          <w:rFonts w:hint="eastAsia" w:ascii="黑体"/>
          <w:lang w:val="en-US" w:eastAsia="zh-CN"/>
        </w:rPr>
        <w:t>6</w:t>
      </w:r>
      <w:r>
        <w:rPr>
          <w:rFonts w:hint="eastAsia" w:ascii="黑体"/>
          <w:lang w:eastAsia="zh-CN"/>
        </w:rPr>
        <w:t>～</w:t>
      </w:r>
      <w:r>
        <w:rPr>
          <w:rFonts w:hint="eastAsia" w:ascii="黑体"/>
          <w:lang w:val="en-US" w:eastAsia="zh-CN"/>
        </w:rPr>
        <w:t>08</w:t>
      </w:r>
      <w:r>
        <w:rPr>
          <w:rFonts w:hint="eastAsia" w:ascii="黑体"/>
          <w:lang w:eastAsia="zh-CN"/>
        </w:rPr>
        <w:t>～</w:t>
      </w:r>
      <w:r>
        <w:rPr>
          <w:rFonts w:hint="eastAsia" w:ascii="黑体"/>
        </w:rPr>
        <w:t>**</w:t>
      </w:r>
      <w:r>
        <w:rPr>
          <w:rFonts w:hint="eastAsia"/>
        </w:rPr>
        <w:t>发布</w:t>
      </w:r>
    </w:p>
    <w:p w14:paraId="1210C714">
      <w:pPr>
        <w:pStyle w:val="26"/>
        <w:framePr w:h="471" w:hRule="exact" w:wrap="around" w:y="14176"/>
      </w:pPr>
      <w:r>
        <w:rPr>
          <w:rFonts w:hint="eastAsia" w:ascii="黑体"/>
        </w:rPr>
        <w:t>202</w:t>
      </w:r>
      <w:r>
        <w:rPr>
          <w:rFonts w:hint="eastAsia" w:ascii="黑体"/>
          <w:lang w:val="en-US" w:eastAsia="zh-CN"/>
        </w:rPr>
        <w:t>6</w:t>
      </w:r>
      <w:r>
        <w:rPr>
          <w:rFonts w:hint="eastAsia" w:ascii="黑体"/>
          <w:lang w:eastAsia="zh-CN"/>
        </w:rPr>
        <w:t>～</w:t>
      </w:r>
      <w:r>
        <w:rPr>
          <w:rFonts w:hint="eastAsia" w:ascii="黑体"/>
          <w:lang w:val="en-US" w:eastAsia="zh-CN"/>
        </w:rPr>
        <w:t>08</w:t>
      </w:r>
      <w:r>
        <w:rPr>
          <w:rFonts w:hint="eastAsia" w:ascii="黑体"/>
          <w:lang w:eastAsia="zh-CN"/>
        </w:rPr>
        <w:t>～</w:t>
      </w:r>
      <w:r>
        <w:rPr>
          <w:rFonts w:hint="eastAsia" w:ascii="黑体"/>
        </w:rPr>
        <w:t>**实</w:t>
      </w:r>
      <w:r>
        <w:rPr>
          <w:rFonts w:hint="eastAsia"/>
        </w:rPr>
        <w:t>施</w:t>
      </w:r>
    </w:p>
    <w:p w14:paraId="77AD855E">
      <w:pPr>
        <w:pStyle w:val="27"/>
        <w:framePr w:h="584" w:hRule="exact" w:hSpace="181" w:vSpace="181" w:wrap="around" w:vAnchor="page" w:hAnchor="page" w:x="2399" w:y="15039"/>
        <w:rPr>
          <w:rFonts w:ascii="宋体" w:hAnsi="宋体"/>
          <w:sz w:val="28"/>
          <w:szCs w:val="28"/>
        </w:rPr>
        <w:sectPr>
          <w:headerReference r:id="rId5" w:type="even"/>
          <w:pgSz w:w="11906" w:h="16838"/>
          <w:pgMar w:top="567" w:right="1134" w:bottom="1134" w:left="1134" w:header="1418" w:footer="1134" w:gutter="284"/>
          <w:pgNumType w:fmt="upperRoman" w:start="1"/>
          <w:cols w:space="720" w:num="1"/>
        </w:sectPr>
      </w:pPr>
      <w:r>
        <w:rPr>
          <w:rFonts w:hint="eastAsia" w:ascii="方正小标宋简体" w:hAnsi="方正小标宋简体" w:eastAsia="方正小标宋简体" w:cs="方正小标宋简体"/>
          <w:color w:val="000000" w:themeColor="text1"/>
          <w:w w:val="120"/>
          <w:kern w:val="0"/>
          <w:sz w:val="28"/>
          <w:szCs w:val="28"/>
          <w:lang w:val="en-US" w:eastAsia="zh-CN" w:bidi="ar-SA"/>
          <w14:textFill>
            <w14:solidFill>
              <w14:schemeClr w14:val="tx1"/>
            </w14:solidFill>
          </w14:textFill>
        </w:rPr>
        <w:t>中国民族卫生协会</w:t>
      </w:r>
      <w:r>
        <w:rPr>
          <w:rFonts w:hint="eastAsia" w:ascii="微软雅黑" w:hAnsi="微软雅黑" w:eastAsia="微软雅黑" w:cs="Times New Roman"/>
          <w:color w:val="000000" w:themeColor="text1"/>
          <w:sz w:val="21"/>
          <w:szCs w:val="21"/>
          <w14:textFill>
            <w14:solidFill>
              <w14:schemeClr w14:val="tx1"/>
            </w14:solidFill>
          </w14:textFill>
        </w:rPr>
        <w:t>　</w:t>
      </w:r>
      <w:r>
        <w:rPr>
          <w:rStyle w:val="36"/>
          <w:rFonts w:hint="eastAsia" w:ascii="黑体" w:hAnsi="黑体" w:eastAsia="黑体" w:cs="黑体"/>
          <w:sz w:val="21"/>
          <w:szCs w:val="21"/>
        </w:rPr>
        <w:t>发布</w:t>
      </w:r>
      <w:r>
        <w:rPr>
          <w:rFonts w:hint="eastAsia"/>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ADNQzm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zZJ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AzUM5uMB&#10;AACqAwAADgAAAAAAAAABACAAAAAmAQAAZHJzL2Uyb0RvYy54bWxQSwUGAAAAAAYABgBZAQAAewUA&#10;AAAA&#10;">
                <v:fill on="f" focussize="0,0"/>
                <v:stroke color="#000000" joinstyle="round"/>
                <v:imagedata o:title=""/>
                <o:lock v:ext="edit" aspectratio="f"/>
                <w10:anchorlock/>
              </v:line>
            </w:pict>
          </mc:Fallback>
        </mc:AlternateContent>
      </w:r>
    </w:p>
    <w:p w14:paraId="5365B6BC">
      <w:pPr>
        <w:pStyle w:val="29"/>
        <w:keepNext w:val="0"/>
        <w:keepLines w:val="0"/>
        <w:pageBreakBefore w:val="0"/>
        <w:widowControl w:val="0"/>
        <w:kinsoku/>
        <w:wordWrap/>
        <w:overflowPunct/>
        <w:topLinePunct w:val="0"/>
        <w:autoSpaceDE/>
        <w:autoSpaceDN/>
        <w:bidi w:val="0"/>
        <w:adjustRightInd w:val="0"/>
        <w:snapToGrid/>
        <w:ind w:firstLine="3840" w:firstLineChars="1200"/>
        <w:jc w:val="both"/>
        <w:textAlignment w:val="auto"/>
        <w:outlineLvl w:val="2"/>
        <w:rPr>
          <w:rFonts w:hint="eastAsia" w:eastAsia="黑体"/>
          <w:lang w:eastAsia="zh-CN"/>
        </w:rPr>
      </w:pPr>
      <w:bookmarkStart w:id="1" w:name="_Toc8108"/>
      <w:bookmarkStart w:id="2" w:name="_Toc4874"/>
      <w:bookmarkStart w:id="3" w:name="_Toc16339"/>
      <w:bookmarkStart w:id="4" w:name="_Toc28536"/>
      <w:bookmarkStart w:id="5" w:name="_Toc22951"/>
      <w:bookmarkStart w:id="6" w:name="_Toc428"/>
      <w:bookmarkStart w:id="7" w:name="_Toc106288308"/>
      <w:bookmarkStart w:id="8" w:name="_Toc20692"/>
      <w:bookmarkStart w:id="9" w:name="_Toc114833666"/>
      <w:bookmarkStart w:id="10" w:name="_Toc28331"/>
      <w:bookmarkStart w:id="11" w:name="_Toc29771"/>
      <w:bookmarkStart w:id="12" w:name="_Toc15625"/>
      <w:bookmarkStart w:id="13" w:name="_Toc8889"/>
      <w:bookmarkStart w:id="14" w:name="_Toc2475"/>
      <w:bookmarkStart w:id="15" w:name="_Toc16209"/>
      <w:bookmarkStart w:id="16" w:name="_Toc27613"/>
      <w:bookmarkStart w:id="17" w:name="_Toc32297"/>
      <w:bookmarkStart w:id="18" w:name="_Toc23729"/>
      <w:bookmarkStart w:id="19" w:name="_Toc32152"/>
      <w:bookmarkStart w:id="20" w:name="_Toc23346"/>
      <w:bookmarkStart w:id="21" w:name="_Toc30320"/>
      <w:bookmarkStart w:id="22" w:name="_Toc20080"/>
      <w:bookmarkStart w:id="23" w:name="_Toc13378"/>
      <w:bookmarkStart w:id="24" w:name="_Toc9153"/>
      <w:bookmarkStart w:id="25" w:name="_Toc14266"/>
      <w:bookmarkStart w:id="26" w:name="_Toc7805"/>
      <w:bookmarkStart w:id="27" w:name="_Toc8575"/>
      <w:bookmarkStart w:id="28" w:name="_Toc19617"/>
      <w:bookmarkStart w:id="29" w:name="_Toc7089"/>
      <w:bookmarkStart w:id="30" w:name="_Toc17803"/>
      <w:bookmarkStart w:id="31" w:name="_Toc16219"/>
      <w:bookmarkStart w:id="32" w:name="_Toc14122"/>
      <w:bookmarkStart w:id="33" w:name="_Toc320"/>
      <w:bookmarkStart w:id="34" w:name="_Toc12439"/>
      <w:bookmarkStart w:id="35" w:name="_Toc739"/>
      <w:bookmarkStart w:id="36" w:name="_Toc4261"/>
      <w:bookmarkStart w:id="37" w:name="_Toc18313"/>
      <w:r>
        <w:rPr>
          <w:rFonts w:hint="eastAsia"/>
        </w:rPr>
        <w:t>目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Fonts w:hint="eastAsia"/>
          <w:lang w:val="en-US" w:eastAsia="zh-CN"/>
        </w:rPr>
        <w:t>录</w:t>
      </w:r>
    </w:p>
    <w:sdt>
      <w:sdtPr>
        <w:rPr>
          <w:rFonts w:hint="eastAsia" w:ascii="宋体" w:hAnsi="宋体" w:eastAsia="宋体" w:cs="宋体"/>
          <w:sz w:val="21"/>
          <w:szCs w:val="21"/>
        </w:rPr>
        <w:id w:val="147459453"/>
        <w15:color w:val="DBDBDB"/>
        <w:docPartObj>
          <w:docPartGallery w:val="Table of Contents"/>
          <w:docPartUnique/>
        </w:docPartObj>
      </w:sdtPr>
      <w:sdtEndPr>
        <w:rPr>
          <w:rFonts w:hint="eastAsia" w:eastAsia="黑体" w:asciiTheme="majorHAnsi" w:hAnsiTheme="majorHAnsi" w:cstheme="majorBidi"/>
          <w:b/>
          <w:bCs/>
          <w:kern w:val="2"/>
          <w:sz w:val="21"/>
          <w:szCs w:val="32"/>
        </w:rPr>
      </w:sdtEndPr>
      <w:sdtContent>
        <w:p w14:paraId="55DDE825">
          <w:pPr>
            <w:pStyle w:val="55"/>
            <w:keepNext w:val="0"/>
            <w:keepLines w:val="0"/>
            <w:pageBreakBefore w:val="0"/>
            <w:widowControl/>
            <w:tabs>
              <w:tab w:val="right" w:leader="dot" w:pos="9639"/>
              <w:tab w:val="clear" w:pos="9354"/>
            </w:tabs>
            <w:kinsoku/>
            <w:wordWrap/>
            <w:overflowPunct/>
            <w:topLinePunct w:val="0"/>
            <w:autoSpaceDE/>
            <w:autoSpaceDN/>
            <w:bidi w:val="0"/>
            <w:adjustRightInd/>
            <w:snapToGrid/>
            <w:spacing w:line="400" w:lineRule="exact"/>
            <w:textAlignment w:val="auto"/>
            <w:rPr>
              <w:rFonts w:hint="eastAsia" w:ascii="宋体" w:hAnsi="宋体" w:eastAsia="宋体" w:cs="宋体"/>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TOC \o "1-2" \h \u </w:instrText>
          </w:r>
          <w:r>
            <w:rPr>
              <w:rFonts w:hint="eastAsia" w:ascii="宋体" w:hAnsi="宋体" w:eastAsia="宋体" w:cs="宋体"/>
              <w:sz w:val="21"/>
              <w:szCs w:val="21"/>
            </w:rPr>
            <w:fldChar w:fldCharType="separate"/>
          </w:r>
          <w:r>
            <w:rPr>
              <w:rFonts w:hint="eastAsia" w:ascii="宋体" w:hAnsi="宋体" w:eastAsia="宋体" w:cs="宋体"/>
              <w:szCs w:val="21"/>
            </w:rPr>
            <w:fldChar w:fldCharType="begin"/>
          </w:r>
          <w:r>
            <w:rPr>
              <w:rFonts w:hint="eastAsia" w:ascii="宋体" w:hAnsi="宋体" w:eastAsia="宋体" w:cs="宋体"/>
              <w:szCs w:val="21"/>
            </w:rPr>
            <w:instrText xml:space="preserve"> HYPERLINK \l _Toc29401 </w:instrText>
          </w:r>
          <w:r>
            <w:rPr>
              <w:rFonts w:hint="eastAsia" w:ascii="宋体" w:hAnsi="宋体" w:eastAsia="宋体" w:cs="宋体"/>
              <w:szCs w:val="21"/>
            </w:rPr>
            <w:fldChar w:fldCharType="separate"/>
          </w:r>
          <w:r>
            <w:rPr>
              <w:rFonts w:hint="eastAsia" w:ascii="宋体" w:hAnsi="宋体" w:eastAsia="宋体" w:cs="宋体"/>
            </w:rPr>
            <w:t>前言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_Toc29401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szCs w:val="21"/>
            </w:rPr>
            <w:fldChar w:fldCharType="end"/>
          </w:r>
        </w:p>
        <w:p w14:paraId="5828F07F">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_Toc32427 </w:instrText>
          </w:r>
          <w:r>
            <w:rPr>
              <w:rFonts w:hint="eastAsia" w:ascii="宋体" w:hAnsi="宋体" w:eastAsia="宋体" w:cs="宋体"/>
              <w:szCs w:val="21"/>
            </w:rPr>
            <w:fldChar w:fldCharType="separate"/>
          </w:r>
          <w:r>
            <w:rPr>
              <w:rFonts w:hint="eastAsia" w:ascii="宋体" w:hAnsi="宋体" w:eastAsia="宋体" w:cs="宋体"/>
              <w:i w:val="0"/>
            </w:rPr>
            <w:t>1</w:t>
          </w:r>
          <w:r>
            <w:rPr>
              <w:rFonts w:hint="eastAsia" w:ascii="宋体" w:hAnsi="宋体" w:eastAsia="宋体" w:cs="宋体"/>
              <w:i w:val="0"/>
              <w:lang w:eastAsia="zh-CN"/>
            </w:rPr>
            <w:t>　</w:t>
          </w:r>
          <w:r>
            <w:rPr>
              <w:rFonts w:hint="eastAsia" w:ascii="宋体" w:hAnsi="宋体" w:eastAsia="宋体" w:cs="宋体"/>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_Toc32427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szCs w:val="21"/>
            </w:rPr>
            <w:fldChar w:fldCharType="end"/>
          </w:r>
        </w:p>
        <w:p w14:paraId="65832EE5">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_Toc21911 </w:instrText>
          </w:r>
          <w:r>
            <w:rPr>
              <w:rFonts w:hint="eastAsia" w:ascii="宋体" w:hAnsi="宋体" w:eastAsia="宋体" w:cs="宋体"/>
              <w:szCs w:val="21"/>
            </w:rPr>
            <w:fldChar w:fldCharType="separate"/>
          </w:r>
          <w:r>
            <w:rPr>
              <w:rFonts w:hint="eastAsia" w:ascii="宋体" w:hAnsi="宋体" w:eastAsia="宋体" w:cs="宋体"/>
              <w:i w:val="0"/>
            </w:rPr>
            <w:t>2</w:t>
          </w:r>
          <w:r>
            <w:rPr>
              <w:rFonts w:hint="eastAsia" w:ascii="宋体" w:hAnsi="宋体" w:eastAsia="宋体" w:cs="宋体"/>
              <w:i w:val="0"/>
              <w:lang w:eastAsia="zh-CN"/>
            </w:rPr>
            <w:t>　</w:t>
          </w:r>
          <w:r>
            <w:rPr>
              <w:rFonts w:hint="eastAsia" w:ascii="宋体" w:hAnsi="宋体" w:eastAsia="宋体" w:cs="宋体"/>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_Toc21911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szCs w:val="21"/>
            </w:rPr>
            <w:fldChar w:fldCharType="end"/>
          </w:r>
        </w:p>
        <w:p w14:paraId="424CE660">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_Toc11033 </w:instrText>
          </w:r>
          <w:r>
            <w:rPr>
              <w:rFonts w:hint="eastAsia" w:ascii="宋体" w:hAnsi="宋体" w:eastAsia="宋体" w:cs="宋体"/>
              <w:szCs w:val="21"/>
            </w:rPr>
            <w:fldChar w:fldCharType="separate"/>
          </w:r>
          <w:r>
            <w:rPr>
              <w:rFonts w:hint="eastAsia" w:ascii="宋体" w:hAnsi="宋体" w:eastAsia="宋体" w:cs="宋体"/>
              <w:i w:val="0"/>
            </w:rPr>
            <w:t>3</w:t>
          </w:r>
          <w:r>
            <w:rPr>
              <w:rFonts w:hint="eastAsia" w:ascii="宋体" w:hAnsi="宋体" w:eastAsia="宋体" w:cs="宋体"/>
              <w:i w:val="0"/>
              <w:lang w:eastAsia="zh-CN"/>
            </w:rPr>
            <w:t>　</w:t>
          </w:r>
          <w:r>
            <w:rPr>
              <w:rFonts w:hint="eastAsia" w:ascii="宋体" w:hAnsi="宋体" w:eastAsia="宋体" w:cs="宋体"/>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_Toc11033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szCs w:val="21"/>
            </w:rPr>
            <w:fldChar w:fldCharType="end"/>
          </w:r>
        </w:p>
        <w:p w14:paraId="4EA5E94B">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_Toc32627 </w:instrText>
          </w:r>
          <w:r>
            <w:rPr>
              <w:rFonts w:hint="eastAsia" w:ascii="宋体" w:hAnsi="宋体" w:eastAsia="宋体" w:cs="宋体"/>
              <w:szCs w:val="21"/>
            </w:rPr>
            <w:fldChar w:fldCharType="separate"/>
          </w:r>
          <w:r>
            <w:rPr>
              <w:rFonts w:hint="eastAsia" w:ascii="宋体" w:hAnsi="宋体" w:eastAsia="宋体" w:cs="宋体"/>
              <w:i w:val="0"/>
            </w:rPr>
            <w:t>4</w:t>
          </w:r>
          <w:r>
            <w:rPr>
              <w:rFonts w:hint="eastAsia" w:ascii="宋体" w:hAnsi="宋体" w:eastAsia="宋体" w:cs="宋体"/>
              <w:i w:val="0"/>
              <w:lang w:eastAsia="zh-CN"/>
            </w:rPr>
            <w:t>　</w:t>
          </w:r>
          <w:r>
            <w:rPr>
              <w:rFonts w:hint="eastAsia" w:ascii="宋体" w:hAnsi="宋体" w:eastAsia="宋体" w:cs="宋体"/>
              <w:lang w:val="en-US" w:eastAsia="zh-CN"/>
            </w:rPr>
            <w:t>缩略语</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_Toc32627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szCs w:val="21"/>
            </w:rPr>
            <w:fldChar w:fldCharType="end"/>
          </w:r>
        </w:p>
        <w:p w14:paraId="2ABC4015">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_Toc6325 </w:instrText>
          </w:r>
          <w:r>
            <w:rPr>
              <w:rFonts w:hint="eastAsia" w:ascii="宋体" w:hAnsi="宋体" w:eastAsia="宋体" w:cs="宋体"/>
              <w:szCs w:val="21"/>
            </w:rPr>
            <w:fldChar w:fldCharType="separate"/>
          </w:r>
          <w:r>
            <w:rPr>
              <w:rFonts w:hint="eastAsia" w:ascii="宋体" w:hAnsi="宋体" w:eastAsia="宋体" w:cs="宋体"/>
              <w:i w:val="0"/>
            </w:rPr>
            <w:t>5</w:t>
          </w:r>
          <w:r>
            <w:rPr>
              <w:rFonts w:hint="eastAsia" w:ascii="宋体" w:hAnsi="宋体" w:eastAsia="宋体" w:cs="宋体"/>
              <w:i w:val="0"/>
              <w:lang w:eastAsia="zh-CN"/>
            </w:rPr>
            <w:t>　</w:t>
          </w:r>
          <w:r>
            <w:rPr>
              <w:rFonts w:hint="eastAsia" w:ascii="宋体" w:hAnsi="宋体" w:eastAsia="宋体" w:cs="宋体"/>
              <w:lang w:val="en-US" w:eastAsia="zh-CN"/>
            </w:rPr>
            <w:t>基本要求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_Toc6325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szCs w:val="21"/>
            </w:rPr>
            <w:fldChar w:fldCharType="end"/>
          </w:r>
        </w:p>
        <w:p w14:paraId="0868C539">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_Toc2866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5.1</w:t>
          </w:r>
          <w:r>
            <w:rPr>
              <w:rFonts w:hint="eastAsia" w:ascii="宋体" w:hAnsi="宋体" w:eastAsia="宋体" w:cs="宋体"/>
              <w:bCs w:val="0"/>
              <w:i w:val="0"/>
              <w:iCs w:val="0"/>
              <w:caps w:val="0"/>
              <w:smallCaps w:val="0"/>
              <w:strike w:val="0"/>
              <w:dstrike w:val="0"/>
              <w:vanish w:val="0"/>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w:t>
          </w:r>
          <w:r>
            <w:rPr>
              <w:rFonts w:hint="eastAsia" w:ascii="宋体" w:hAnsi="宋体" w:eastAsia="宋体" w:cs="宋体"/>
              <w:lang w:val="en-US" w:eastAsia="zh-CN"/>
            </w:rPr>
            <w:t>机构资质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_Toc2866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szCs w:val="21"/>
            </w:rPr>
            <w:fldChar w:fldCharType="end"/>
          </w:r>
        </w:p>
        <w:p w14:paraId="6970597D">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_Toc13663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5.2　</w:t>
          </w:r>
          <w:r>
            <w:rPr>
              <w:rFonts w:hint="eastAsia" w:ascii="宋体" w:hAnsi="宋体" w:eastAsia="宋体" w:cs="宋体"/>
              <w:lang w:val="en-US" w:eastAsia="zh-CN"/>
            </w:rPr>
            <w:t>人员资质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_Toc13663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szCs w:val="21"/>
            </w:rPr>
            <w:fldChar w:fldCharType="end"/>
          </w:r>
        </w:p>
        <w:p w14:paraId="5D62C043">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_Toc15517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5.3　</w:t>
          </w:r>
          <w:r>
            <w:rPr>
              <w:rFonts w:hint="eastAsia" w:ascii="宋体" w:hAnsi="宋体" w:eastAsia="宋体" w:cs="宋体"/>
              <w:lang w:val="en-US" w:eastAsia="zh-CN"/>
            </w:rPr>
            <w:t>设备与耗材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_Toc15517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szCs w:val="21"/>
            </w:rPr>
            <w:fldChar w:fldCharType="end"/>
          </w:r>
        </w:p>
        <w:p w14:paraId="36A0F21C">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_Toc13695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5.4　</w:t>
          </w:r>
          <w:r>
            <w:rPr>
              <w:rFonts w:hint="eastAsia" w:ascii="宋体" w:hAnsi="宋体" w:eastAsia="宋体" w:cs="宋体"/>
              <w:lang w:val="en-US" w:eastAsia="zh-CN"/>
            </w:rPr>
            <w:t>环境与急救保障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_Toc13695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szCs w:val="21"/>
            </w:rPr>
            <w:fldChar w:fldCharType="end"/>
          </w:r>
        </w:p>
        <w:p w14:paraId="5345E4D3">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_Toc32570 </w:instrText>
          </w:r>
          <w:r>
            <w:rPr>
              <w:rFonts w:hint="eastAsia" w:ascii="宋体" w:hAnsi="宋体" w:eastAsia="宋体" w:cs="宋体"/>
              <w:szCs w:val="21"/>
            </w:rPr>
            <w:fldChar w:fldCharType="separate"/>
          </w:r>
          <w:r>
            <w:rPr>
              <w:rFonts w:hint="eastAsia" w:ascii="宋体" w:hAnsi="宋体" w:eastAsia="宋体" w:cs="宋体"/>
              <w:i w:val="0"/>
              <w:lang w:val="en-US" w:eastAsia="zh-CN"/>
            </w:rPr>
            <w:t>6　</w:t>
          </w:r>
          <w:r>
            <w:rPr>
              <w:rFonts w:hint="eastAsia" w:ascii="宋体" w:hAnsi="宋体" w:eastAsia="宋体" w:cs="宋体"/>
              <w:lang w:val="en-US" w:eastAsia="zh-CN"/>
            </w:rPr>
            <w:t>操作要求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_Toc32570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szCs w:val="21"/>
            </w:rPr>
            <w:fldChar w:fldCharType="end"/>
          </w:r>
        </w:p>
        <w:p w14:paraId="163E449A">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_Toc9302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6.1　</w:t>
          </w:r>
          <w:r>
            <w:rPr>
              <w:rFonts w:hint="eastAsia" w:ascii="宋体" w:hAnsi="宋体" w:eastAsia="宋体" w:cs="宋体"/>
              <w:lang w:val="en-US" w:eastAsia="zh-CN"/>
            </w:rPr>
            <w:t>治疗前评估与准备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_Toc9302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szCs w:val="21"/>
            </w:rPr>
            <w:fldChar w:fldCharType="end"/>
          </w:r>
        </w:p>
        <w:p w14:paraId="21C401C7">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_Toc4044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6.2　</w:t>
          </w:r>
          <w:r>
            <w:rPr>
              <w:rFonts w:hint="eastAsia" w:ascii="宋体" w:hAnsi="宋体" w:eastAsia="宋体" w:cs="宋体"/>
              <w:lang w:val="en-US" w:eastAsia="zh-CN"/>
            </w:rPr>
            <w:t>操作流程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_Toc4044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szCs w:val="21"/>
            </w:rPr>
            <w:fldChar w:fldCharType="end"/>
          </w:r>
        </w:p>
        <w:p w14:paraId="440A7F71">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_Toc22523 </w:instrText>
          </w:r>
          <w:r>
            <w:rPr>
              <w:rFonts w:hint="eastAsia" w:ascii="宋体" w:hAnsi="宋体" w:eastAsia="宋体" w:cs="宋体"/>
              <w:szCs w:val="21"/>
            </w:rPr>
            <w:fldChar w:fldCharType="separate"/>
          </w:r>
          <w:r>
            <w:rPr>
              <w:rFonts w:hint="eastAsia" w:ascii="宋体" w:hAnsi="宋体" w:eastAsia="宋体" w:cs="宋体"/>
              <w:i w:val="0"/>
              <w:lang w:val="en-US" w:eastAsia="zh-CN"/>
            </w:rPr>
            <w:t>7　</w:t>
          </w:r>
          <w:r>
            <w:rPr>
              <w:rFonts w:hint="eastAsia" w:ascii="宋体" w:hAnsi="宋体" w:eastAsia="宋体" w:cs="宋体"/>
              <w:lang w:val="en-US" w:eastAsia="zh-CN"/>
            </w:rPr>
            <w:t>疗效评估与治疗终点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_Toc22523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szCs w:val="21"/>
            </w:rPr>
            <w:fldChar w:fldCharType="end"/>
          </w:r>
        </w:p>
        <w:p w14:paraId="33F62C89">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_Toc20201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7.1　</w:t>
          </w:r>
          <w:r>
            <w:rPr>
              <w:rFonts w:hint="eastAsia" w:ascii="宋体" w:hAnsi="宋体" w:eastAsia="宋体" w:cs="宋体"/>
              <w:lang w:val="en-US" w:eastAsia="zh-CN"/>
            </w:rPr>
            <w:t>疗效评估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_Toc20201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szCs w:val="21"/>
            </w:rPr>
            <w:fldChar w:fldCharType="end"/>
          </w:r>
        </w:p>
        <w:p w14:paraId="22B864D2">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_Toc28192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7.2　</w:t>
          </w:r>
          <w:r>
            <w:rPr>
              <w:rFonts w:hint="eastAsia" w:ascii="宋体" w:hAnsi="宋体" w:eastAsia="宋体" w:cs="宋体"/>
              <w:lang w:val="en-US" w:eastAsia="zh-CN"/>
            </w:rPr>
            <w:t>治疗终点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_Toc28192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szCs w:val="21"/>
            </w:rPr>
            <w:fldChar w:fldCharType="end"/>
          </w:r>
        </w:p>
        <w:p w14:paraId="016DC948">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_Toc27939 </w:instrText>
          </w:r>
          <w:r>
            <w:rPr>
              <w:rFonts w:hint="eastAsia" w:ascii="宋体" w:hAnsi="宋体" w:eastAsia="宋体" w:cs="宋体"/>
              <w:szCs w:val="21"/>
            </w:rPr>
            <w:fldChar w:fldCharType="separate"/>
          </w:r>
          <w:r>
            <w:rPr>
              <w:rFonts w:hint="eastAsia" w:ascii="宋体" w:hAnsi="宋体" w:eastAsia="宋体" w:cs="宋体"/>
              <w:i w:val="0"/>
              <w:lang w:val="en-US" w:eastAsia="zh-CN"/>
            </w:rPr>
            <w:t>8　</w:t>
          </w:r>
          <w:r>
            <w:rPr>
              <w:rFonts w:hint="eastAsia" w:ascii="宋体" w:hAnsi="宋体" w:eastAsia="宋体" w:cs="宋体"/>
              <w:lang w:val="en-US" w:eastAsia="zh-CN"/>
            </w:rPr>
            <w:t>记录与档案管理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_Toc27939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szCs w:val="21"/>
            </w:rPr>
            <w:fldChar w:fldCharType="end"/>
          </w:r>
        </w:p>
        <w:p w14:paraId="3A9CA475">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_Toc24592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8.1　</w:t>
          </w:r>
          <w:r>
            <w:rPr>
              <w:rFonts w:hint="eastAsia" w:ascii="宋体" w:hAnsi="宋体" w:eastAsia="宋体" w:cs="宋体"/>
              <w:lang w:val="en-US" w:eastAsia="zh-CN"/>
            </w:rPr>
            <w:t>记录要求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_Toc24592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szCs w:val="21"/>
            </w:rPr>
            <w:fldChar w:fldCharType="end"/>
          </w:r>
        </w:p>
        <w:p w14:paraId="66092B7D">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_Toc26009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8.2　</w:t>
          </w:r>
          <w:r>
            <w:rPr>
              <w:rFonts w:hint="eastAsia" w:ascii="宋体" w:hAnsi="宋体" w:eastAsia="宋体" w:cs="宋体"/>
              <w:lang w:val="en-US" w:eastAsia="zh-CN"/>
            </w:rPr>
            <w:t>记录内容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_Toc26009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szCs w:val="21"/>
            </w:rPr>
            <w:fldChar w:fldCharType="end"/>
          </w:r>
        </w:p>
        <w:p w14:paraId="22735E7C">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_Toc28547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8.3　</w:t>
          </w:r>
          <w:r>
            <w:rPr>
              <w:rFonts w:hint="eastAsia" w:ascii="宋体" w:hAnsi="宋体" w:eastAsia="宋体" w:cs="宋体"/>
              <w:lang w:val="en-US" w:eastAsia="zh-CN"/>
            </w:rPr>
            <w:t>档案管理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_Toc28547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szCs w:val="21"/>
            </w:rPr>
            <w:fldChar w:fldCharType="end"/>
          </w:r>
        </w:p>
        <w:p w14:paraId="14F80314">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_Toc8679 </w:instrText>
          </w:r>
          <w:r>
            <w:rPr>
              <w:rFonts w:hint="eastAsia" w:ascii="宋体" w:hAnsi="宋体" w:eastAsia="宋体" w:cs="宋体"/>
              <w:szCs w:val="21"/>
            </w:rPr>
            <w:fldChar w:fldCharType="separate"/>
          </w:r>
          <w:r>
            <w:rPr>
              <w:rFonts w:hint="eastAsia" w:ascii="宋体" w:hAnsi="宋体" w:eastAsia="宋体" w:cs="宋体"/>
              <w:i w:val="0"/>
              <w:lang w:val="en-US" w:eastAsia="zh-CN"/>
            </w:rPr>
            <w:t>9　</w:t>
          </w:r>
          <w:r>
            <w:rPr>
              <w:rFonts w:hint="eastAsia" w:ascii="宋体" w:hAnsi="宋体" w:eastAsia="宋体" w:cs="宋体"/>
              <w:lang w:val="en-US" w:eastAsia="zh-CN"/>
            </w:rPr>
            <w:t>质量控制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_Toc8679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szCs w:val="21"/>
            </w:rPr>
            <w:fldChar w:fldCharType="end"/>
          </w:r>
        </w:p>
        <w:p w14:paraId="2348557D">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_Toc31552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9.1　</w:t>
          </w:r>
          <w:r>
            <w:rPr>
              <w:rFonts w:hint="eastAsia" w:ascii="宋体" w:hAnsi="宋体" w:eastAsia="宋体" w:cs="宋体"/>
              <w:lang w:val="en-US" w:eastAsia="zh-CN"/>
            </w:rPr>
            <w:t>过程控制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_Toc31552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szCs w:val="21"/>
            </w:rPr>
            <w:fldChar w:fldCharType="end"/>
          </w:r>
        </w:p>
        <w:p w14:paraId="6B6D4D8F">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_Toc421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9.2　</w:t>
          </w:r>
          <w:r>
            <w:rPr>
              <w:rFonts w:hint="eastAsia" w:ascii="宋体" w:hAnsi="宋体" w:eastAsia="宋体" w:cs="宋体"/>
              <w:lang w:val="en-US" w:eastAsia="zh-CN"/>
            </w:rPr>
            <w:t>质量监控指标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_Toc421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szCs w:val="21"/>
            </w:rPr>
            <w:fldChar w:fldCharType="end"/>
          </w:r>
        </w:p>
        <w:p w14:paraId="32087F1D">
          <w:pPr>
            <w:pStyle w:val="11"/>
            <w:keepNext w:val="0"/>
            <w:keepLines w:val="0"/>
            <w:pageBreakBefore w:val="0"/>
            <w:tabs>
              <w:tab w:val="right" w:leader="dot" w:pos="9638"/>
              <w:tab w:val="clear" w:pos="9344"/>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_Toc9012 </w:instrText>
          </w:r>
          <w:r>
            <w:rPr>
              <w:rFonts w:hint="eastAsia" w:ascii="宋体" w:hAnsi="宋体" w:eastAsia="宋体" w:cs="宋体"/>
              <w:szCs w:val="21"/>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9.3　</w:t>
          </w:r>
          <w:r>
            <w:rPr>
              <w:rFonts w:hint="eastAsia" w:ascii="宋体" w:hAnsi="宋体" w:eastAsia="宋体" w:cs="宋体"/>
              <w:lang w:val="en-US" w:eastAsia="zh-CN"/>
            </w:rPr>
            <w:t>不良事件管理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_Toc9012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szCs w:val="21"/>
            </w:rPr>
            <w:fldChar w:fldCharType="end"/>
          </w:r>
        </w:p>
        <w:p w14:paraId="293F20DF">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_Toc2184 </w:instrText>
          </w:r>
          <w:r>
            <w:rPr>
              <w:rFonts w:hint="eastAsia" w:ascii="宋体" w:hAnsi="宋体" w:eastAsia="宋体" w:cs="宋体"/>
              <w:szCs w:val="21"/>
            </w:rPr>
            <w:fldChar w:fldCharType="separate"/>
          </w:r>
          <w:r>
            <w:rPr>
              <w:rFonts w:hint="eastAsia" w:ascii="宋体" w:hAnsi="宋体" w:eastAsia="宋体" w:cs="宋体"/>
              <w:i w:val="0"/>
              <w:spacing w:val="0"/>
              <w:kern w:val="0"/>
              <w:szCs w:val="21"/>
            </w:rPr>
            <w:t>附录A</w:t>
          </w:r>
          <w:r>
            <w:rPr>
              <w:rFonts w:hint="eastAsia" w:ascii="宋体" w:hAnsi="宋体" w:eastAsia="宋体" w:cs="宋体"/>
              <w:kern w:val="0"/>
              <w:szCs w:val="21"/>
              <w:shd w:val="clear" w:fill="auto"/>
              <w:lang w:val="en-US" w:eastAsia="zh-CN" w:bidi="ar"/>
            </w:rPr>
            <w:t>（资料性）</w:t>
          </w:r>
          <w:r>
            <w:rPr>
              <w:rFonts w:hint="eastAsia" w:ascii="宋体" w:hAnsi="宋体" w:eastAsia="宋体" w:cs="宋体"/>
              <w:i w:val="0"/>
              <w:spacing w:val="0"/>
              <w:kern w:val="0"/>
              <w:szCs w:val="21"/>
              <w:lang w:eastAsia="zh-CN"/>
            </w:rPr>
            <w:t>　</w:t>
          </w:r>
          <w:r>
            <w:rPr>
              <w:rFonts w:hint="eastAsia" w:ascii="宋体" w:hAnsi="宋体" w:eastAsia="宋体" w:cs="宋体"/>
              <w:kern w:val="0"/>
              <w:szCs w:val="21"/>
              <w:shd w:val="clear" w:fill="auto"/>
              <w:lang w:val="en-US" w:eastAsia="zh-CN" w:bidi="ar"/>
            </w:rPr>
            <w:t>全自动离心式血浆置换治疗档案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_Toc2184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szCs w:val="21"/>
            </w:rPr>
            <w:fldChar w:fldCharType="end"/>
          </w:r>
        </w:p>
        <w:p w14:paraId="70CDD1C5">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_Toc14008 </w:instrText>
          </w:r>
          <w:r>
            <w:rPr>
              <w:rFonts w:hint="eastAsia" w:ascii="宋体" w:hAnsi="宋体" w:eastAsia="宋体" w:cs="宋体"/>
              <w:szCs w:val="21"/>
            </w:rPr>
            <w:fldChar w:fldCharType="separate"/>
          </w:r>
          <w:r>
            <w:rPr>
              <w:rFonts w:hint="eastAsia" w:ascii="宋体" w:hAnsi="宋体" w:eastAsia="宋体" w:cs="宋体"/>
              <w:i w:val="0"/>
              <w:spacing w:val="0"/>
              <w:kern w:val="0"/>
              <w:szCs w:val="21"/>
              <w:shd w:val="clear" w:fill="auto"/>
              <w:lang w:val="en-US" w:eastAsia="zh-CN" w:bidi="ar"/>
            </w:rPr>
            <w:t>附录B</w:t>
          </w:r>
          <w:r>
            <w:rPr>
              <w:rFonts w:hint="eastAsia" w:ascii="宋体" w:hAnsi="宋体" w:eastAsia="宋体" w:cs="宋体"/>
              <w:kern w:val="0"/>
              <w:szCs w:val="21"/>
              <w:shd w:val="clear" w:fill="auto"/>
              <w:lang w:val="en-US" w:eastAsia="zh-CN" w:bidi="ar"/>
            </w:rPr>
            <w:t>（资料性）</w:t>
          </w:r>
          <w:r>
            <w:rPr>
              <w:rFonts w:hint="eastAsia" w:ascii="宋体" w:hAnsi="宋体" w:eastAsia="宋体" w:cs="宋体"/>
            </w:rPr>
            <w:t>　</w:t>
          </w:r>
          <w:r>
            <w:rPr>
              <w:rFonts w:hint="eastAsia" w:ascii="宋体" w:hAnsi="宋体" w:eastAsia="宋体" w:cs="宋体"/>
              <w:kern w:val="0"/>
              <w:szCs w:val="21"/>
              <w:shd w:val="clear" w:fill="auto"/>
              <w:lang w:val="en-US" w:eastAsia="zh-CN" w:bidi="ar"/>
            </w:rPr>
            <w:t>血浆置换目标量计算方法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_Toc14008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szCs w:val="21"/>
            </w:rPr>
            <w:fldChar w:fldCharType="end"/>
          </w:r>
        </w:p>
        <w:p w14:paraId="08CD1C0D">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_Toc7443 </w:instrText>
          </w:r>
          <w:r>
            <w:rPr>
              <w:rFonts w:hint="eastAsia" w:ascii="宋体" w:hAnsi="宋体" w:eastAsia="宋体" w:cs="宋体"/>
              <w:szCs w:val="21"/>
            </w:rPr>
            <w:fldChar w:fldCharType="separate"/>
          </w:r>
          <w:r>
            <w:rPr>
              <w:rFonts w:hint="eastAsia" w:ascii="宋体" w:hAnsi="宋体" w:eastAsia="宋体" w:cs="宋体"/>
              <w:i w:val="0"/>
              <w:spacing w:val="0"/>
              <w:kern w:val="0"/>
              <w:szCs w:val="21"/>
              <w:shd w:val="clear" w:fill="auto"/>
              <w:lang w:val="en-US" w:eastAsia="zh-CN" w:bidi="ar"/>
            </w:rPr>
            <w:t>附录C</w:t>
          </w:r>
          <w:r>
            <w:rPr>
              <w:rFonts w:hint="eastAsia" w:ascii="宋体" w:hAnsi="宋体" w:eastAsia="宋体" w:cs="宋体"/>
              <w:kern w:val="0"/>
              <w:szCs w:val="21"/>
              <w:shd w:val="clear" w:fill="auto"/>
              <w:lang w:val="en-US" w:eastAsia="zh-CN" w:bidi="ar"/>
            </w:rPr>
            <w:t>（资料性）</w:t>
          </w:r>
          <w:r>
            <w:rPr>
              <w:rFonts w:hint="eastAsia" w:ascii="宋体" w:hAnsi="宋体" w:eastAsia="宋体" w:cs="宋体"/>
            </w:rPr>
            <w:t>　</w:t>
          </w:r>
          <w:r>
            <w:rPr>
              <w:rFonts w:hint="eastAsia" w:ascii="宋体" w:hAnsi="宋体" w:eastAsia="宋体" w:cs="宋体"/>
              <w:kern w:val="0"/>
              <w:szCs w:val="21"/>
              <w:shd w:val="clear" w:fill="auto"/>
              <w:lang w:val="en-US" w:eastAsia="zh-CN" w:bidi="ar"/>
            </w:rPr>
            <w:t>置换液种类与抗凝方案选择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_Toc7443 \h </w:instrText>
          </w:r>
          <w:r>
            <w:rPr>
              <w:rFonts w:hint="eastAsia" w:ascii="宋体" w:hAnsi="宋体" w:eastAsia="宋体" w:cs="宋体"/>
            </w:rPr>
            <w:fldChar w:fldCharType="separate"/>
          </w:r>
          <w:r>
            <w:rPr>
              <w:rFonts w:hint="eastAsia" w:ascii="宋体" w:hAnsi="宋体" w:eastAsia="宋体" w:cs="宋体"/>
            </w:rPr>
            <w:t>16</w:t>
          </w:r>
          <w:r>
            <w:rPr>
              <w:rFonts w:hint="eastAsia" w:ascii="宋体" w:hAnsi="宋体" w:eastAsia="宋体" w:cs="宋体"/>
            </w:rPr>
            <w:fldChar w:fldCharType="end"/>
          </w:r>
          <w:r>
            <w:rPr>
              <w:rFonts w:hint="eastAsia" w:ascii="宋体" w:hAnsi="宋体" w:eastAsia="宋体" w:cs="宋体"/>
              <w:szCs w:val="21"/>
            </w:rPr>
            <w:fldChar w:fldCharType="end"/>
          </w:r>
        </w:p>
        <w:p w14:paraId="535F63B8">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_Toc13550 </w:instrText>
          </w:r>
          <w:r>
            <w:rPr>
              <w:rFonts w:hint="eastAsia" w:ascii="宋体" w:hAnsi="宋体" w:eastAsia="宋体" w:cs="宋体"/>
              <w:szCs w:val="21"/>
            </w:rPr>
            <w:fldChar w:fldCharType="separate"/>
          </w:r>
          <w:r>
            <w:rPr>
              <w:rFonts w:hint="eastAsia" w:ascii="宋体" w:hAnsi="宋体" w:eastAsia="宋体" w:cs="宋体"/>
              <w:i w:val="0"/>
              <w:spacing w:val="0"/>
              <w:kern w:val="0"/>
              <w:szCs w:val="21"/>
              <w:shd w:val="clear" w:fill="auto"/>
              <w:lang w:val="en-US" w:eastAsia="zh-CN" w:bidi="ar"/>
            </w:rPr>
            <w:t>附录D</w:t>
          </w:r>
          <w:r>
            <w:rPr>
              <w:rFonts w:hint="eastAsia" w:ascii="宋体" w:hAnsi="宋体" w:eastAsia="宋体" w:cs="宋体"/>
              <w:kern w:val="0"/>
              <w:szCs w:val="21"/>
              <w:shd w:val="clear" w:fill="auto"/>
              <w:lang w:val="en-US" w:eastAsia="zh-CN" w:bidi="ar"/>
            </w:rPr>
            <w:t>（资料性）</w:t>
          </w:r>
          <w:r>
            <w:rPr>
              <w:rFonts w:hint="eastAsia" w:ascii="宋体" w:hAnsi="宋体" w:eastAsia="宋体" w:cs="宋体"/>
            </w:rPr>
            <w:t>　</w:t>
          </w:r>
          <w:r>
            <w:rPr>
              <w:rFonts w:hint="eastAsia" w:ascii="宋体" w:hAnsi="宋体" w:eastAsia="宋体" w:cs="宋体"/>
              <w:kern w:val="0"/>
              <w:szCs w:val="21"/>
              <w:shd w:val="clear" w:fill="auto"/>
              <w:lang w:val="en-US" w:eastAsia="zh-CN" w:bidi="ar"/>
            </w:rPr>
            <w:t>并发症预防与处理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_Toc13550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szCs w:val="21"/>
            </w:rPr>
            <w:fldChar w:fldCharType="end"/>
          </w:r>
        </w:p>
        <w:p w14:paraId="41940BE6">
          <w:pPr>
            <w:pStyle w:val="9"/>
            <w:keepNext w:val="0"/>
            <w:keepLines w:val="0"/>
            <w:pageBreakBefore w:val="0"/>
            <w:tabs>
              <w:tab w:val="right" w:leader="dot" w:pos="9638"/>
            </w:tabs>
            <w:kinsoku/>
            <w:wordWrap/>
            <w:overflowPunct/>
            <w:topLinePunct w:val="0"/>
            <w:autoSpaceDE/>
            <w:autoSpaceDN/>
            <w:bidi w:val="0"/>
            <w:snapToGrid/>
            <w:spacing w:line="400" w:lineRule="exact"/>
            <w:textAlignment w:val="auto"/>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_Toc29575 </w:instrText>
          </w:r>
          <w:r>
            <w:rPr>
              <w:rFonts w:hint="eastAsia" w:ascii="宋体" w:hAnsi="宋体" w:eastAsia="宋体" w:cs="宋体"/>
              <w:szCs w:val="21"/>
            </w:rPr>
            <w:fldChar w:fldCharType="separate"/>
          </w:r>
          <w:r>
            <w:rPr>
              <w:rFonts w:hint="eastAsia" w:ascii="宋体" w:hAnsi="宋体" w:eastAsia="宋体" w:cs="宋体"/>
              <w:szCs w:val="21"/>
            </w:rPr>
            <w:t>参考文献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_Toc29575 \h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r>
            <w:rPr>
              <w:rFonts w:hint="eastAsia" w:ascii="宋体" w:hAnsi="宋体" w:eastAsia="宋体" w:cs="宋体"/>
              <w:szCs w:val="21"/>
            </w:rPr>
            <w:fldChar w:fldCharType="end"/>
          </w:r>
        </w:p>
        <w:p w14:paraId="4735D5EB">
          <w:pPr>
            <w:pStyle w:val="55"/>
            <w:keepNext w:val="0"/>
            <w:keepLines w:val="0"/>
            <w:pageBreakBefore w:val="0"/>
            <w:widowControl/>
            <w:tabs>
              <w:tab w:val="right" w:leader="dot" w:pos="9639"/>
              <w:tab w:val="clear" w:pos="9354"/>
            </w:tabs>
            <w:kinsoku/>
            <w:wordWrap/>
            <w:overflowPunct/>
            <w:topLinePunct w:val="0"/>
            <w:autoSpaceDE/>
            <w:autoSpaceDN/>
            <w:bidi w:val="0"/>
            <w:adjustRightInd/>
            <w:snapToGrid/>
            <w:spacing w:line="400" w:lineRule="exact"/>
            <w:textAlignment w:val="auto"/>
          </w:pPr>
          <w:r>
            <w:rPr>
              <w:rFonts w:hint="eastAsia" w:ascii="宋体" w:hAnsi="宋体" w:eastAsia="宋体" w:cs="宋体"/>
              <w:sz w:val="21"/>
              <w:szCs w:val="21"/>
            </w:rPr>
            <w:fldChar w:fldCharType="end"/>
          </w:r>
        </w:p>
      </w:sdtContent>
    </w:sdt>
    <w:p w14:paraId="1CF9FCE6">
      <w:bookmarkStart w:id="38" w:name="_Toc28856"/>
      <w:r>
        <w:rPr>
          <w:rFonts w:hint="eastAsia"/>
        </w:rPr>
        <w:br w:type="page"/>
      </w:r>
    </w:p>
    <w:p w14:paraId="051660F2">
      <w:pPr>
        <w:pStyle w:val="29"/>
      </w:pPr>
      <w:bookmarkStart w:id="39" w:name="_Toc29401"/>
      <w:r>
        <w:rPr>
          <w:rFonts w:hint="eastAsia"/>
        </w:rPr>
        <w:t>前　　言</w:t>
      </w:r>
      <w:bookmarkEnd w:id="38"/>
      <w:bookmarkEnd w:id="39"/>
    </w:p>
    <w:p w14:paraId="4338AB1D">
      <w:pPr>
        <w:pStyle w:val="6"/>
        <w:tabs>
          <w:tab w:val="left" w:pos="8190"/>
        </w:tabs>
        <w:spacing w:beforeLines="0" w:after="0" w:afterLines="0" w:line="240" w:lineRule="auto"/>
        <w:ind w:left="0" w:leftChars="0" w:firstLine="420" w:firstLineChars="200"/>
        <w:rPr>
          <w:rFonts w:hint="default" w:ascii="宋体" w:hAnsi="宋体"/>
          <w:sz w:val="21"/>
          <w:szCs w:val="21"/>
        </w:rPr>
      </w:pPr>
      <w:r>
        <w:rPr>
          <w:rFonts w:hint="default" w:ascii="宋体" w:hAnsi="宋体"/>
          <w:sz w:val="21"/>
          <w:szCs w:val="21"/>
        </w:rPr>
        <w:t>本文件按照GB/T 1.1—2020《标准化工作导则第1部分：标准化文件的结构和起草规则》的规定起草。</w:t>
      </w:r>
    </w:p>
    <w:p w14:paraId="5ADEF6DA">
      <w:pPr>
        <w:pStyle w:val="6"/>
        <w:tabs>
          <w:tab w:val="left" w:pos="8190"/>
        </w:tabs>
        <w:spacing w:beforeLines="0" w:after="0" w:afterLines="0" w:line="240" w:lineRule="auto"/>
        <w:ind w:left="0" w:leftChars="0" w:firstLine="420" w:firstLineChars="200"/>
        <w:rPr>
          <w:rFonts w:hint="default" w:ascii="宋体" w:hAnsi="宋体"/>
          <w:sz w:val="21"/>
          <w:szCs w:val="21"/>
        </w:rPr>
      </w:pPr>
      <w:r>
        <w:rPr>
          <w:rFonts w:hint="default" w:ascii="宋体" w:hAnsi="宋体"/>
          <w:sz w:val="21"/>
          <w:szCs w:val="21"/>
        </w:rPr>
        <w:t>请注意本文件的某些内容可能涉及专利</w:t>
      </w:r>
      <w:r>
        <w:rPr>
          <w:rFonts w:hint="eastAsia" w:ascii="宋体" w:hAnsi="宋体"/>
          <w:sz w:val="21"/>
          <w:szCs w:val="21"/>
          <w:lang w:eastAsia="zh-CN"/>
        </w:rPr>
        <w:t>。</w:t>
      </w:r>
      <w:r>
        <w:rPr>
          <w:rFonts w:hint="default" w:ascii="宋体" w:hAnsi="宋体"/>
          <w:sz w:val="21"/>
          <w:szCs w:val="21"/>
        </w:rPr>
        <w:t>本文件的发布机构不承担识别专利的责任。</w:t>
      </w:r>
    </w:p>
    <w:p w14:paraId="3024F84F">
      <w:pPr>
        <w:pStyle w:val="6"/>
        <w:tabs>
          <w:tab w:val="left" w:pos="8190"/>
        </w:tabs>
        <w:spacing w:beforeLines="0" w:after="0" w:afterLines="0" w:line="240" w:lineRule="auto"/>
        <w:ind w:left="0" w:leftChars="0" w:firstLine="420" w:firstLineChars="200"/>
        <w:rPr>
          <w:rFonts w:hint="default" w:ascii="宋体" w:hAnsi="宋体"/>
          <w:sz w:val="21"/>
          <w:szCs w:val="21"/>
        </w:rPr>
      </w:pPr>
      <w:r>
        <w:rPr>
          <w:rFonts w:hint="default" w:ascii="宋体" w:hAnsi="宋体"/>
          <w:sz w:val="21"/>
          <w:szCs w:val="21"/>
        </w:rPr>
        <w:t>本文件由朗贝医疗服务（河北）有限公司提出。</w:t>
      </w:r>
    </w:p>
    <w:p w14:paraId="781D06C1">
      <w:pPr>
        <w:pStyle w:val="6"/>
        <w:tabs>
          <w:tab w:val="left" w:pos="8190"/>
        </w:tabs>
        <w:spacing w:beforeLines="0" w:after="0" w:afterLines="0" w:line="240" w:lineRule="auto"/>
        <w:ind w:left="0" w:leftChars="0" w:firstLine="420" w:firstLineChars="200"/>
        <w:rPr>
          <w:rFonts w:hint="default" w:ascii="宋体" w:hAnsi="宋体"/>
          <w:sz w:val="21"/>
          <w:szCs w:val="21"/>
        </w:rPr>
      </w:pPr>
      <w:r>
        <w:rPr>
          <w:rFonts w:hint="default" w:ascii="宋体" w:hAnsi="宋体"/>
          <w:sz w:val="21"/>
          <w:szCs w:val="21"/>
        </w:rPr>
        <w:t>本文件由</w:t>
      </w:r>
      <w:r>
        <w:rPr>
          <w:rFonts w:hint="eastAsia" w:ascii="宋体" w:hAnsi="宋体"/>
          <w:sz w:val="21"/>
          <w:szCs w:val="21"/>
          <w:lang w:val="en-US" w:eastAsia="zh-CN"/>
        </w:rPr>
        <w:t>中国民族卫生协会</w:t>
      </w:r>
      <w:r>
        <w:rPr>
          <w:rFonts w:hint="default" w:ascii="宋体" w:hAnsi="宋体"/>
          <w:sz w:val="21"/>
          <w:szCs w:val="21"/>
        </w:rPr>
        <w:t>归口。</w:t>
      </w:r>
    </w:p>
    <w:p w14:paraId="6267013E">
      <w:pPr>
        <w:pStyle w:val="6"/>
        <w:tabs>
          <w:tab w:val="left" w:pos="8190"/>
        </w:tabs>
        <w:spacing w:beforeLines="0" w:after="0" w:afterLines="0" w:line="240" w:lineRule="auto"/>
        <w:ind w:left="0" w:leftChars="0" w:firstLine="420" w:firstLineChars="200"/>
        <w:rPr>
          <w:rFonts w:hint="default" w:ascii="宋体" w:hAnsi="宋体"/>
          <w:sz w:val="21"/>
          <w:szCs w:val="21"/>
        </w:rPr>
      </w:pPr>
      <w:r>
        <w:rPr>
          <w:rFonts w:hint="default" w:ascii="宋体" w:hAnsi="宋体"/>
          <w:sz w:val="21"/>
          <w:szCs w:val="21"/>
        </w:rPr>
        <w:t>本文件起草单位：</w:t>
      </w:r>
    </w:p>
    <w:p w14:paraId="680F4761">
      <w:pPr>
        <w:pStyle w:val="6"/>
        <w:tabs>
          <w:tab w:val="left" w:pos="8190"/>
        </w:tabs>
        <w:spacing w:beforeLines="0" w:after="0" w:afterLines="0" w:line="240" w:lineRule="auto"/>
        <w:ind w:left="0" w:leftChars="0" w:firstLine="420" w:firstLineChars="200"/>
        <w:rPr>
          <w:rFonts w:hint="eastAsia" w:ascii="宋体" w:hAnsi="宋体"/>
          <w:sz w:val="21"/>
          <w:szCs w:val="21"/>
          <w:lang w:val="en-US" w:eastAsia="zh-CN"/>
        </w:rPr>
      </w:pPr>
      <w:r>
        <w:rPr>
          <w:rFonts w:hint="default" w:ascii="宋体" w:hAnsi="宋体"/>
          <w:sz w:val="21"/>
          <w:szCs w:val="21"/>
          <w:lang w:val="en-US" w:eastAsia="zh-CN"/>
        </w:rPr>
        <w:t>朗贝医疗服务（河北）有限公司</w:t>
      </w:r>
      <w:r>
        <w:rPr>
          <w:rFonts w:hint="eastAsia" w:ascii="宋体" w:hAnsi="宋体"/>
          <w:sz w:val="21"/>
          <w:szCs w:val="21"/>
          <w:lang w:val="en-US" w:eastAsia="zh-CN"/>
        </w:rPr>
        <w:t>、四川大学华西医院、西南医科大学附属医院、开封第三人民医院、哈尔滨市第五医院、厦门湖里仁军医院 、北京普华诊所、阜阳市颍州区佑一康复医院、平邑厚德医院、郑州瑞祥医院 、新郑中和医院、宜君龙山医院、</w:t>
      </w:r>
      <w:r>
        <w:rPr>
          <w:rFonts w:hint="default" w:ascii="宋体" w:hAnsi="宋体"/>
          <w:sz w:val="21"/>
          <w:szCs w:val="21"/>
          <w:lang w:val="en-US" w:eastAsia="zh-CN"/>
        </w:rPr>
        <w:t>兰考县妇幼保健院、西安铭朗医疗设备有限公司、</w:t>
      </w:r>
      <w:r>
        <w:rPr>
          <w:rFonts w:hint="eastAsia" w:ascii="宋体" w:hAnsi="宋体"/>
          <w:sz w:val="21"/>
          <w:szCs w:val="21"/>
          <w:lang w:val="en-US" w:eastAsia="zh-CN"/>
        </w:rPr>
        <w:t>浙江华清精准医疗科技有限公司、重庆市铂而斐生物技术有限公司、江西北正赛欧科技有限公司、</w:t>
      </w:r>
      <w:r>
        <w:rPr>
          <w:rFonts w:hint="default" w:ascii="宋体" w:hAnsi="宋体"/>
          <w:sz w:val="21"/>
          <w:szCs w:val="21"/>
          <w:lang w:val="en-US" w:eastAsia="zh-CN"/>
        </w:rPr>
        <w:t>朗安医疗服务（石家庄）有限公司</w:t>
      </w:r>
      <w:r>
        <w:rPr>
          <w:rFonts w:hint="eastAsia" w:ascii="宋体" w:hAnsi="宋体"/>
          <w:sz w:val="21"/>
          <w:szCs w:val="21"/>
          <w:lang w:val="en-US" w:eastAsia="zh-CN"/>
        </w:rPr>
        <w:t>、</w:t>
      </w:r>
      <w:r>
        <w:rPr>
          <w:rFonts w:hint="default" w:ascii="宋体" w:hAnsi="宋体"/>
          <w:sz w:val="21"/>
          <w:szCs w:val="21"/>
          <w:lang w:val="en-US" w:eastAsia="zh-CN"/>
        </w:rPr>
        <w:t>中朗健康科技（廊坊）有限公司、山西仁安医院有限公司。</w:t>
      </w:r>
    </w:p>
    <w:p w14:paraId="0F1A8B30">
      <w:pPr>
        <w:pStyle w:val="6"/>
        <w:tabs>
          <w:tab w:val="left" w:pos="8190"/>
        </w:tabs>
        <w:spacing w:beforeLines="0" w:after="0" w:afterLines="0" w:line="240" w:lineRule="auto"/>
        <w:ind w:left="0" w:leftChars="0" w:firstLine="420" w:firstLineChars="200"/>
        <w:rPr>
          <w:rFonts w:hint="eastAsia" w:ascii="宋体" w:hAnsi="宋体" w:eastAsia="宋体"/>
          <w:sz w:val="21"/>
          <w:szCs w:val="21"/>
          <w:lang w:eastAsia="zh-CN"/>
        </w:rPr>
      </w:pPr>
    </w:p>
    <w:p w14:paraId="0F622CCE">
      <w:pPr>
        <w:pStyle w:val="6"/>
        <w:tabs>
          <w:tab w:val="left" w:pos="8190"/>
        </w:tabs>
        <w:spacing w:after="0" w:line="240" w:lineRule="auto"/>
        <w:ind w:left="0" w:leftChars="0" w:firstLine="420" w:firstLineChars="200"/>
        <w:rPr>
          <w:rFonts w:hint="eastAsia" w:ascii="宋体" w:hAnsi="宋体"/>
          <w:sz w:val="21"/>
          <w:szCs w:val="21"/>
          <w:lang w:val="en-US" w:eastAsia="zh-CN"/>
        </w:rPr>
      </w:pPr>
      <w:r>
        <w:rPr>
          <w:rFonts w:hint="default" w:ascii="宋体" w:hAnsi="宋体"/>
          <w:sz w:val="21"/>
          <w:szCs w:val="21"/>
        </w:rPr>
        <w:t>本文件主要起草人：</w:t>
      </w:r>
      <w:r>
        <w:rPr>
          <w:rFonts w:hint="eastAsia" w:ascii="宋体" w:hAnsi="宋体"/>
          <w:sz w:val="21"/>
          <w:szCs w:val="21"/>
          <w:lang w:val="en-US" w:eastAsia="zh-CN"/>
        </w:rPr>
        <w:t>陈晓红、吴洁、黄亦红、杨长松、</w:t>
      </w:r>
      <w:r>
        <w:rPr>
          <w:rFonts w:hint="default" w:ascii="宋体" w:hAnsi="宋体"/>
          <w:sz w:val="21"/>
          <w:szCs w:val="21"/>
          <w:lang w:val="en-US" w:eastAsia="zh-CN"/>
        </w:rPr>
        <w:t>李澎涛</w:t>
      </w:r>
      <w:r>
        <w:rPr>
          <w:rFonts w:hint="eastAsia" w:ascii="宋体" w:hAnsi="宋体"/>
          <w:sz w:val="21"/>
          <w:szCs w:val="21"/>
          <w:lang w:val="en-US" w:eastAsia="zh-CN"/>
        </w:rPr>
        <w:t>、于普林、何平、赵领、肖惠敏、冯东菲、苑晓晨、 林燕、雷健波、张育铭、丁显平</w:t>
      </w:r>
      <w:r>
        <w:rPr>
          <w:rFonts w:hint="default" w:ascii="宋体" w:hAnsi="宋体"/>
          <w:sz w:val="21"/>
          <w:szCs w:val="21"/>
          <w:lang w:val="en-US" w:eastAsia="zh-CN"/>
        </w:rPr>
        <w:t>、</w:t>
      </w:r>
      <w:r>
        <w:rPr>
          <w:rFonts w:hint="eastAsia" w:ascii="宋体" w:hAnsi="宋体"/>
          <w:sz w:val="21"/>
          <w:szCs w:val="21"/>
          <w:lang w:val="en-US" w:eastAsia="zh-CN"/>
        </w:rPr>
        <w:t>杨冬梅、许树根、韩鹏、张庆军、唐学良、林晓杨、黄自聪、黄祥泓、赵峰、简勇、郭声敏、谢道银、杜铁军</w:t>
      </w:r>
      <w:r>
        <w:rPr>
          <w:rFonts w:hint="default" w:ascii="宋体" w:hAnsi="宋体"/>
          <w:sz w:val="21"/>
          <w:szCs w:val="21"/>
          <w:lang w:val="en-US" w:eastAsia="zh-CN"/>
        </w:rPr>
        <w:t>、</w:t>
      </w:r>
      <w:r>
        <w:rPr>
          <w:rFonts w:hint="eastAsia" w:ascii="宋体" w:hAnsi="宋体"/>
          <w:sz w:val="21"/>
          <w:szCs w:val="21"/>
          <w:lang w:val="en-US" w:eastAsia="zh-CN"/>
        </w:rPr>
        <w:t>程素娜、</w:t>
      </w:r>
      <w:r>
        <w:rPr>
          <w:rFonts w:hint="default" w:ascii="宋体" w:hAnsi="宋体"/>
          <w:sz w:val="21"/>
          <w:szCs w:val="21"/>
          <w:lang w:val="en-US" w:eastAsia="zh-CN"/>
        </w:rPr>
        <w:t>贺达、</w:t>
      </w:r>
      <w:r>
        <w:rPr>
          <w:rFonts w:hint="eastAsia" w:ascii="宋体" w:hAnsi="宋体"/>
          <w:sz w:val="21"/>
          <w:szCs w:val="21"/>
          <w:lang w:val="en-US" w:eastAsia="zh-CN"/>
        </w:rPr>
        <w:t>甘元善、张敬、钱会芬、</w:t>
      </w:r>
      <w:r>
        <w:rPr>
          <w:rFonts w:hint="default" w:ascii="宋体" w:hAnsi="宋体"/>
          <w:sz w:val="21"/>
          <w:szCs w:val="21"/>
          <w:lang w:val="en-US" w:eastAsia="zh-CN"/>
        </w:rPr>
        <w:t>赵言正、张潇瑶、</w:t>
      </w:r>
      <w:r>
        <w:rPr>
          <w:rFonts w:hint="eastAsia" w:ascii="宋体" w:hAnsi="宋体"/>
          <w:sz w:val="21"/>
          <w:szCs w:val="21"/>
          <w:lang w:val="en-US" w:eastAsia="zh-CN"/>
        </w:rPr>
        <w:t>刘静辉</w:t>
      </w:r>
      <w:r>
        <w:rPr>
          <w:rFonts w:hint="default" w:ascii="宋体" w:hAnsi="宋体"/>
          <w:sz w:val="21"/>
          <w:szCs w:val="21"/>
          <w:lang w:val="en-US" w:eastAsia="zh-CN"/>
        </w:rPr>
        <w:t>、周润柏。</w:t>
      </w:r>
    </w:p>
    <w:p w14:paraId="04740F56">
      <w:pPr>
        <w:pStyle w:val="6"/>
        <w:tabs>
          <w:tab w:val="left" w:pos="8190"/>
        </w:tabs>
        <w:spacing w:beforeLines="0" w:after="0" w:afterLines="0" w:line="240" w:lineRule="auto"/>
        <w:ind w:left="0" w:leftChars="0" w:firstLine="420" w:firstLineChars="200"/>
      </w:pPr>
    </w:p>
    <w:p w14:paraId="6E5B4700">
      <w:pPr>
        <w:keepNext w:val="0"/>
        <w:keepLines w:val="0"/>
        <w:pageBreakBefore w:val="0"/>
        <w:widowControl w:val="0"/>
        <w:kinsoku/>
        <w:wordWrap/>
        <w:overflowPunct/>
        <w:topLinePunct w:val="0"/>
        <w:autoSpaceDE/>
        <w:autoSpaceDN/>
        <w:bidi w:val="0"/>
        <w:adjustRightInd w:val="0"/>
        <w:snapToGrid/>
        <w:spacing w:before="850" w:after="680" w:line="240" w:lineRule="auto"/>
        <w:ind w:firstLine="2730" w:firstLineChars="1300"/>
        <w:jc w:val="both"/>
        <w:textAlignment w:val="auto"/>
        <w:rPr>
          <w:rFonts w:ascii="黑体" w:hAnsi="黑体" w:eastAsia="黑体"/>
          <w:sz w:val="32"/>
          <w:szCs w:val="32"/>
        </w:rPr>
      </w:pPr>
      <w:sdt>
        <w:sdtPr>
          <w:rPr>
            <w:rFonts w:hint="eastAsia"/>
          </w:rPr>
          <w:tag w:val="NEW_STAND_NAME"/>
          <w:id w:val="595910757"/>
          <w:placeholder>
            <w:docPart w:val="251750C52DB14F53B7DE011DAE6F20C8"/>
          </w:placeholder>
        </w:sdtPr>
        <w:sdtEndPr>
          <w:rPr>
            <w:rFonts w:hint="eastAsia"/>
          </w:rPr>
        </w:sdtEndPr>
        <w:sdtContent>
          <w:bookmarkStart w:id="40" w:name="_Toc133332959"/>
          <w:bookmarkStart w:id="41" w:name="NEW_STAND_NAME"/>
          <w:bookmarkStart w:id="42" w:name="_Toc131777673"/>
          <w:bookmarkStart w:id="43" w:name="_Toc1651882"/>
          <w:bookmarkStart w:id="44" w:name="BookMark4"/>
          <w:bookmarkStart w:id="45" w:name="_Toc942348"/>
          <w:bookmarkStart w:id="46" w:name="_Toc133332543"/>
          <w:bookmarkStart w:id="47" w:name="_Toc942019"/>
          <w:r>
            <w:rPr>
              <w:rFonts w:hint="eastAsia"/>
              <w:lang w:val="en-US" w:eastAsia="zh-CN"/>
            </w:rPr>
            <w:t xml:space="preserve">  </w:t>
          </w:r>
          <w:r>
            <w:rPr>
              <w:rFonts w:hint="eastAsia" w:ascii="黑体" w:eastAsia="黑体"/>
              <w:sz w:val="32"/>
              <w:szCs w:val="32"/>
              <w:lang w:val="en-US" w:eastAsia="zh-CN"/>
            </w:rPr>
            <w:t>全自动离心式血浆置换技术规范</w:t>
          </w:r>
        </w:sdtContent>
      </w:sdt>
    </w:p>
    <w:bookmarkEnd w:id="40"/>
    <w:bookmarkEnd w:id="41"/>
    <w:bookmarkEnd w:id="42"/>
    <w:bookmarkEnd w:id="43"/>
    <w:bookmarkEnd w:id="44"/>
    <w:bookmarkEnd w:id="45"/>
    <w:bookmarkEnd w:id="46"/>
    <w:bookmarkEnd w:id="47"/>
    <w:p w14:paraId="386C1915">
      <w:pPr>
        <w:pStyle w:val="31"/>
        <w:numPr>
          <w:ilvl w:val="1"/>
          <w:numId w:val="5"/>
        </w:numPr>
        <w:spacing w:before="312" w:after="312"/>
        <w:ind w:left="780" w:hanging="780"/>
      </w:pPr>
      <w:bookmarkStart w:id="48" w:name="_Toc5302"/>
      <w:bookmarkStart w:id="49" w:name="_Toc20521"/>
      <w:bookmarkStart w:id="50" w:name="_Toc20499"/>
      <w:bookmarkStart w:id="51" w:name="_Toc29105"/>
      <w:bookmarkStart w:id="52" w:name="_Toc32427"/>
      <w:bookmarkStart w:id="53" w:name="_Toc16576"/>
      <w:bookmarkStart w:id="54" w:name="BookMark8"/>
      <w:r>
        <w:rPr>
          <w:rFonts w:hint="eastAsia"/>
        </w:rPr>
        <w:t>范围</w:t>
      </w:r>
      <w:bookmarkEnd w:id="48"/>
      <w:bookmarkEnd w:id="49"/>
      <w:bookmarkEnd w:id="50"/>
      <w:bookmarkEnd w:id="51"/>
      <w:bookmarkEnd w:id="52"/>
      <w:bookmarkEnd w:id="53"/>
    </w:p>
    <w:p w14:paraId="0F60573A">
      <w:pPr>
        <w:pStyle w:val="28"/>
        <w:rPr>
          <w:rFonts w:hint="eastAsia" w:ascii="宋体" w:hAnsi="宋体"/>
          <w:lang w:val="en-US" w:eastAsia="zh-CN"/>
        </w:rPr>
      </w:pPr>
      <w:r>
        <w:rPr>
          <w:rFonts w:hint="eastAsia" w:ascii="宋体" w:hAnsi="宋体"/>
        </w:rPr>
        <w:t>本文件规定</w:t>
      </w:r>
      <w:r>
        <w:rPr>
          <w:rFonts w:hint="eastAsia" w:ascii="宋体" w:hAnsi="宋体"/>
          <w:lang w:eastAsia="zh-CN"/>
        </w:rPr>
        <w:t>了</w:t>
      </w:r>
      <w:r>
        <w:rPr>
          <w:rFonts w:hint="eastAsia" w:ascii="宋体" w:hAnsi="宋体"/>
          <w:lang w:val="en-US" w:eastAsia="zh-CN"/>
        </w:rPr>
        <w:t>全自动离心式血浆置换技术的基本要求、操作要求、疗效评估与治疗终点、记录与档案鼓励和质量控制要求。</w:t>
      </w:r>
    </w:p>
    <w:p w14:paraId="3D0E8F5E">
      <w:pPr>
        <w:pStyle w:val="28"/>
        <w:rPr>
          <w:rFonts w:ascii="宋体" w:hAnsi="宋体"/>
        </w:rPr>
      </w:pPr>
      <w:r>
        <w:rPr>
          <w:rFonts w:hint="eastAsia" w:ascii="宋体" w:hAnsi="宋体"/>
        </w:rPr>
        <w:t>本文件适用于各级医疗机构</w:t>
      </w:r>
      <w:r>
        <w:rPr>
          <w:rFonts w:hint="eastAsia" w:ascii="宋体" w:hAnsi="宋体"/>
          <w:lang w:val="en-US" w:eastAsia="zh-CN"/>
        </w:rPr>
        <w:t>开展的全自动离心式血浆置换操作</w:t>
      </w:r>
      <w:r>
        <w:rPr>
          <w:rFonts w:hint="eastAsia" w:ascii="宋体" w:hAnsi="宋体"/>
        </w:rPr>
        <w:t>。</w:t>
      </w:r>
      <w:bookmarkStart w:id="55" w:name="_Toc21769"/>
      <w:bookmarkStart w:id="56" w:name="_Toc12462"/>
    </w:p>
    <w:p w14:paraId="6399EEB7">
      <w:pPr>
        <w:pStyle w:val="31"/>
        <w:numPr>
          <w:ilvl w:val="1"/>
          <w:numId w:val="5"/>
        </w:numPr>
        <w:spacing w:before="312" w:after="312"/>
        <w:ind w:left="780" w:hanging="780"/>
      </w:pPr>
      <w:bookmarkStart w:id="57" w:name="_Toc15503"/>
      <w:bookmarkStart w:id="58" w:name="_Toc2882"/>
      <w:bookmarkStart w:id="59" w:name="_Toc21911"/>
      <w:bookmarkStart w:id="60" w:name="_Toc3604"/>
      <w:r>
        <w:rPr>
          <w:rFonts w:hint="eastAsia"/>
        </w:rPr>
        <w:t>规范性引用文件</w:t>
      </w:r>
      <w:bookmarkEnd w:id="55"/>
      <w:bookmarkEnd w:id="56"/>
      <w:bookmarkEnd w:id="57"/>
      <w:bookmarkEnd w:id="58"/>
      <w:bookmarkEnd w:id="59"/>
      <w:bookmarkEnd w:id="60"/>
    </w:p>
    <w:p w14:paraId="36C1F98B">
      <w:pPr>
        <w:pStyle w:val="28"/>
        <w:rPr>
          <w:rFonts w:hint="eastAsia" w:ascii="宋体" w:hAnsi="宋体"/>
        </w:rPr>
      </w:pPr>
      <w:r>
        <w:rPr>
          <w:rFonts w:hint="eastAsia" w:ascii="宋体" w:hAnsi="宋体"/>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DB25B2E">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default" w:ascii="宋体" w:hAnsi="宋体" w:cs="宋体"/>
          <w:kern w:val="2"/>
          <w:sz w:val="21"/>
          <w:szCs w:val="21"/>
          <w:lang w:val="en-US" w:eastAsia="zh-CN" w:bidi="ar"/>
        </w:rPr>
      </w:pPr>
      <w:r>
        <w:rPr>
          <w:rFonts w:hint="default" w:ascii="宋体" w:hAnsi="宋体" w:cs="宋体"/>
          <w:kern w:val="2"/>
          <w:sz w:val="21"/>
          <w:szCs w:val="21"/>
          <w:lang w:val="en-US" w:eastAsia="zh-CN" w:bidi="ar"/>
        </w:rPr>
        <w:t>GB 9706.1</w:t>
      </w:r>
      <w:r>
        <w:rPr>
          <w:rFonts w:hint="eastAsia" w:ascii="宋体" w:hAnsi="宋体" w:cs="宋体"/>
          <w:kern w:val="2"/>
          <w:sz w:val="21"/>
          <w:szCs w:val="21"/>
          <w:lang w:val="en-US" w:eastAsia="zh-CN" w:bidi="ar"/>
        </w:rPr>
        <w:t>　</w:t>
      </w:r>
      <w:r>
        <w:rPr>
          <w:rFonts w:hint="default" w:ascii="宋体" w:hAnsi="宋体" w:cs="宋体"/>
          <w:kern w:val="2"/>
          <w:sz w:val="21"/>
          <w:szCs w:val="21"/>
          <w:lang w:val="en-US" w:eastAsia="zh-CN" w:bidi="ar"/>
        </w:rPr>
        <w:t>医用电气设备</w:t>
      </w:r>
      <w:r>
        <w:rPr>
          <w:rFonts w:hint="eastAsia" w:ascii="宋体" w:hAnsi="宋体" w:cs="宋体"/>
          <w:kern w:val="2"/>
          <w:sz w:val="21"/>
          <w:szCs w:val="21"/>
          <w:lang w:val="en-US" w:eastAsia="zh-CN" w:bidi="ar"/>
        </w:rPr>
        <w:t>　</w:t>
      </w:r>
      <w:r>
        <w:rPr>
          <w:rFonts w:hint="default" w:ascii="宋体" w:hAnsi="宋体" w:cs="宋体"/>
          <w:kern w:val="2"/>
          <w:sz w:val="21"/>
          <w:szCs w:val="21"/>
          <w:lang w:val="en-US" w:eastAsia="zh-CN" w:bidi="ar"/>
        </w:rPr>
        <w:t>第1部分：基本安全和基本性能的通用要求</w:t>
      </w:r>
    </w:p>
    <w:p w14:paraId="2942A46F">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eastAsia" w:ascii="宋体" w:hAnsi="宋体"/>
        </w:rPr>
      </w:pPr>
      <w:r>
        <w:rPr>
          <w:rFonts w:hint="eastAsia" w:ascii="宋体" w:hAnsi="宋体" w:cs="宋体"/>
          <w:kern w:val="2"/>
          <w:sz w:val="21"/>
          <w:szCs w:val="21"/>
          <w:lang w:val="en-US" w:eastAsia="zh-CN" w:bidi="ar"/>
        </w:rPr>
        <w:t>GB 9706.216　医用电气设备　第2～16部分：血液透析、血液透析滤过和血液滤过设备的基本安全和基本性能专用要求</w:t>
      </w:r>
    </w:p>
    <w:p w14:paraId="6AF3EBA4">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eastAsia" w:ascii="宋体" w:hAnsi="宋体" w:cs="宋体"/>
          <w:kern w:val="2"/>
          <w:sz w:val="21"/>
          <w:szCs w:val="21"/>
          <w:lang w:val="en-US" w:eastAsia="zh-CN" w:bidi="ar"/>
        </w:rPr>
      </w:pPr>
      <w:bookmarkStart w:id="61" w:name="_Toc19406"/>
      <w:bookmarkStart w:id="62" w:name="_Toc25312"/>
      <w:bookmarkStart w:id="63" w:name="_Toc10721"/>
      <w:bookmarkStart w:id="64" w:name="_Toc15111"/>
      <w:bookmarkStart w:id="65" w:name="_Toc15864"/>
      <w:r>
        <w:rPr>
          <w:rFonts w:hint="eastAsia" w:ascii="宋体" w:hAnsi="宋体" w:cs="宋体"/>
          <w:kern w:val="2"/>
          <w:sz w:val="21"/>
          <w:szCs w:val="21"/>
          <w:lang w:val="en-US" w:eastAsia="zh-CN" w:bidi="ar"/>
        </w:rPr>
        <w:t>GB/T 13074—2024　血液净化术语</w:t>
      </w:r>
    </w:p>
    <w:p w14:paraId="5F551A5B">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default" w:ascii="宋体" w:hAnsi="宋体" w:cs="宋体"/>
          <w:kern w:val="2"/>
          <w:sz w:val="21"/>
          <w:szCs w:val="21"/>
          <w:lang w:val="en-US" w:eastAsia="zh-CN" w:bidi="ar"/>
        </w:rPr>
      </w:pPr>
      <w:r>
        <w:rPr>
          <w:rFonts w:hint="default" w:ascii="宋体" w:hAnsi="宋体" w:cs="宋体"/>
          <w:kern w:val="2"/>
          <w:sz w:val="21"/>
          <w:szCs w:val="21"/>
          <w:lang w:val="en-US" w:eastAsia="zh-CN" w:bidi="ar"/>
        </w:rPr>
        <w:t>GB/T 42574　信息安全技术　个人信息处理中告知和知情的实施指南</w:t>
      </w:r>
    </w:p>
    <w:p w14:paraId="1C7D00A7">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default" w:ascii="宋体" w:hAnsi="宋体" w:cs="宋体"/>
          <w:kern w:val="2"/>
          <w:sz w:val="21"/>
          <w:szCs w:val="21"/>
          <w:lang w:val="en-US" w:eastAsia="zh-CN" w:bidi="ar"/>
        </w:rPr>
      </w:pPr>
      <w:r>
        <w:rPr>
          <w:rFonts w:hint="default" w:ascii="宋体" w:hAnsi="宋体" w:cs="宋体"/>
          <w:kern w:val="2"/>
          <w:sz w:val="21"/>
          <w:szCs w:val="21"/>
          <w:lang w:val="en-US" w:eastAsia="zh-CN" w:bidi="ar"/>
        </w:rPr>
        <w:t>GB 15982</w:t>
      </w:r>
      <w:r>
        <w:rPr>
          <w:rFonts w:hint="eastAsia" w:ascii="宋体" w:hAnsi="宋体" w:cs="宋体"/>
          <w:kern w:val="2"/>
          <w:sz w:val="21"/>
          <w:szCs w:val="21"/>
          <w:lang w:val="en-US" w:eastAsia="zh-CN" w:bidi="ar"/>
        </w:rPr>
        <w:t>　</w:t>
      </w:r>
      <w:r>
        <w:rPr>
          <w:rFonts w:hint="default" w:ascii="宋体" w:hAnsi="宋体" w:cs="宋体"/>
          <w:kern w:val="2"/>
          <w:sz w:val="21"/>
          <w:szCs w:val="21"/>
          <w:lang w:val="en-US" w:eastAsia="zh-CN" w:bidi="ar"/>
        </w:rPr>
        <w:t>医院消毒卫生标准</w:t>
      </w:r>
    </w:p>
    <w:p w14:paraId="226D88D7">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default" w:ascii="宋体" w:hAnsi="宋体" w:cs="宋体"/>
          <w:kern w:val="2"/>
          <w:sz w:val="21"/>
          <w:szCs w:val="21"/>
          <w:lang w:val="en-US" w:eastAsia="zh-CN" w:bidi="ar"/>
        </w:rPr>
      </w:pPr>
      <w:r>
        <w:rPr>
          <w:rFonts w:hint="default" w:ascii="宋体" w:hAnsi="宋体" w:cs="宋体"/>
          <w:kern w:val="2"/>
          <w:sz w:val="21"/>
          <w:szCs w:val="21"/>
          <w:lang w:val="en-US" w:eastAsia="zh-CN" w:bidi="ar"/>
        </w:rPr>
        <w:t>WS/T 367</w:t>
      </w:r>
      <w:r>
        <w:rPr>
          <w:rFonts w:hint="eastAsia" w:ascii="宋体" w:hAnsi="宋体" w:cs="宋体"/>
          <w:kern w:val="2"/>
          <w:sz w:val="21"/>
          <w:szCs w:val="21"/>
          <w:lang w:val="en-US" w:eastAsia="zh-CN" w:bidi="ar"/>
        </w:rPr>
        <w:t>　</w:t>
      </w:r>
      <w:r>
        <w:rPr>
          <w:rFonts w:hint="default" w:ascii="宋体" w:hAnsi="宋体" w:cs="宋体"/>
          <w:kern w:val="2"/>
          <w:sz w:val="21"/>
          <w:szCs w:val="21"/>
          <w:lang w:val="en-US" w:eastAsia="zh-CN" w:bidi="ar"/>
        </w:rPr>
        <w:t>医疗机构消毒技术规范</w:t>
      </w:r>
    </w:p>
    <w:p w14:paraId="0678FF15">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eastAsia" w:ascii="宋体" w:hAnsi="宋体" w:cs="宋体"/>
          <w:kern w:val="2"/>
          <w:sz w:val="21"/>
          <w:szCs w:val="21"/>
          <w:lang w:val="en-US" w:eastAsia="zh-CN" w:bidi="ar"/>
        </w:rPr>
      </w:pPr>
      <w:r>
        <w:rPr>
          <w:rFonts w:hint="eastAsia" w:ascii="宋体" w:hAnsi="宋体" w:cs="宋体"/>
          <w:kern w:val="2"/>
          <w:sz w:val="21"/>
          <w:szCs w:val="21"/>
          <w:lang w:val="en-US" w:eastAsia="zh-CN" w:bidi="ar"/>
        </w:rPr>
        <w:t>WS/T 433　静脉治疗护理技术操作标准</w:t>
      </w:r>
    </w:p>
    <w:p w14:paraId="7B9AED8F">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default" w:ascii="宋体" w:hAnsi="宋体" w:cs="宋体"/>
          <w:kern w:val="2"/>
          <w:sz w:val="21"/>
          <w:szCs w:val="21"/>
          <w:lang w:val="en-US" w:eastAsia="zh-CN" w:bidi="ar"/>
        </w:rPr>
      </w:pPr>
      <w:r>
        <w:rPr>
          <w:rFonts w:hint="eastAsia" w:ascii="宋体" w:hAnsi="宋体" w:cs="宋体"/>
          <w:kern w:val="2"/>
          <w:sz w:val="21"/>
          <w:szCs w:val="21"/>
          <w:lang w:val="en-US" w:eastAsia="zh-CN" w:bidi="ar"/>
        </w:rPr>
        <w:t>WS/T 641　临床检验定量测定室内质量控制</w:t>
      </w:r>
    </w:p>
    <w:p w14:paraId="34D54614">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default" w:ascii="宋体" w:hAnsi="宋体" w:cs="宋体"/>
          <w:kern w:val="2"/>
          <w:sz w:val="21"/>
          <w:szCs w:val="21"/>
          <w:lang w:val="en-US" w:eastAsia="zh-CN" w:bidi="ar"/>
        </w:rPr>
      </w:pPr>
      <w:r>
        <w:rPr>
          <w:rFonts w:hint="eastAsia" w:ascii="宋体" w:hAnsi="宋体" w:cs="宋体"/>
          <w:kern w:val="2"/>
          <w:sz w:val="21"/>
          <w:szCs w:val="21"/>
          <w:lang w:val="en-US" w:eastAsia="zh-CN" w:bidi="ar"/>
        </w:rPr>
        <w:t>YY 0285.3　血管内导管　一次性使用无菌导管　第3部分：中心静脉导管</w:t>
      </w:r>
    </w:p>
    <w:p w14:paraId="0D2FC136">
      <w:pPr>
        <w:pStyle w:val="12"/>
        <w:keepNext w:val="0"/>
        <w:keepLines w:val="0"/>
        <w:widowControl w:val="0"/>
        <w:suppressLineNumbers w:val="0"/>
        <w:adjustRightInd w:val="0"/>
        <w:spacing w:before="0" w:beforeAutospacing="0" w:after="0" w:afterAutospacing="0" w:line="240" w:lineRule="auto"/>
        <w:ind w:left="0" w:right="0" w:firstLine="420" w:firstLineChars="200"/>
        <w:jc w:val="both"/>
        <w:rPr>
          <w:rFonts w:hint="eastAsia" w:ascii="宋体" w:hAnsi="宋体" w:cs="宋体"/>
          <w:kern w:val="2"/>
          <w:sz w:val="21"/>
          <w:szCs w:val="21"/>
          <w:lang w:val="en-US" w:eastAsia="zh-CN" w:bidi="ar"/>
        </w:rPr>
      </w:pPr>
      <w:r>
        <w:rPr>
          <w:rFonts w:hint="default" w:ascii="宋体" w:hAnsi="宋体" w:cs="宋体"/>
          <w:kern w:val="2"/>
          <w:sz w:val="21"/>
          <w:szCs w:val="21"/>
          <w:lang w:val="en-US" w:eastAsia="zh-CN" w:bidi="ar"/>
        </w:rPr>
        <w:t>YY 0645</w:t>
      </w:r>
      <w:r>
        <w:rPr>
          <w:rFonts w:hint="eastAsia" w:ascii="宋体" w:hAnsi="宋体" w:cs="宋体"/>
          <w:kern w:val="2"/>
          <w:sz w:val="21"/>
          <w:szCs w:val="21"/>
          <w:lang w:val="en-US" w:eastAsia="zh-CN" w:bidi="ar"/>
        </w:rPr>
        <w:t>　连续性血液净化设备</w:t>
      </w:r>
    </w:p>
    <w:p w14:paraId="1CE06F93">
      <w:pPr>
        <w:pStyle w:val="31"/>
        <w:numPr>
          <w:ilvl w:val="1"/>
          <w:numId w:val="5"/>
        </w:numPr>
        <w:spacing w:before="312" w:after="312"/>
        <w:ind w:left="780" w:hanging="780"/>
      </w:pPr>
      <w:bookmarkStart w:id="66" w:name="_Toc11033"/>
      <w:r>
        <w:rPr>
          <w:rFonts w:hint="eastAsia"/>
        </w:rPr>
        <w:t>术语和定义</w:t>
      </w:r>
      <w:bookmarkEnd w:id="61"/>
      <w:bookmarkEnd w:id="62"/>
      <w:bookmarkEnd w:id="63"/>
      <w:bookmarkEnd w:id="64"/>
      <w:bookmarkEnd w:id="65"/>
      <w:bookmarkEnd w:id="66"/>
    </w:p>
    <w:sdt>
      <w:sdtPr>
        <w:rPr>
          <w:rFonts w:hint="eastAsia" w:ascii="宋体" w:hAnsi="宋体" w:eastAsia="宋体" w:cs="宋体"/>
        </w:rPr>
        <w:id w:val="-1"/>
        <w:placeholder>
          <w:docPart w:val="{27d5d44f-7fb3-4638-87d2-6d1fb8ed357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ascii="宋体" w:hAnsi="宋体" w:eastAsia="宋体" w:cs="宋体"/>
        </w:rPr>
      </w:sdtEndPr>
      <w:sdtContent>
        <w:p w14:paraId="0A8FEA22">
          <w:pPr>
            <w:pStyle w:val="28"/>
            <w:tabs>
              <w:tab w:val="center" w:pos="4845"/>
            </w:tabs>
          </w:pPr>
          <w:r>
            <w:rPr>
              <w:rFonts w:hint="eastAsia" w:ascii="宋体" w:hAnsi="宋体" w:eastAsia="宋体" w:cs="宋体"/>
            </w:rPr>
            <w:t>GB/T 13074—2024</w:t>
          </w:r>
          <w:r>
            <w:rPr>
              <w:rFonts w:hint="eastAsia" w:ascii="宋体" w:hAnsi="宋体" w:cs="宋体"/>
              <w:lang w:val="en-US" w:eastAsia="zh-CN"/>
            </w:rPr>
            <w:t>界定的以及</w:t>
          </w:r>
          <w:r>
            <w:rPr>
              <w:rFonts w:hint="eastAsia" w:ascii="宋体" w:hAnsi="宋体" w:eastAsia="宋体" w:cs="宋体"/>
              <w:kern w:val="2"/>
              <w:sz w:val="21"/>
              <w:szCs w:val="21"/>
              <w:lang w:val="en-US" w:eastAsia="zh-CN" w:bidi="ar-SA"/>
            </w:rPr>
            <w:t>下列术语和定义适用于本文件</w:t>
          </w:r>
          <w:r>
            <w:rPr>
              <w:rFonts w:ascii="Times New Roman" w:hAnsi="Times New Roman" w:eastAsia="宋体" w:cs="Calibri"/>
              <w:kern w:val="2"/>
              <w:sz w:val="21"/>
              <w:szCs w:val="21"/>
              <w:lang w:val="en-US" w:eastAsia="zh-CN" w:bidi="ar-SA"/>
            </w:rPr>
            <w:t>。</w:t>
          </w:r>
        </w:p>
      </w:sdtContent>
    </w:sdt>
    <w:p w14:paraId="6CEF9F03">
      <w:pPr>
        <w:pStyle w:val="40"/>
        <w:keepNext w:val="0"/>
        <w:keepLines w:val="0"/>
        <w:pageBreakBefore w:val="0"/>
        <w:widowControl/>
        <w:numPr>
          <w:ilvl w:val="2"/>
          <w:numId w:val="5"/>
        </w:numPr>
        <w:tabs>
          <w:tab w:val="left" w:pos="420"/>
        </w:tabs>
        <w:kinsoku/>
        <w:wordWrap/>
        <w:overflowPunct/>
        <w:topLinePunct w:val="0"/>
        <w:autoSpaceDE/>
        <w:autoSpaceDN/>
        <w:bidi w:val="0"/>
        <w:adjustRightInd/>
        <w:snapToGrid/>
        <w:spacing w:before="156" w:after="156"/>
        <w:textAlignment w:val="auto"/>
        <w:outlineLvl w:val="2"/>
      </w:pPr>
      <w:bookmarkStart w:id="67" w:name="_Toc8852"/>
      <w:bookmarkEnd w:id="67"/>
      <w:bookmarkStart w:id="68" w:name="_Toc30013"/>
      <w:bookmarkEnd w:id="68"/>
      <w:bookmarkStart w:id="69" w:name="_Toc4301"/>
      <w:bookmarkEnd w:id="69"/>
      <w:bookmarkStart w:id="70" w:name="_Toc19772"/>
      <w:bookmarkEnd w:id="70"/>
      <w:bookmarkStart w:id="71" w:name="_Toc30034"/>
      <w:bookmarkEnd w:id="71"/>
      <w:bookmarkStart w:id="72" w:name="_Toc13133"/>
      <w:bookmarkEnd w:id="72"/>
      <w:bookmarkStart w:id="73" w:name="_Toc6686"/>
      <w:bookmarkEnd w:id="73"/>
      <w:bookmarkStart w:id="74" w:name="_Toc4015"/>
      <w:bookmarkEnd w:id="74"/>
      <w:bookmarkStart w:id="75" w:name="_Toc18075"/>
      <w:bookmarkEnd w:id="75"/>
      <w:bookmarkStart w:id="76" w:name="_Toc32613"/>
      <w:bookmarkStart w:id="77" w:name="_Toc17474"/>
    </w:p>
    <w:p w14:paraId="2EA1081C">
      <w:pPr>
        <w:pStyle w:val="28"/>
        <w:rPr>
          <w:rFonts w:hint="eastAsia" w:ascii="黑体" w:hAnsi="黑体" w:eastAsia="黑体"/>
          <w:sz w:val="21"/>
          <w:szCs w:val="21"/>
          <w:lang w:val="en-US" w:eastAsia="zh-CN"/>
        </w:rPr>
      </w:pPr>
      <w:r>
        <w:rPr>
          <w:rFonts w:hint="eastAsia" w:ascii="黑体" w:hAnsi="黑体" w:eastAsia="黑体"/>
          <w:sz w:val="21"/>
          <w:szCs w:val="21"/>
          <w:lang w:val="en-US" w:eastAsia="zh-CN"/>
        </w:rPr>
        <w:t>全自动离心式血浆置换</w:t>
      </w:r>
      <w:r>
        <w:rPr>
          <w:rFonts w:hint="eastAsia" w:ascii="黑体" w:hAnsi="黑体" w:eastAsia="黑体"/>
          <w:sz w:val="21"/>
          <w:szCs w:val="21"/>
        </w:rPr>
        <w:t>　</w:t>
      </w:r>
      <w:r>
        <w:rPr>
          <w:rFonts w:hint="eastAsia" w:ascii="黑体" w:hAnsi="黑体" w:eastAsia="黑体"/>
          <w:sz w:val="21"/>
          <w:szCs w:val="21"/>
          <w:lang w:val="en-US" w:eastAsia="zh-CN"/>
        </w:rPr>
        <w:t>Automated centrifugal plasmapheresis</w:t>
      </w:r>
    </w:p>
    <w:p w14:paraId="278F2B4E">
      <w:pPr>
        <w:pStyle w:val="28"/>
        <w:rPr>
          <w:rFonts w:hint="eastAsia" w:ascii="宋体" w:hAnsi="宋体"/>
          <w:sz w:val="21"/>
          <w:szCs w:val="21"/>
          <w:lang w:val="en-US" w:eastAsia="zh-CN"/>
        </w:rPr>
      </w:pPr>
      <w:r>
        <w:rPr>
          <w:rFonts w:hint="eastAsia" w:ascii="宋体" w:hAnsi="宋体"/>
          <w:sz w:val="21"/>
          <w:szCs w:val="21"/>
          <w:lang w:val="en-US" w:eastAsia="zh-CN"/>
        </w:rPr>
        <w:t>通过全自动离心式血液成分分离机，将患者血液在体外进行离心，分离并弃除含有致病物质的血浆，同时补充适量的置换液，以达到治疗疾病为目的的一种血液净化技术。</w:t>
      </w:r>
    </w:p>
    <w:p w14:paraId="7F83E4AB">
      <w:pPr>
        <w:pStyle w:val="40"/>
        <w:keepNext w:val="0"/>
        <w:keepLines w:val="0"/>
        <w:pageBreakBefore w:val="0"/>
        <w:widowControl/>
        <w:numPr>
          <w:ilvl w:val="2"/>
          <w:numId w:val="5"/>
        </w:numPr>
        <w:tabs>
          <w:tab w:val="left" w:pos="420"/>
        </w:tabs>
        <w:kinsoku/>
        <w:wordWrap/>
        <w:overflowPunct/>
        <w:topLinePunct w:val="0"/>
        <w:autoSpaceDE/>
        <w:autoSpaceDN/>
        <w:bidi w:val="0"/>
        <w:adjustRightInd/>
        <w:snapToGrid/>
        <w:spacing w:before="156" w:after="156"/>
        <w:textAlignment w:val="auto"/>
        <w:outlineLvl w:val="2"/>
        <w:rPr>
          <w:rFonts w:hint="default"/>
          <w:lang w:val="en-US" w:eastAsia="zh-CN"/>
        </w:rPr>
      </w:pPr>
    </w:p>
    <w:p w14:paraId="69A010FE">
      <w:pPr>
        <w:pStyle w:val="28"/>
        <w:rPr>
          <w:rFonts w:hint="default" w:ascii="黑体" w:hAnsi="黑体" w:eastAsia="黑体"/>
          <w:sz w:val="21"/>
          <w:szCs w:val="21"/>
          <w:lang w:val="en-US" w:eastAsia="zh-CN"/>
        </w:rPr>
      </w:pPr>
      <w:r>
        <w:rPr>
          <w:rFonts w:hint="default" w:ascii="黑体" w:hAnsi="黑体" w:eastAsia="黑体"/>
          <w:sz w:val="21"/>
          <w:szCs w:val="21"/>
          <w:lang w:val="en-US" w:eastAsia="zh-CN"/>
        </w:rPr>
        <w:t>血浆容量</w:t>
      </w:r>
      <w:r>
        <w:rPr>
          <w:rFonts w:hint="eastAsia" w:ascii="宋体" w:hAnsi="宋体" w:cs="宋体"/>
          <w:kern w:val="2"/>
          <w:sz w:val="21"/>
          <w:szCs w:val="21"/>
          <w:lang w:val="en-US" w:eastAsia="zh-CN" w:bidi="ar"/>
        </w:rPr>
        <w:t>　P</w:t>
      </w:r>
      <w:r>
        <w:rPr>
          <w:rFonts w:hint="default" w:ascii="黑体" w:hAnsi="黑体" w:eastAsia="黑体"/>
          <w:sz w:val="21"/>
          <w:szCs w:val="21"/>
          <w:lang w:val="en-US" w:eastAsia="zh-CN"/>
        </w:rPr>
        <w:t>lasma volume</w:t>
      </w:r>
      <w:r>
        <w:rPr>
          <w:rFonts w:hint="eastAsia" w:ascii="黑体" w:hAnsi="黑体" w:eastAsia="黑体"/>
          <w:sz w:val="21"/>
          <w:szCs w:val="21"/>
          <w:lang w:val="en-US" w:eastAsia="zh-CN"/>
        </w:rPr>
        <w:t>；</w:t>
      </w:r>
      <w:r>
        <w:rPr>
          <w:rFonts w:hint="default" w:ascii="黑体" w:hAnsi="黑体" w:eastAsia="黑体"/>
          <w:sz w:val="21"/>
          <w:szCs w:val="21"/>
          <w:lang w:val="en-US" w:eastAsia="zh-CN"/>
        </w:rPr>
        <w:t>PV</w:t>
      </w:r>
    </w:p>
    <w:p w14:paraId="34433C7A">
      <w:pPr>
        <w:pStyle w:val="28"/>
        <w:rPr>
          <w:rFonts w:hint="default" w:ascii="宋体" w:hAnsi="宋体"/>
          <w:sz w:val="21"/>
          <w:szCs w:val="21"/>
          <w:lang w:val="en-US" w:eastAsia="zh-CN"/>
        </w:rPr>
      </w:pPr>
      <w:r>
        <w:rPr>
          <w:rFonts w:hint="default" w:ascii="宋体" w:hAnsi="宋体"/>
          <w:sz w:val="21"/>
          <w:szCs w:val="21"/>
          <w:lang w:val="en-US" w:eastAsia="zh-CN"/>
        </w:rPr>
        <w:t>人体血液循环中血浆部分的总容积。</w:t>
      </w:r>
    </w:p>
    <w:p w14:paraId="3F9AA0E6">
      <w:pPr>
        <w:pStyle w:val="40"/>
        <w:keepNext w:val="0"/>
        <w:keepLines w:val="0"/>
        <w:pageBreakBefore w:val="0"/>
        <w:widowControl/>
        <w:numPr>
          <w:ilvl w:val="2"/>
          <w:numId w:val="5"/>
        </w:numPr>
        <w:tabs>
          <w:tab w:val="left" w:pos="420"/>
        </w:tabs>
        <w:kinsoku/>
        <w:wordWrap/>
        <w:overflowPunct/>
        <w:topLinePunct w:val="0"/>
        <w:autoSpaceDE/>
        <w:autoSpaceDN/>
        <w:bidi w:val="0"/>
        <w:adjustRightInd/>
        <w:snapToGrid/>
        <w:spacing w:before="156" w:after="156"/>
        <w:textAlignment w:val="auto"/>
        <w:outlineLvl w:val="2"/>
        <w:rPr>
          <w:rFonts w:hint="default"/>
          <w:lang w:val="en-US" w:eastAsia="zh-CN"/>
        </w:rPr>
      </w:pPr>
    </w:p>
    <w:p w14:paraId="7CDF1CC2">
      <w:pPr>
        <w:pStyle w:val="28"/>
        <w:rPr>
          <w:rFonts w:hint="default" w:ascii="黑体" w:hAnsi="黑体" w:eastAsia="黑体"/>
          <w:sz w:val="21"/>
          <w:szCs w:val="21"/>
          <w:lang w:val="en-US" w:eastAsia="zh-CN"/>
        </w:rPr>
      </w:pPr>
      <w:r>
        <w:rPr>
          <w:rFonts w:hint="default" w:ascii="黑体" w:hAnsi="黑体" w:eastAsia="黑体"/>
          <w:sz w:val="21"/>
          <w:szCs w:val="21"/>
          <w:lang w:val="en-US" w:eastAsia="zh-CN"/>
        </w:rPr>
        <w:t>血浆置换目标量</w:t>
      </w:r>
      <w:r>
        <w:rPr>
          <w:rFonts w:hint="eastAsia" w:ascii="宋体" w:hAnsi="宋体" w:cs="宋体"/>
          <w:kern w:val="2"/>
          <w:sz w:val="21"/>
          <w:szCs w:val="21"/>
          <w:lang w:val="en-US" w:eastAsia="zh-CN" w:bidi="ar"/>
        </w:rPr>
        <w:t>　P</w:t>
      </w:r>
      <w:r>
        <w:rPr>
          <w:rFonts w:hint="default" w:ascii="黑体" w:hAnsi="黑体" w:eastAsia="黑体"/>
          <w:sz w:val="21"/>
          <w:szCs w:val="21"/>
          <w:lang w:val="en-US" w:eastAsia="zh-CN"/>
        </w:rPr>
        <w:t>lasma exchange target volume</w:t>
      </w:r>
    </w:p>
    <w:p w14:paraId="2075CCDF">
      <w:pPr>
        <w:pStyle w:val="28"/>
        <w:rPr>
          <w:rFonts w:hint="default" w:ascii="宋体" w:hAnsi="宋体"/>
          <w:sz w:val="21"/>
          <w:szCs w:val="21"/>
          <w:lang w:val="en-US" w:eastAsia="zh-CN"/>
        </w:rPr>
      </w:pPr>
      <w:r>
        <w:rPr>
          <w:rFonts w:hint="default" w:ascii="宋体" w:hAnsi="宋体"/>
          <w:sz w:val="21"/>
          <w:szCs w:val="21"/>
          <w:lang w:val="en-US" w:eastAsia="zh-CN"/>
        </w:rPr>
        <w:t>单次全自动离心式血浆置换治疗计划弃除并置换的血浆总量。</w:t>
      </w:r>
    </w:p>
    <w:p w14:paraId="35446AB0">
      <w:pPr>
        <w:pStyle w:val="40"/>
        <w:keepNext w:val="0"/>
        <w:keepLines w:val="0"/>
        <w:pageBreakBefore w:val="0"/>
        <w:widowControl/>
        <w:numPr>
          <w:ilvl w:val="2"/>
          <w:numId w:val="5"/>
        </w:numPr>
        <w:tabs>
          <w:tab w:val="left" w:pos="420"/>
        </w:tabs>
        <w:kinsoku/>
        <w:wordWrap/>
        <w:overflowPunct/>
        <w:topLinePunct w:val="0"/>
        <w:autoSpaceDE/>
        <w:autoSpaceDN/>
        <w:bidi w:val="0"/>
        <w:adjustRightInd/>
        <w:snapToGrid/>
        <w:spacing w:before="156" w:after="156"/>
        <w:textAlignment w:val="auto"/>
        <w:outlineLvl w:val="2"/>
        <w:rPr>
          <w:rFonts w:hint="default"/>
          <w:lang w:val="en-US" w:eastAsia="zh-CN"/>
        </w:rPr>
      </w:pPr>
    </w:p>
    <w:p w14:paraId="1E8D5429">
      <w:pPr>
        <w:pStyle w:val="28"/>
        <w:rPr>
          <w:rFonts w:hint="default" w:ascii="黑体" w:hAnsi="黑体" w:eastAsia="黑体"/>
          <w:sz w:val="21"/>
          <w:szCs w:val="21"/>
          <w:lang w:val="en-US" w:eastAsia="zh-CN"/>
        </w:rPr>
      </w:pPr>
      <w:r>
        <w:rPr>
          <w:rFonts w:hint="default" w:ascii="黑体" w:hAnsi="黑体" w:eastAsia="黑体"/>
          <w:sz w:val="21"/>
          <w:szCs w:val="21"/>
          <w:lang w:val="en-US" w:eastAsia="zh-CN"/>
        </w:rPr>
        <w:t>抗凝方案</w:t>
      </w:r>
      <w:r>
        <w:rPr>
          <w:rFonts w:hint="eastAsia" w:ascii="宋体" w:hAnsi="宋体" w:cs="宋体"/>
          <w:kern w:val="2"/>
          <w:sz w:val="21"/>
          <w:szCs w:val="21"/>
          <w:lang w:val="en-US" w:eastAsia="zh-CN" w:bidi="ar"/>
        </w:rPr>
        <w:t>　A</w:t>
      </w:r>
      <w:r>
        <w:rPr>
          <w:rFonts w:hint="default" w:ascii="黑体" w:hAnsi="黑体" w:eastAsia="黑体"/>
          <w:sz w:val="21"/>
          <w:szCs w:val="21"/>
          <w:lang w:val="en-US" w:eastAsia="zh-CN"/>
        </w:rPr>
        <w:t>nticoagulation regimen</w:t>
      </w:r>
    </w:p>
    <w:p w14:paraId="7E649133">
      <w:pPr>
        <w:pStyle w:val="28"/>
        <w:rPr>
          <w:rFonts w:hint="default" w:ascii="宋体" w:hAnsi="宋体"/>
          <w:sz w:val="21"/>
          <w:szCs w:val="21"/>
          <w:lang w:val="en-US" w:eastAsia="zh-CN"/>
        </w:rPr>
      </w:pPr>
      <w:r>
        <w:rPr>
          <w:rFonts w:hint="default" w:ascii="宋体" w:hAnsi="宋体"/>
          <w:sz w:val="21"/>
          <w:szCs w:val="21"/>
          <w:lang w:val="en-US" w:eastAsia="zh-CN"/>
        </w:rPr>
        <w:t>为确保体外循环血液不发生凝固而制定的个体化用药方案，包括抗凝剂种类、剂量、给药方式及监测指标。</w:t>
      </w:r>
    </w:p>
    <w:bookmarkEnd w:id="76"/>
    <w:p w14:paraId="56F7F3C4">
      <w:pPr>
        <w:pStyle w:val="31"/>
        <w:keepNext w:val="0"/>
        <w:keepLines w:val="0"/>
        <w:pageBreakBefore w:val="0"/>
        <w:widowControl/>
        <w:numPr>
          <w:ilvl w:val="1"/>
          <w:numId w:val="5"/>
        </w:numPr>
        <w:kinsoku/>
        <w:wordWrap/>
        <w:overflowPunct/>
        <w:topLinePunct w:val="0"/>
        <w:autoSpaceDE/>
        <w:autoSpaceDN/>
        <w:bidi w:val="0"/>
        <w:adjustRightInd/>
        <w:snapToGrid/>
        <w:spacing w:before="312" w:after="312"/>
        <w:ind w:left="782" w:hanging="782"/>
        <w:textAlignment w:val="auto"/>
      </w:pPr>
      <w:bookmarkStart w:id="78" w:name="_Toc32627"/>
      <w:r>
        <w:rPr>
          <w:rFonts w:hint="eastAsia"/>
          <w:lang w:val="en-US" w:eastAsia="zh-CN"/>
        </w:rPr>
        <w:t>缩略语</w:t>
      </w:r>
      <w:bookmarkEnd w:id="78"/>
    </w:p>
    <w:sdt>
      <w:sdtPr>
        <w:rPr>
          <w:rFonts w:hint="eastAsia" w:ascii="宋体" w:hAnsi="宋体" w:eastAsia="宋体" w:cs="宋体"/>
        </w:rPr>
        <w:id w:val="147468585"/>
        <w:placeholder>
          <w:docPart w:val="{287455c3-8bd1-49e5-b0d1-ac263100b82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ascii="宋体" w:hAnsi="宋体" w:eastAsia="宋体" w:cs="宋体"/>
        </w:rPr>
      </w:sdtEndPr>
      <w:sdtContent>
        <w:p w14:paraId="09ACD9FF">
          <w:pPr>
            <w:pStyle w:val="28"/>
            <w:tabs>
              <w:tab w:val="center" w:pos="4845"/>
            </w:tabs>
          </w:pPr>
          <w:r>
            <w:rPr>
              <w:rFonts w:hint="eastAsia" w:ascii="宋体" w:hAnsi="宋体" w:eastAsia="宋体" w:cs="宋体"/>
              <w:kern w:val="2"/>
              <w:sz w:val="21"/>
              <w:szCs w:val="21"/>
              <w:lang w:val="en-US" w:eastAsia="zh-CN" w:bidi="ar-SA"/>
            </w:rPr>
            <w:t>下列</w:t>
          </w:r>
          <w:r>
            <w:rPr>
              <w:rFonts w:hint="eastAsia" w:ascii="宋体" w:hAnsi="宋体" w:cs="宋体"/>
              <w:kern w:val="2"/>
              <w:sz w:val="21"/>
              <w:szCs w:val="21"/>
              <w:lang w:val="en-US" w:eastAsia="zh-CN" w:bidi="ar-SA"/>
            </w:rPr>
            <w:t>缩略语</w:t>
          </w:r>
          <w:r>
            <w:rPr>
              <w:rFonts w:hint="eastAsia" w:ascii="宋体" w:hAnsi="宋体" w:eastAsia="宋体" w:cs="宋体"/>
              <w:kern w:val="2"/>
              <w:sz w:val="21"/>
              <w:szCs w:val="21"/>
              <w:lang w:val="en-US" w:eastAsia="zh-CN" w:bidi="ar-SA"/>
            </w:rPr>
            <w:t>适用于本文件</w:t>
          </w:r>
          <w:r>
            <w:rPr>
              <w:rFonts w:ascii="Times New Roman" w:hAnsi="Times New Roman" w:eastAsia="宋体" w:cs="Calibri"/>
              <w:kern w:val="2"/>
              <w:sz w:val="21"/>
              <w:szCs w:val="21"/>
              <w:lang w:val="en-US" w:eastAsia="zh-CN" w:bidi="ar-SA"/>
            </w:rPr>
            <w:t>。</w:t>
          </w:r>
        </w:p>
      </w:sdtContent>
    </w:sdt>
    <w:p w14:paraId="2D25C477">
      <w:pPr>
        <w:pStyle w:val="28"/>
        <w:rPr>
          <w:rFonts w:hint="eastAsia" w:ascii="宋体" w:hAnsi="宋体"/>
          <w:sz w:val="21"/>
          <w:szCs w:val="21"/>
          <w:lang w:val="en-US" w:eastAsia="zh-CN"/>
        </w:rPr>
      </w:pPr>
      <w:r>
        <w:rPr>
          <w:rFonts w:hint="eastAsia" w:ascii="宋体" w:hAnsi="宋体"/>
          <w:sz w:val="21"/>
          <w:szCs w:val="21"/>
          <w:lang w:val="en-US" w:eastAsia="zh-CN"/>
        </w:rPr>
        <w:t>ACT：活化凝血时间（activated clotting time）</w:t>
      </w:r>
    </w:p>
    <w:p w14:paraId="6B5E03A6">
      <w:pPr>
        <w:pStyle w:val="28"/>
        <w:rPr>
          <w:rFonts w:hint="eastAsia" w:ascii="宋体" w:hAnsi="宋体"/>
          <w:sz w:val="21"/>
          <w:szCs w:val="21"/>
          <w:lang w:val="en-US" w:eastAsia="zh-CN"/>
        </w:rPr>
      </w:pPr>
      <w:r>
        <w:rPr>
          <w:rFonts w:hint="eastAsia" w:ascii="宋体" w:hAnsi="宋体"/>
          <w:sz w:val="21"/>
          <w:szCs w:val="21"/>
          <w:lang w:val="en-US" w:eastAsia="zh-CN"/>
        </w:rPr>
        <w:t>ALT:丙氨酸氨基转移酶（alanine aminotransferase）</w:t>
      </w:r>
    </w:p>
    <w:p w14:paraId="23A39695">
      <w:pPr>
        <w:pStyle w:val="28"/>
        <w:rPr>
          <w:rFonts w:hint="eastAsia" w:ascii="宋体" w:hAnsi="宋体"/>
          <w:sz w:val="21"/>
          <w:szCs w:val="21"/>
          <w:lang w:val="en-US" w:eastAsia="zh-CN"/>
        </w:rPr>
      </w:pPr>
      <w:r>
        <w:rPr>
          <w:rFonts w:hint="eastAsia" w:ascii="宋体" w:hAnsi="宋体"/>
          <w:sz w:val="21"/>
          <w:szCs w:val="21"/>
          <w:lang w:val="en-US" w:eastAsia="zh-CN"/>
        </w:rPr>
        <w:t>APTT：活化部分凝血活酶时间（activated partial thromboplastin time）</w:t>
      </w:r>
    </w:p>
    <w:p w14:paraId="67687884">
      <w:pPr>
        <w:pStyle w:val="28"/>
        <w:rPr>
          <w:rFonts w:hint="eastAsia" w:ascii="宋体" w:hAnsi="宋体"/>
          <w:sz w:val="21"/>
          <w:szCs w:val="21"/>
          <w:lang w:val="en-US" w:eastAsia="zh-CN"/>
        </w:rPr>
      </w:pPr>
      <w:r>
        <w:rPr>
          <w:rFonts w:hint="eastAsia" w:ascii="宋体" w:hAnsi="宋体"/>
          <w:sz w:val="21"/>
          <w:szCs w:val="21"/>
          <w:lang w:val="en-US" w:eastAsia="zh-CN"/>
        </w:rPr>
        <w:t>AST：天门冬氨酸氨基转移酶（aspartate aminotransferase）</w:t>
      </w:r>
    </w:p>
    <w:p w14:paraId="663358D1">
      <w:pPr>
        <w:pStyle w:val="28"/>
        <w:rPr>
          <w:rFonts w:hint="eastAsia" w:ascii="宋体" w:hAnsi="宋体"/>
          <w:sz w:val="21"/>
          <w:szCs w:val="21"/>
          <w:lang w:val="en-US" w:eastAsia="zh-CN"/>
        </w:rPr>
      </w:pPr>
      <w:r>
        <w:rPr>
          <w:rFonts w:hint="default" w:ascii="宋体" w:hAnsi="宋体"/>
          <w:sz w:val="21"/>
          <w:szCs w:val="21"/>
          <w:lang w:val="en-US" w:eastAsia="zh-CN"/>
        </w:rPr>
        <w:t>HB</w:t>
      </w:r>
      <w:r>
        <w:rPr>
          <w:rFonts w:hint="eastAsia" w:ascii="宋体" w:hAnsi="宋体"/>
          <w:sz w:val="21"/>
          <w:szCs w:val="21"/>
          <w:lang w:val="en-US" w:eastAsia="zh-CN"/>
        </w:rPr>
        <w:t>：</w:t>
      </w:r>
      <w:r>
        <w:rPr>
          <w:rFonts w:hint="default" w:ascii="宋体" w:hAnsi="宋体"/>
          <w:sz w:val="21"/>
          <w:szCs w:val="21"/>
          <w:lang w:val="en-US" w:eastAsia="zh-CN"/>
        </w:rPr>
        <w:t>血红蛋白</w:t>
      </w:r>
      <w:r>
        <w:rPr>
          <w:rFonts w:hint="eastAsia" w:ascii="宋体" w:hAnsi="宋体"/>
          <w:sz w:val="21"/>
          <w:szCs w:val="21"/>
          <w:lang w:val="en-US" w:eastAsia="zh-CN"/>
        </w:rPr>
        <w:t>（h</w:t>
      </w:r>
      <w:r>
        <w:rPr>
          <w:rFonts w:hint="default" w:ascii="宋体" w:hAnsi="宋体"/>
          <w:sz w:val="21"/>
          <w:szCs w:val="21"/>
          <w:lang w:val="en-US" w:eastAsia="zh-CN"/>
        </w:rPr>
        <w:t>emoglobin</w:t>
      </w:r>
      <w:r>
        <w:rPr>
          <w:rFonts w:hint="eastAsia" w:ascii="宋体" w:hAnsi="宋体"/>
          <w:sz w:val="21"/>
          <w:szCs w:val="21"/>
          <w:lang w:val="en-US" w:eastAsia="zh-CN"/>
        </w:rPr>
        <w:t>）</w:t>
      </w:r>
    </w:p>
    <w:p w14:paraId="57E8FF37">
      <w:pPr>
        <w:pStyle w:val="28"/>
        <w:rPr>
          <w:rFonts w:hint="eastAsia" w:ascii="宋体" w:hAnsi="宋体"/>
          <w:sz w:val="21"/>
          <w:szCs w:val="21"/>
          <w:lang w:val="en-US" w:eastAsia="zh-CN"/>
        </w:rPr>
      </w:pPr>
      <w:r>
        <w:rPr>
          <w:rFonts w:hint="eastAsia" w:ascii="宋体" w:hAnsi="宋体"/>
          <w:sz w:val="21"/>
          <w:szCs w:val="21"/>
          <w:lang w:val="en-US" w:eastAsia="zh-CN"/>
        </w:rPr>
        <w:t>Hct：血细胞比容（hematocrit）</w:t>
      </w:r>
    </w:p>
    <w:p w14:paraId="169D8F0D">
      <w:pPr>
        <w:pStyle w:val="28"/>
        <w:rPr>
          <w:rFonts w:hint="eastAsia" w:ascii="宋体" w:hAnsi="宋体"/>
          <w:sz w:val="21"/>
          <w:szCs w:val="21"/>
          <w:lang w:val="en-US" w:eastAsia="zh-CN"/>
        </w:rPr>
      </w:pPr>
      <w:r>
        <w:rPr>
          <w:rFonts w:hint="eastAsia" w:ascii="宋体" w:hAnsi="宋体"/>
          <w:sz w:val="21"/>
          <w:szCs w:val="21"/>
          <w:lang w:val="en-US" w:eastAsia="zh-CN"/>
        </w:rPr>
        <w:t>HIT：肝素诱发的PLT减少症（heparin-induced thrombocytopenia）</w:t>
      </w:r>
    </w:p>
    <w:p w14:paraId="6ECF8EB5">
      <w:pPr>
        <w:pStyle w:val="28"/>
        <w:rPr>
          <w:rFonts w:hint="default" w:ascii="宋体" w:hAnsi="宋体"/>
          <w:sz w:val="21"/>
          <w:szCs w:val="21"/>
          <w:lang w:val="en-US" w:eastAsia="zh-CN"/>
        </w:rPr>
      </w:pPr>
      <w:r>
        <w:rPr>
          <w:rFonts w:hint="default" w:ascii="宋体" w:hAnsi="宋体"/>
          <w:sz w:val="21"/>
          <w:szCs w:val="21"/>
          <w:lang w:val="en-US" w:eastAsia="zh-CN"/>
        </w:rPr>
        <w:t>PLT</w:t>
      </w:r>
      <w:r>
        <w:rPr>
          <w:rFonts w:hint="eastAsia" w:ascii="宋体" w:hAnsi="宋体"/>
          <w:sz w:val="21"/>
          <w:szCs w:val="21"/>
          <w:lang w:val="en-US" w:eastAsia="zh-CN"/>
        </w:rPr>
        <w:t>：</w:t>
      </w:r>
      <w:r>
        <w:rPr>
          <w:rFonts w:hint="default" w:ascii="宋体" w:hAnsi="宋体"/>
          <w:sz w:val="21"/>
          <w:szCs w:val="21"/>
          <w:lang w:val="en-US" w:eastAsia="zh-CN"/>
        </w:rPr>
        <w:t>血小板</w:t>
      </w:r>
      <w:r>
        <w:rPr>
          <w:rFonts w:hint="eastAsia" w:ascii="宋体" w:hAnsi="宋体"/>
          <w:sz w:val="21"/>
          <w:szCs w:val="21"/>
          <w:lang w:val="en-US" w:eastAsia="zh-CN"/>
        </w:rPr>
        <w:t>（p</w:t>
      </w:r>
      <w:r>
        <w:rPr>
          <w:rFonts w:hint="default" w:ascii="宋体" w:hAnsi="宋体"/>
          <w:sz w:val="21"/>
          <w:szCs w:val="21"/>
          <w:lang w:val="en-US" w:eastAsia="zh-CN"/>
        </w:rPr>
        <w:t>latelet</w:t>
      </w:r>
      <w:r>
        <w:rPr>
          <w:rFonts w:hint="eastAsia" w:ascii="宋体" w:hAnsi="宋体"/>
          <w:sz w:val="21"/>
          <w:szCs w:val="21"/>
          <w:lang w:val="en-US" w:eastAsia="zh-CN"/>
        </w:rPr>
        <w:t>）</w:t>
      </w:r>
    </w:p>
    <w:p w14:paraId="1BE8E752">
      <w:pPr>
        <w:pStyle w:val="31"/>
        <w:keepNext w:val="0"/>
        <w:keepLines w:val="0"/>
        <w:pageBreakBefore w:val="0"/>
        <w:widowControl/>
        <w:numPr>
          <w:ilvl w:val="1"/>
          <w:numId w:val="5"/>
        </w:numPr>
        <w:kinsoku/>
        <w:wordWrap/>
        <w:overflowPunct/>
        <w:topLinePunct w:val="0"/>
        <w:autoSpaceDE/>
        <w:autoSpaceDN/>
        <w:bidi w:val="0"/>
        <w:adjustRightInd/>
        <w:snapToGrid/>
        <w:spacing w:before="312" w:after="312"/>
        <w:ind w:left="782" w:hanging="782"/>
        <w:textAlignment w:val="auto"/>
      </w:pPr>
      <w:bookmarkStart w:id="79" w:name="_Toc6325"/>
      <w:r>
        <w:rPr>
          <w:rFonts w:hint="eastAsia"/>
          <w:lang w:val="en-US" w:eastAsia="zh-CN"/>
        </w:rPr>
        <w:t>基本要求</w:t>
      </w:r>
      <w:bookmarkEnd w:id="79"/>
    </w:p>
    <w:p w14:paraId="1C2B7E80">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pPr>
      <w:bookmarkStart w:id="80" w:name="_Toc2866"/>
      <w:r>
        <w:rPr>
          <w:rFonts w:hint="eastAsia"/>
          <w:lang w:val="en-US" w:eastAsia="zh-CN"/>
        </w:rPr>
        <w:t>机构资质</w:t>
      </w:r>
      <w:bookmarkEnd w:id="80"/>
    </w:p>
    <w:p w14:paraId="750E444E">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ind w:leftChars="0" w:firstLine="420" w:firstLineChars="20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开展全自动离心式血浆置换技术的医疗机构，宜为一级以上综合性医院或具备相应救治能力的专科医院，并具备处理相关并发症的应急能力与资源。</w:t>
      </w:r>
    </w:p>
    <w:p w14:paraId="3E4B9402">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81" w:name="_Toc13663"/>
      <w:r>
        <w:rPr>
          <w:rFonts w:hint="eastAsia"/>
          <w:lang w:val="en-US" w:eastAsia="zh-CN"/>
        </w:rPr>
        <w:t>人员资质</w:t>
      </w:r>
      <w:bookmarkEnd w:id="81"/>
    </w:p>
    <w:p w14:paraId="1BB95C38">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操作医师：应持有有效的执业医师资格证书，并经过全自动离心式血浆置换技术的系统培训，熟练掌握该技术的适应证、禁忌证、治疗处方制定、并发症识别与处理。</w:t>
      </w:r>
    </w:p>
    <w:p w14:paraId="6FDE05EE">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操作护士：应持有有效的护士执业证书，并经过专项技术操作培训且考核合格，能熟练执行医嘱、操作设备、进行患者监护及配合并发症抢救。</w:t>
      </w:r>
    </w:p>
    <w:p w14:paraId="622A81E3">
      <w:pPr>
        <w:pStyle w:val="28"/>
        <w:ind w:left="0" w:leftChars="0" w:firstLine="0" w:firstLineChars="0"/>
        <w:rPr>
          <w:rFonts w:hint="default" w:ascii="宋体" w:hAnsi="宋体" w:eastAsia="宋体" w:cs="宋体"/>
          <w:lang w:val="en-US" w:eastAsia="zh-CN"/>
        </w:rPr>
      </w:pPr>
      <w:r>
        <w:rPr>
          <w:rFonts w:hint="eastAsia" w:ascii="黑体" w:hAnsi="黑体" w:eastAsia="黑体" w:cs="黑体"/>
          <w:lang w:val="en-US" w:eastAsia="zh-CN"/>
        </w:rPr>
        <w:t xml:space="preserve">5.2.3  基础设施  </w:t>
      </w:r>
      <w:r>
        <w:rPr>
          <w:rFonts w:hint="eastAsia" w:ascii="宋体" w:hAnsi="宋体" w:eastAsia="宋体" w:cs="宋体"/>
          <w:lang w:val="en-US" w:eastAsia="zh-CN"/>
        </w:rPr>
        <w:t>血浆置换应具备合理的建筑布局和基本设施。具备治疗室、处置室、污物间、留观室、隔离区、医护人员办公室、休息等待区等房间；常用消杀设备、应急药品等应急措施。建筑物应具备通风良好、光线充足、安静舒适的环境，且能够满足血浆置换等操作的需求。此外，应配备必要的紧急设备和安全保护装置。（详见附件：验收标准）</w:t>
      </w:r>
    </w:p>
    <w:p w14:paraId="71E6367F">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82" w:name="_Toc15517"/>
      <w:r>
        <w:rPr>
          <w:rFonts w:hint="eastAsia"/>
          <w:lang w:val="en-US" w:eastAsia="zh-CN"/>
        </w:rPr>
        <w:t>设备与耗材</w:t>
      </w:r>
      <w:bookmarkEnd w:id="82"/>
    </w:p>
    <w:p w14:paraId="5D694035">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全自动离心式血液成分分离机：设备应经国家药品监督管理部门注册，其电气安全与基本性能应符合GB 9706.1、GB 9706.216和YY 0645的要求，处于正常工作状态，并按规定进行定期校验与维护。</w:t>
      </w:r>
    </w:p>
    <w:p w14:paraId="6B12F50C">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耗材：治疗所使用的血浆分离器、管路及其他一次性耗材，应为经注册的合格产品。使用的血管内导管宜符合YY 0285.3的要求。使用前应严格核对产品型号、包装完整性及有效期。</w:t>
      </w:r>
    </w:p>
    <w:p w14:paraId="748D7EF6">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抗凝剂与置换液：应使用符合国家药品标准的药品，如枸橼酸钠注射液、普通肝素、低分子量肝素、人血白蛋白和新鲜冰冻血浆等。使用前应双人核对医嘱、药品种类、浓度及剂量。</w:t>
      </w:r>
    </w:p>
    <w:p w14:paraId="13FA0E16">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83" w:name="_Toc13695"/>
      <w:r>
        <w:rPr>
          <w:rFonts w:hint="eastAsia"/>
          <w:lang w:val="en-US" w:eastAsia="zh-CN"/>
        </w:rPr>
        <w:t>环境与急救保障</w:t>
      </w:r>
      <w:bookmarkEnd w:id="83"/>
    </w:p>
    <w:p w14:paraId="3ED55402">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治疗环境应清洁、通风良好，应符合GB 15982的要求。</w:t>
      </w:r>
    </w:p>
    <w:p w14:paraId="4ACDDC6D">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治疗区域应常备心电监护仪、除颤仪、吸氧装置、吸痰器及急救药品（如肾上腺素、地塞米松和葡萄糖酸钙等）并处于备用状态。</w:t>
      </w:r>
    </w:p>
    <w:p w14:paraId="704C55BD">
      <w:pPr>
        <w:pStyle w:val="31"/>
        <w:numPr>
          <w:ilvl w:val="1"/>
          <w:numId w:val="5"/>
        </w:numPr>
        <w:spacing w:before="312" w:after="312"/>
        <w:ind w:left="780" w:hanging="780"/>
        <w:rPr>
          <w:rFonts w:hint="default"/>
          <w:lang w:val="en-US" w:eastAsia="zh-CN"/>
        </w:rPr>
      </w:pPr>
      <w:bookmarkStart w:id="84" w:name="_Toc32570"/>
      <w:r>
        <w:rPr>
          <w:rFonts w:hint="eastAsia"/>
          <w:lang w:val="en-US" w:eastAsia="zh-CN"/>
        </w:rPr>
        <w:t>操作要求</w:t>
      </w:r>
      <w:bookmarkEnd w:id="84"/>
    </w:p>
    <w:p w14:paraId="5ABCEFD1">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default"/>
          <w:lang w:val="en-US" w:eastAsia="zh-CN"/>
        </w:rPr>
      </w:pPr>
      <w:bookmarkStart w:id="85" w:name="_Toc9302"/>
      <w:r>
        <w:rPr>
          <w:rFonts w:hint="default"/>
          <w:lang w:val="en-US" w:eastAsia="zh-CN"/>
        </w:rPr>
        <w:t>治疗前评估与准备</w:t>
      </w:r>
      <w:bookmarkEnd w:id="85"/>
    </w:p>
    <w:p w14:paraId="3F06D439">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患者评估</w:t>
      </w:r>
    </w:p>
    <w:p w14:paraId="10CDA7AE">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医师应进行以下评估：</w:t>
      </w:r>
    </w:p>
    <w:p w14:paraId="38346F45">
      <w:pPr>
        <w:pStyle w:val="12"/>
        <w:keepNext w:val="0"/>
        <w:keepLines w:val="0"/>
        <w:pageBreakBefore w:val="0"/>
        <w:widowControl w:val="0"/>
        <w:numPr>
          <w:ilvl w:val="0"/>
          <w:numId w:val="6"/>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适应证与禁忌证评估：确认患者所患疾病属于</w:t>
      </w:r>
      <w:r>
        <w:rPr>
          <w:rFonts w:hint="eastAsia" w:ascii="宋体" w:hAnsi="宋体" w:eastAsia="宋体" w:cs="宋体"/>
          <w:sz w:val="21"/>
          <w:szCs w:val="18"/>
          <w:lang w:val="en-US" w:eastAsia="zh-CN"/>
        </w:rPr>
        <w:t>全自动离心式血浆置换</w:t>
      </w:r>
      <w:r>
        <w:rPr>
          <w:rFonts w:hint="eastAsia" w:ascii="宋体" w:hAnsi="宋体" w:cs="宋体"/>
          <w:kern w:val="0"/>
          <w:sz w:val="21"/>
          <w:szCs w:val="21"/>
          <w:lang w:val="en-US" w:eastAsia="zh-CN" w:bidi="ar"/>
        </w:rPr>
        <w:t>适用范畴，并排除相关禁忌证；</w:t>
      </w:r>
    </w:p>
    <w:p w14:paraId="78730902">
      <w:pPr>
        <w:pStyle w:val="12"/>
        <w:keepNext w:val="0"/>
        <w:keepLines w:val="0"/>
        <w:pageBreakBefore w:val="0"/>
        <w:widowControl w:val="0"/>
        <w:numPr>
          <w:ilvl w:val="0"/>
          <w:numId w:val="6"/>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检验指标审核：审核治疗前的检验结果，至少包括血常规、凝血功能、电解质、肝功能、肾功能及传染病筛查项目；</w:t>
      </w:r>
    </w:p>
    <w:p w14:paraId="538032D0">
      <w:pPr>
        <w:pStyle w:val="12"/>
        <w:keepNext w:val="0"/>
        <w:keepLines w:val="0"/>
        <w:pageBreakBefore w:val="0"/>
        <w:widowControl w:val="0"/>
        <w:numPr>
          <w:ilvl w:val="0"/>
          <w:numId w:val="6"/>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eastAsia" w:ascii="宋体" w:hAnsi="宋体" w:cs="宋体"/>
          <w:kern w:val="0"/>
          <w:sz w:val="21"/>
          <w:szCs w:val="21"/>
          <w:lang w:val="en-US" w:eastAsia="zh-CN" w:bidi="ar"/>
        </w:rPr>
        <w:t>整体状况评估：评估患者的血管通路条件、生命体征及全身状况，确认其可耐受治疗；</w:t>
      </w:r>
    </w:p>
    <w:p w14:paraId="47F396FA">
      <w:pPr>
        <w:pStyle w:val="12"/>
        <w:keepNext w:val="0"/>
        <w:keepLines w:val="0"/>
        <w:pageBreakBefore w:val="0"/>
        <w:widowControl w:val="0"/>
        <w:numPr>
          <w:ilvl w:val="0"/>
          <w:numId w:val="6"/>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eastAsia" w:ascii="宋体" w:hAnsi="宋体" w:cs="宋体"/>
          <w:kern w:val="0"/>
          <w:sz w:val="21"/>
          <w:szCs w:val="21"/>
          <w:lang w:val="en-US" w:eastAsia="zh-CN" w:bidi="ar"/>
        </w:rPr>
        <w:t>凝血状态评估，见表A.1。</w:t>
      </w:r>
    </w:p>
    <w:p w14:paraId="59BE0B74">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ind w:left="0" w:leftChars="0" w:firstLine="0"/>
        <w:textAlignment w:val="auto"/>
        <w:outlineLvl w:val="2"/>
        <w:rPr>
          <w:rFonts w:hint="default" w:ascii="宋体" w:hAnsi="宋体" w:eastAsia="宋体" w:cs="宋体"/>
          <w:lang w:val="en-US" w:eastAsia="zh-CN"/>
        </w:rPr>
      </w:pPr>
      <w:r>
        <w:rPr>
          <w:rFonts w:hint="eastAsia" w:ascii="宋体" w:hAnsi="宋体" w:eastAsia="宋体" w:cs="宋体"/>
          <w:sz w:val="21"/>
          <w:szCs w:val="18"/>
          <w:lang w:val="en-US" w:eastAsia="zh-CN"/>
        </w:rPr>
        <w:t>全自动离心式血浆置换</w:t>
      </w:r>
      <w:r>
        <w:rPr>
          <w:rFonts w:hint="default" w:ascii="宋体" w:hAnsi="宋体" w:eastAsia="宋体" w:cs="宋体"/>
          <w:lang w:val="en-US" w:eastAsia="zh-CN"/>
        </w:rPr>
        <w:t>适用于但不限于以下疾病：</w:t>
      </w:r>
    </w:p>
    <w:p w14:paraId="3E206996">
      <w:pPr>
        <w:pStyle w:val="12"/>
        <w:keepNext w:val="0"/>
        <w:keepLines w:val="0"/>
        <w:pageBreakBefore w:val="0"/>
        <w:widowControl w:val="0"/>
        <w:numPr>
          <w:ilvl w:val="0"/>
          <w:numId w:val="7"/>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代谢性疾病（如严重高脂血症）；</w:t>
      </w:r>
    </w:p>
    <w:p w14:paraId="1E2DC636">
      <w:pPr>
        <w:pStyle w:val="12"/>
        <w:keepNext w:val="0"/>
        <w:keepLines w:val="0"/>
        <w:pageBreakBefore w:val="0"/>
        <w:widowControl w:val="0"/>
        <w:numPr>
          <w:ilvl w:val="0"/>
          <w:numId w:val="7"/>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自身免疫性皮肤疾病（如天疱疮、硬皮病）；</w:t>
      </w:r>
    </w:p>
    <w:p w14:paraId="71644F7A">
      <w:pPr>
        <w:pStyle w:val="12"/>
        <w:keepNext w:val="0"/>
        <w:keepLines w:val="0"/>
        <w:pageBreakBefore w:val="0"/>
        <w:widowControl w:val="0"/>
        <w:numPr>
          <w:ilvl w:val="0"/>
          <w:numId w:val="7"/>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消化系统疾病（如急性肝衰竭、重症肝炎）；</w:t>
      </w:r>
    </w:p>
    <w:p w14:paraId="75E07591">
      <w:pPr>
        <w:pStyle w:val="12"/>
        <w:keepNext w:val="0"/>
        <w:keepLines w:val="0"/>
        <w:pageBreakBefore w:val="0"/>
        <w:widowControl w:val="0"/>
        <w:numPr>
          <w:ilvl w:val="0"/>
          <w:numId w:val="7"/>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药物、毒物中毒；</w:t>
      </w:r>
    </w:p>
    <w:p w14:paraId="0B4162C5">
      <w:pPr>
        <w:pStyle w:val="12"/>
        <w:keepNext w:val="0"/>
        <w:keepLines w:val="0"/>
        <w:pageBreakBefore w:val="0"/>
        <w:widowControl w:val="0"/>
        <w:numPr>
          <w:ilvl w:val="0"/>
          <w:numId w:val="7"/>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风湿免疫性疾病（如系统性红斑狼疮、抗磷脂抗体综合征）；</w:t>
      </w:r>
    </w:p>
    <w:p w14:paraId="22668016">
      <w:pPr>
        <w:pStyle w:val="12"/>
        <w:keepNext w:val="0"/>
        <w:keepLines w:val="0"/>
        <w:pageBreakBefore w:val="0"/>
        <w:widowControl w:val="0"/>
        <w:numPr>
          <w:ilvl w:val="0"/>
          <w:numId w:val="7"/>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肾脏疾病（如急进性肾小球肾炎、重症狼疮性肾炎）；</w:t>
      </w:r>
    </w:p>
    <w:p w14:paraId="573499CA">
      <w:pPr>
        <w:pStyle w:val="12"/>
        <w:keepNext w:val="0"/>
        <w:keepLines w:val="0"/>
        <w:pageBreakBefore w:val="0"/>
        <w:widowControl w:val="0"/>
        <w:numPr>
          <w:ilvl w:val="0"/>
          <w:numId w:val="7"/>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免疫性神经系统疾病（如重症肌无力、吉兰-巴雷综合征）；</w:t>
      </w:r>
    </w:p>
    <w:p w14:paraId="360DF6A1">
      <w:pPr>
        <w:pStyle w:val="12"/>
        <w:keepNext w:val="0"/>
        <w:keepLines w:val="0"/>
        <w:pageBreakBefore w:val="0"/>
        <w:widowControl w:val="0"/>
        <w:numPr>
          <w:ilvl w:val="0"/>
          <w:numId w:val="7"/>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血液系统疾病（如血栓性微血管病、自身免疫性溶血性贫血）。</w:t>
      </w:r>
    </w:p>
    <w:p w14:paraId="57264E1B">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ind w:left="0" w:leftChars="0" w:firstLine="0"/>
        <w:textAlignment w:val="auto"/>
        <w:outlineLvl w:val="2"/>
        <w:rPr>
          <w:rFonts w:hint="default" w:ascii="宋体" w:hAnsi="宋体" w:eastAsia="宋体" w:cs="宋体"/>
          <w:sz w:val="21"/>
          <w:szCs w:val="18"/>
          <w:lang w:val="en-US" w:eastAsia="zh-CN"/>
        </w:rPr>
      </w:pPr>
      <w:r>
        <w:rPr>
          <w:rFonts w:hint="eastAsia" w:ascii="宋体" w:hAnsi="宋体" w:eastAsia="宋体" w:cs="宋体"/>
          <w:sz w:val="21"/>
          <w:szCs w:val="18"/>
          <w:lang w:val="en-US" w:eastAsia="zh-CN"/>
        </w:rPr>
        <w:t>全自动离心式血浆置换不适用于以下人群：</w:t>
      </w:r>
    </w:p>
    <w:p w14:paraId="718D819D">
      <w:pPr>
        <w:pStyle w:val="12"/>
        <w:keepNext w:val="0"/>
        <w:keepLines w:val="0"/>
        <w:pageBreakBefore w:val="0"/>
        <w:widowControl w:val="0"/>
        <w:numPr>
          <w:ilvl w:val="0"/>
          <w:numId w:val="8"/>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对血浆、人血白蛋白、枸橼酸钠、血浆分离器等有严重过敏史</w:t>
      </w:r>
      <w:r>
        <w:rPr>
          <w:rFonts w:hint="eastAsia" w:ascii="宋体" w:hAnsi="宋体" w:cs="宋体"/>
          <w:kern w:val="0"/>
          <w:sz w:val="21"/>
          <w:szCs w:val="21"/>
          <w:lang w:val="en-US" w:eastAsia="zh-CN" w:bidi="ar"/>
        </w:rPr>
        <w:t>者</w:t>
      </w:r>
      <w:r>
        <w:rPr>
          <w:rFonts w:hint="default" w:ascii="宋体" w:hAnsi="宋体" w:cs="宋体"/>
          <w:kern w:val="0"/>
          <w:sz w:val="21"/>
          <w:szCs w:val="21"/>
          <w:lang w:val="en-US" w:eastAsia="zh-CN" w:bidi="ar"/>
        </w:rPr>
        <w:t>；</w:t>
      </w:r>
    </w:p>
    <w:p w14:paraId="6C0E1500">
      <w:pPr>
        <w:pStyle w:val="12"/>
        <w:keepNext w:val="0"/>
        <w:keepLines w:val="0"/>
        <w:pageBreakBefore w:val="0"/>
        <w:widowControl w:val="0"/>
        <w:numPr>
          <w:ilvl w:val="0"/>
          <w:numId w:val="8"/>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药物难以纠正的全身循环衰竭</w:t>
      </w:r>
      <w:r>
        <w:rPr>
          <w:rFonts w:hint="eastAsia" w:ascii="宋体" w:hAnsi="宋体" w:cs="宋体"/>
          <w:kern w:val="0"/>
          <w:sz w:val="21"/>
          <w:szCs w:val="21"/>
          <w:lang w:val="en-US" w:eastAsia="zh-CN" w:bidi="ar"/>
        </w:rPr>
        <w:t>者</w:t>
      </w:r>
      <w:r>
        <w:rPr>
          <w:rFonts w:hint="default" w:ascii="宋体" w:hAnsi="宋体" w:cs="宋体"/>
          <w:kern w:val="0"/>
          <w:sz w:val="21"/>
          <w:szCs w:val="21"/>
          <w:lang w:val="en-US" w:eastAsia="zh-CN" w:bidi="ar"/>
        </w:rPr>
        <w:t>；</w:t>
      </w:r>
    </w:p>
    <w:p w14:paraId="282C2218">
      <w:pPr>
        <w:pStyle w:val="12"/>
        <w:keepNext w:val="0"/>
        <w:keepLines w:val="0"/>
        <w:pageBreakBefore w:val="0"/>
        <w:widowControl w:val="0"/>
        <w:numPr>
          <w:ilvl w:val="0"/>
          <w:numId w:val="8"/>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非稳定期的心肌梗死或缺血性脑卒中</w:t>
      </w:r>
      <w:r>
        <w:rPr>
          <w:rFonts w:hint="eastAsia" w:ascii="宋体" w:hAnsi="宋体" w:cs="宋体"/>
          <w:kern w:val="0"/>
          <w:sz w:val="21"/>
          <w:szCs w:val="21"/>
          <w:lang w:val="en-US" w:eastAsia="zh-CN" w:bidi="ar"/>
        </w:rPr>
        <w:t>者</w:t>
      </w:r>
      <w:r>
        <w:rPr>
          <w:rFonts w:hint="default" w:ascii="宋体" w:hAnsi="宋体" w:cs="宋体"/>
          <w:kern w:val="0"/>
          <w:sz w:val="21"/>
          <w:szCs w:val="21"/>
          <w:lang w:val="en-US" w:eastAsia="zh-CN" w:bidi="ar"/>
        </w:rPr>
        <w:t>；</w:t>
      </w:r>
    </w:p>
    <w:p w14:paraId="5B41B251">
      <w:pPr>
        <w:pStyle w:val="12"/>
        <w:keepNext w:val="0"/>
        <w:keepLines w:val="0"/>
        <w:pageBreakBefore w:val="0"/>
        <w:widowControl w:val="0"/>
        <w:numPr>
          <w:ilvl w:val="0"/>
          <w:numId w:val="8"/>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颅内出血或重度脑水肿伴有脑疝</w:t>
      </w:r>
      <w:r>
        <w:rPr>
          <w:rFonts w:hint="eastAsia" w:ascii="宋体" w:hAnsi="宋体" w:cs="宋体"/>
          <w:kern w:val="0"/>
          <w:sz w:val="21"/>
          <w:szCs w:val="21"/>
          <w:lang w:val="en-US" w:eastAsia="zh-CN" w:bidi="ar"/>
        </w:rPr>
        <w:t>者</w:t>
      </w:r>
      <w:r>
        <w:rPr>
          <w:rFonts w:hint="default" w:ascii="宋体" w:hAnsi="宋体" w:cs="宋体"/>
          <w:kern w:val="0"/>
          <w:sz w:val="21"/>
          <w:szCs w:val="21"/>
          <w:lang w:val="en-US" w:eastAsia="zh-CN" w:bidi="ar"/>
        </w:rPr>
        <w:t>；</w:t>
      </w:r>
    </w:p>
    <w:p w14:paraId="3A4F1B9F">
      <w:pPr>
        <w:pStyle w:val="12"/>
        <w:keepNext w:val="0"/>
        <w:keepLines w:val="0"/>
        <w:pageBreakBefore w:val="0"/>
        <w:widowControl w:val="0"/>
        <w:numPr>
          <w:ilvl w:val="0"/>
          <w:numId w:val="8"/>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在精神障碍而不能很好配合治疗者。</w:t>
      </w:r>
    </w:p>
    <w:p w14:paraId="29765CD5">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知情同意</w:t>
      </w:r>
    </w:p>
    <w:p w14:paraId="3D41A0AD">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ind w:leftChars="0" w:firstLine="420" w:firstLineChars="20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医师应向患者和/或其近亲属充分告知治疗的目的、流程、预期效果、潜在风险及替代方案，在其充分理解后，双方共同签署书面知情同意书。</w:t>
      </w:r>
    </w:p>
    <w:p w14:paraId="39447727">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default"/>
          <w:lang w:val="en-US" w:eastAsia="zh-CN"/>
        </w:rPr>
      </w:pPr>
      <w:r>
        <w:rPr>
          <w:rFonts w:hint="eastAsia"/>
        </w:rPr>
        <w:t>治疗</w:t>
      </w:r>
      <w:r>
        <w:rPr>
          <w:rFonts w:hint="eastAsia"/>
          <w:lang w:val="en-US" w:eastAsia="zh-CN"/>
        </w:rPr>
        <w:t>方案</w:t>
      </w:r>
      <w:r>
        <w:rPr>
          <w:rFonts w:hint="eastAsia"/>
        </w:rPr>
        <w:t>制定</w:t>
      </w:r>
    </w:p>
    <w:p w14:paraId="30DEA20F">
      <w:pPr>
        <w:pStyle w:val="28"/>
        <w:keepNext w:val="0"/>
        <w:keepLines w:val="0"/>
        <w:pageBreakBefore w:val="0"/>
        <w:widowControl w:val="0"/>
        <w:kinsoku/>
        <w:wordWrap/>
        <w:overflowPunct/>
        <w:topLinePunct w:val="0"/>
        <w:autoSpaceDE/>
        <w:autoSpaceDN/>
        <w:bidi w:val="0"/>
        <w:snapToGrid/>
        <w:textAlignment w:val="auto"/>
        <w:rPr>
          <w:rFonts w:hint="eastAsia"/>
          <w:sz w:val="21"/>
          <w:szCs w:val="21"/>
          <w:lang w:val="en-US" w:eastAsia="zh-CN"/>
        </w:rPr>
      </w:pPr>
      <w:r>
        <w:rPr>
          <w:rFonts w:hint="eastAsia"/>
          <w:sz w:val="21"/>
          <w:szCs w:val="21"/>
          <w:lang w:val="en-US" w:eastAsia="zh-CN"/>
        </w:rPr>
        <w:t>医师应依据患者病情个体化制定治疗处方，内容包括：</w:t>
      </w:r>
    </w:p>
    <w:p w14:paraId="0178F7AB">
      <w:pPr>
        <w:pStyle w:val="12"/>
        <w:keepNext w:val="0"/>
        <w:keepLines w:val="0"/>
        <w:pageBreakBefore w:val="0"/>
        <w:widowControl w:val="0"/>
        <w:numPr>
          <w:ilvl w:val="0"/>
          <w:numId w:val="9"/>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血浆置换目标量：根据体重及血细胞比容计算，计算方法见附录B；</w:t>
      </w:r>
    </w:p>
    <w:p w14:paraId="1B1E2541">
      <w:pPr>
        <w:pStyle w:val="12"/>
        <w:keepNext w:val="0"/>
        <w:keepLines w:val="0"/>
        <w:pageBreakBefore w:val="0"/>
        <w:widowControl w:val="0"/>
        <w:numPr>
          <w:ilvl w:val="0"/>
          <w:numId w:val="9"/>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置换液种类与剂量：明确使用新鲜冰冻血浆、人血白蛋白或晶体液等的种类、浓度与用量，见附录B；</w:t>
      </w:r>
    </w:p>
    <w:p w14:paraId="0A006A86">
      <w:pPr>
        <w:pStyle w:val="12"/>
        <w:keepNext w:val="0"/>
        <w:keepLines w:val="0"/>
        <w:pageBreakBefore w:val="0"/>
        <w:widowControl w:val="0"/>
        <w:numPr>
          <w:ilvl w:val="0"/>
          <w:numId w:val="9"/>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抗凝方案：明确抗凝剂种类、初始剂量、追加方案及监测目标，见附录C；</w:t>
      </w:r>
    </w:p>
    <w:p w14:paraId="472276B5">
      <w:pPr>
        <w:pStyle w:val="12"/>
        <w:keepNext w:val="0"/>
        <w:keepLines w:val="0"/>
        <w:pageBreakBefore w:val="0"/>
        <w:widowControl w:val="0"/>
        <w:numPr>
          <w:ilvl w:val="0"/>
          <w:numId w:val="9"/>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治疗频次与疗程：明确本次治疗在疗程中的位置及后续计划，一般每日或隔日1次，3次～5次为1疗程。</w:t>
      </w:r>
    </w:p>
    <w:p w14:paraId="4FC3EA59">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default"/>
          <w:lang w:val="en-US" w:eastAsia="zh-CN"/>
        </w:rPr>
      </w:pPr>
      <w:r>
        <w:rPr>
          <w:rFonts w:hint="default"/>
          <w:lang w:val="en-US" w:eastAsia="zh-CN"/>
        </w:rPr>
        <w:t>物品与设备准备</w:t>
      </w:r>
    </w:p>
    <w:p w14:paraId="5A6F7333">
      <w:pPr>
        <w:pStyle w:val="28"/>
        <w:keepNext w:val="0"/>
        <w:keepLines w:val="0"/>
        <w:pageBreakBefore w:val="0"/>
        <w:widowControl w:val="0"/>
        <w:kinsoku/>
        <w:wordWrap/>
        <w:overflowPunct/>
        <w:topLinePunct w:val="0"/>
        <w:autoSpaceDE/>
        <w:autoSpaceDN/>
        <w:bidi w:val="0"/>
        <w:snapToGrid/>
        <w:textAlignment w:val="auto"/>
        <w:rPr>
          <w:rFonts w:hint="default"/>
          <w:sz w:val="21"/>
          <w:szCs w:val="21"/>
          <w:lang w:val="en-US" w:eastAsia="zh-CN"/>
        </w:rPr>
      </w:pPr>
      <w:r>
        <w:rPr>
          <w:rFonts w:hint="default"/>
          <w:sz w:val="21"/>
          <w:szCs w:val="21"/>
          <w:lang w:val="en-US" w:eastAsia="zh-CN"/>
        </w:rPr>
        <w:t>护士应完成以下准备与核对工作：</w:t>
      </w:r>
    </w:p>
    <w:p w14:paraId="60475D36">
      <w:pPr>
        <w:pStyle w:val="12"/>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设备准备：确认全自动离心式血液成分分离机功能正常，处于备用状态</w:t>
      </w:r>
      <w:r>
        <w:rPr>
          <w:rFonts w:hint="eastAsia" w:ascii="宋体" w:hAnsi="宋体" w:cs="宋体"/>
          <w:kern w:val="0"/>
          <w:sz w:val="21"/>
          <w:szCs w:val="21"/>
          <w:lang w:val="en-US" w:eastAsia="zh-CN" w:bidi="ar"/>
        </w:rPr>
        <w:t>；</w:t>
      </w:r>
    </w:p>
    <w:p w14:paraId="10AE84A7">
      <w:pPr>
        <w:pStyle w:val="12"/>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耗材核对：检查一次性血浆分离器及管路型号匹配、包装完好、在有效期内</w:t>
      </w:r>
      <w:r>
        <w:rPr>
          <w:rFonts w:hint="eastAsia" w:ascii="宋体" w:hAnsi="宋体" w:cs="宋体"/>
          <w:kern w:val="0"/>
          <w:sz w:val="21"/>
          <w:szCs w:val="21"/>
          <w:lang w:val="en-US" w:eastAsia="zh-CN" w:bidi="ar"/>
        </w:rPr>
        <w:t>；</w:t>
      </w:r>
    </w:p>
    <w:p w14:paraId="77115B8B">
      <w:pPr>
        <w:pStyle w:val="12"/>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药品核对：双人核对抗凝剂、置换液、生理盐水等药品的名称、浓度、剂量及有效期</w:t>
      </w:r>
      <w:r>
        <w:rPr>
          <w:rFonts w:hint="eastAsia" w:ascii="宋体" w:hAnsi="宋体" w:cs="宋体"/>
          <w:kern w:val="0"/>
          <w:sz w:val="21"/>
          <w:szCs w:val="21"/>
          <w:lang w:val="en-US" w:eastAsia="zh-CN" w:bidi="ar"/>
        </w:rPr>
        <w:t>；</w:t>
      </w:r>
    </w:p>
    <w:p w14:paraId="61AF10D2">
      <w:pPr>
        <w:pStyle w:val="12"/>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急救准备：</w:t>
      </w:r>
      <w:r>
        <w:rPr>
          <w:rFonts w:hint="eastAsia" w:ascii="宋体" w:hAnsi="宋体" w:cs="宋体"/>
          <w:kern w:val="0"/>
          <w:sz w:val="21"/>
          <w:szCs w:val="21"/>
          <w:lang w:val="en-US" w:eastAsia="zh-CN" w:bidi="ar"/>
        </w:rPr>
        <w:t>确认</w:t>
      </w:r>
      <w:r>
        <w:rPr>
          <w:rFonts w:hint="default" w:ascii="宋体" w:hAnsi="宋体" w:cs="宋体"/>
          <w:kern w:val="0"/>
          <w:sz w:val="21"/>
          <w:szCs w:val="21"/>
          <w:lang w:val="en-US" w:eastAsia="zh-CN" w:bidi="ar"/>
        </w:rPr>
        <w:t>心电监护仪、急救药品及器材处于备用状态。</w:t>
      </w:r>
    </w:p>
    <w:p w14:paraId="2DF63D01">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86" w:name="_Toc4044"/>
      <w:r>
        <w:rPr>
          <w:rFonts w:hint="eastAsia"/>
          <w:lang w:val="en-US" w:eastAsia="zh-CN"/>
        </w:rPr>
        <w:t>操作流程</w:t>
      </w:r>
      <w:bookmarkEnd w:id="86"/>
    </w:p>
    <w:p w14:paraId="4D649F8B">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设备准备与自检</w:t>
      </w:r>
    </w:p>
    <w:p w14:paraId="46A9DAC3">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操作护士应检查全自动离心式血液成分分离机的电源电路连接正常，开启设备总电源，完成设备自检程序。</w:t>
      </w:r>
    </w:p>
    <w:p w14:paraId="7C3E4F1B">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自检通过后，应按照设备制造商提供的操作说明书，正确安装一次性血浆分离器及专用管路。</w:t>
      </w:r>
    </w:p>
    <w:p w14:paraId="0FD86F8E">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管路安装与预冲</w:t>
      </w:r>
    </w:p>
    <w:p w14:paraId="1A14C54B">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使用生理盐水或设备指定的预冲液，按照机器提示执行管路的自动预冲程序。</w:t>
      </w:r>
    </w:p>
    <w:p w14:paraId="1F121C65">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预冲过程中应检查管路各连接处是否紧密，有无渗漏，并排尽管路及分离器内的空气。</w:t>
      </w:r>
    </w:p>
    <w:p w14:paraId="66AE8AB6">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血管通路建立</w:t>
      </w:r>
    </w:p>
    <w:p w14:paraId="6249B16B">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Chars="0" w:firstLine="420" w:firstLineChars="20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穿刺操作应符合WS/T 367中对于注射、穿刺部位皮肤消毒及无菌技术的要求。选择合适静脉（如肘正中静脉）进行穿刺，应符合WS/T 433的要求。</w:t>
      </w:r>
    </w:p>
    <w:p w14:paraId="24A9E968">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治疗参数设置</w:t>
      </w:r>
    </w:p>
    <w:p w14:paraId="5F5F341A">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操作护士应根据医师处方，在设备上准确设置参数：</w:t>
      </w:r>
    </w:p>
    <w:p w14:paraId="117B1EB5">
      <w:pPr>
        <w:pStyle w:val="12"/>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血浆置换目标量；</w:t>
      </w:r>
    </w:p>
    <w:p w14:paraId="3E95FF39">
      <w:pPr>
        <w:pStyle w:val="12"/>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抗凝剂种类及输入比例（如使用枸橼酸钠，初始比例1:10～1:15，根据离子钙水平调整）；</w:t>
      </w:r>
    </w:p>
    <w:p w14:paraId="680611FE">
      <w:pPr>
        <w:pStyle w:val="12"/>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全血采血流速与血浆回输速度。</w:t>
      </w:r>
    </w:p>
    <w:p w14:paraId="0C65DCEA">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若环境温度较低，应开启置换液加温装置，采用干式加温方式将置换液加温至适宜温度后再输入。</w:t>
      </w:r>
    </w:p>
    <w:p w14:paraId="64F0C25E">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治疗连接与启动</w:t>
      </w:r>
    </w:p>
    <w:p w14:paraId="44337B1F">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将体外循环管路与患者血管通路连接。</w:t>
      </w:r>
    </w:p>
    <w:p w14:paraId="673E538F">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启动治疗，初始全血流速宜设置为20 mL/min～50 mL/min，低速运行3 min～5 min，密切观察患者有无过敏、低血压等急性反应。</w:t>
      </w:r>
    </w:p>
    <w:p w14:paraId="64BC76D0">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确认患者无不适后，逐步将血流速度调整至目标值。</w:t>
      </w:r>
    </w:p>
    <w:p w14:paraId="63C5FCBF">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治疗过程监护</w:t>
      </w:r>
    </w:p>
    <w:p w14:paraId="295514E9">
      <w:pPr>
        <w:pStyle w:val="31"/>
        <w:keepNext w:val="0"/>
        <w:keepLines w:val="0"/>
        <w:pageBreakBefore w:val="0"/>
        <w:widowControl/>
        <w:numPr>
          <w:ilvl w:val="4"/>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生命体征与设备运行监测</w:t>
      </w:r>
    </w:p>
    <w:p w14:paraId="64C96C0B">
      <w:pPr>
        <w:pStyle w:val="31"/>
        <w:keepNext w:val="0"/>
        <w:keepLines w:val="0"/>
        <w:pageBreakBefore w:val="0"/>
        <w:widowControl/>
        <w:numPr>
          <w:ilvl w:val="5"/>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应持续监测患者血压、心率、呼吸及血氧饱和度等生命体征，并至少每30 min记录一次。</w:t>
      </w:r>
    </w:p>
    <w:p w14:paraId="53252A5A">
      <w:pPr>
        <w:pStyle w:val="31"/>
        <w:keepNext w:val="0"/>
        <w:keepLines w:val="0"/>
        <w:pageBreakBefore w:val="0"/>
        <w:widowControl/>
        <w:numPr>
          <w:ilvl w:val="5"/>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应观察血浆颜色，必要时检测游离血红蛋白。</w:t>
      </w:r>
    </w:p>
    <w:p w14:paraId="776E75BA">
      <w:pPr>
        <w:pStyle w:val="31"/>
        <w:keepNext w:val="0"/>
        <w:keepLines w:val="0"/>
        <w:pageBreakBefore w:val="0"/>
        <w:widowControl/>
        <w:numPr>
          <w:ilvl w:val="5"/>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应持续观察设备运行状态，包括全血流速、血浆泵速度、各类压力监测值等。血液置换相关并发症及处理见表D.1。</w:t>
      </w:r>
    </w:p>
    <w:p w14:paraId="582CC7B7">
      <w:pPr>
        <w:pStyle w:val="31"/>
        <w:keepNext w:val="0"/>
        <w:keepLines w:val="0"/>
        <w:pageBreakBefore w:val="0"/>
        <w:widowControl/>
        <w:numPr>
          <w:ilvl w:val="4"/>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凝血状态监测</w:t>
      </w:r>
    </w:p>
    <w:p w14:paraId="283F3CE6">
      <w:pPr>
        <w:pStyle w:val="31"/>
        <w:keepNext w:val="0"/>
        <w:keepLines w:val="0"/>
        <w:pageBreakBefore w:val="0"/>
        <w:widowControl/>
        <w:numPr>
          <w:ilvl w:val="5"/>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治疗前、治疗过程中及治疗结束后应实施严密的凝血状态监测。</w:t>
      </w:r>
    </w:p>
    <w:p w14:paraId="436DB355">
      <w:pPr>
        <w:pStyle w:val="31"/>
        <w:keepNext w:val="0"/>
        <w:keepLines w:val="0"/>
        <w:pageBreakBefore w:val="0"/>
        <w:widowControl/>
        <w:numPr>
          <w:ilvl w:val="5"/>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default" w:ascii="宋体" w:hAnsi="宋体" w:eastAsia="宋体" w:cs="宋体"/>
          <w:lang w:val="en-US" w:eastAsia="zh-CN"/>
        </w:rPr>
      </w:pPr>
      <w:r>
        <w:rPr>
          <w:rFonts w:hint="eastAsia" w:ascii="宋体" w:hAnsi="宋体" w:eastAsia="宋体" w:cs="宋体"/>
          <w:lang w:val="en-US" w:eastAsia="zh-CN"/>
        </w:rPr>
        <w:t>治疗前和结束后，应从治疗管路动脉端或患者外周静脉采集血样，评估患者基础凝血状态或抗凝治疗方案的安全性（出血风险）。</w:t>
      </w:r>
    </w:p>
    <w:p w14:paraId="4A2E342D">
      <w:pPr>
        <w:pStyle w:val="31"/>
        <w:keepNext w:val="0"/>
        <w:keepLines w:val="0"/>
        <w:pageBreakBefore w:val="0"/>
        <w:widowControl/>
        <w:numPr>
          <w:ilvl w:val="5"/>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default" w:ascii="宋体" w:hAnsi="宋体" w:eastAsia="宋体" w:cs="宋体"/>
          <w:lang w:val="en-US" w:eastAsia="zh-CN"/>
        </w:rPr>
      </w:pPr>
      <w:r>
        <w:rPr>
          <w:rFonts w:hint="default" w:ascii="宋体" w:hAnsi="宋体" w:eastAsia="宋体" w:cs="宋体"/>
          <w:lang w:val="en-US" w:eastAsia="zh-CN"/>
        </w:rPr>
        <w:t>治疗过程中</w:t>
      </w:r>
      <w:r>
        <w:rPr>
          <w:rFonts w:hint="eastAsia" w:ascii="宋体" w:hAnsi="宋体" w:eastAsia="宋体" w:cs="宋体"/>
          <w:lang w:val="en-US" w:eastAsia="zh-CN"/>
        </w:rPr>
        <w:t>，应同时从治疗管路动脉端和静脉端采集血样进行对比，评估抗凝方案的有效性及安全性。</w:t>
      </w:r>
    </w:p>
    <w:p w14:paraId="2FC56F7A">
      <w:pPr>
        <w:pStyle w:val="31"/>
        <w:keepNext w:val="0"/>
        <w:keepLines w:val="0"/>
        <w:pageBreakBefore w:val="0"/>
        <w:widowControl/>
        <w:numPr>
          <w:ilvl w:val="5"/>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抗凝剂相关并发症及处理见表D.2。</w:t>
      </w:r>
    </w:p>
    <w:p w14:paraId="36F223D6">
      <w:pPr>
        <w:pStyle w:val="31"/>
        <w:keepNext w:val="0"/>
        <w:keepLines w:val="0"/>
        <w:pageBreakBefore w:val="0"/>
        <w:widowControl/>
        <w:numPr>
          <w:ilvl w:val="5"/>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凝血功能的实验室检测，其室内质量控制应符合WS/T 641的要求。</w:t>
      </w:r>
    </w:p>
    <w:p w14:paraId="07299621">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default"/>
          <w:lang w:val="en-US" w:eastAsia="zh-CN"/>
        </w:rPr>
      </w:pPr>
      <w:r>
        <w:rPr>
          <w:rFonts w:hint="eastAsia"/>
          <w:lang w:val="en-US" w:eastAsia="zh-CN"/>
        </w:rPr>
        <w:t>治疗结束与回输</w:t>
      </w:r>
    </w:p>
    <w:p w14:paraId="32314649">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当置换量达到预设目标后，应采用密闭式回输方法，使用生理盐水将体外循环管路中的血液回输至患者体内。</w:t>
      </w:r>
    </w:p>
    <w:p w14:paraId="103B57EE">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回输过程中及治疗后，应观察患者有无迟发性并发症（如出血、迟发性过敏等）。</w:t>
      </w:r>
    </w:p>
    <w:p w14:paraId="1691A513">
      <w:pPr>
        <w:pStyle w:val="31"/>
        <w:keepNext w:val="0"/>
        <w:keepLines w:val="0"/>
        <w:pageBreakBefore w:val="0"/>
        <w:widowControl/>
        <w:numPr>
          <w:ilvl w:val="4"/>
          <w:numId w:val="5"/>
        </w:numPr>
        <w:kinsoku/>
        <w:wordWrap/>
        <w:overflowPunct/>
        <w:topLinePunct w:val="0"/>
        <w:autoSpaceDE/>
        <w:autoSpaceDN/>
        <w:bidi w:val="0"/>
        <w:adjustRightInd/>
        <w:snapToGrid/>
        <w:spacing w:beforeLines="0" w:afterLines="0" w:line="240" w:lineRule="auto"/>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回输完毕，断开患者连接，压迫穿刺点至止血。</w:t>
      </w:r>
    </w:p>
    <w:p w14:paraId="0E622D9D">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eastAsia"/>
          <w:lang w:val="en-US" w:eastAsia="zh-CN"/>
        </w:rPr>
      </w:pPr>
      <w:r>
        <w:rPr>
          <w:rFonts w:hint="eastAsia"/>
          <w:lang w:val="en-US" w:eastAsia="zh-CN"/>
        </w:rPr>
        <w:t>医疗废物处理</w:t>
      </w:r>
    </w:p>
    <w:p w14:paraId="2E2C6F8F">
      <w:pPr>
        <w:pStyle w:val="28"/>
        <w:rPr>
          <w:rFonts w:hint="eastAsia"/>
          <w:lang w:val="en-US" w:eastAsia="zh-CN"/>
        </w:rPr>
      </w:pPr>
      <w:r>
        <w:rPr>
          <w:rFonts w:hint="eastAsia"/>
          <w:lang w:val="en-US" w:eastAsia="zh-CN"/>
        </w:rPr>
        <w:t>治疗结束后，所有使用后的一次性医疗耗材应严格按照《医疗废物管理条例》进行分类处置。</w:t>
      </w:r>
    </w:p>
    <w:p w14:paraId="49168A4F">
      <w:pPr>
        <w:pStyle w:val="31"/>
        <w:numPr>
          <w:ilvl w:val="1"/>
          <w:numId w:val="5"/>
        </w:numPr>
        <w:spacing w:before="312" w:after="312"/>
        <w:ind w:left="780" w:hanging="780"/>
        <w:rPr>
          <w:rFonts w:hint="default"/>
          <w:lang w:val="en-US" w:eastAsia="zh-CN"/>
        </w:rPr>
      </w:pPr>
      <w:bookmarkStart w:id="87" w:name="_Toc22523"/>
      <w:r>
        <w:rPr>
          <w:rFonts w:hint="default"/>
          <w:lang w:val="en-US" w:eastAsia="zh-CN"/>
        </w:rPr>
        <w:t>疗效评估与治疗终点</w:t>
      </w:r>
      <w:bookmarkEnd w:id="87"/>
    </w:p>
    <w:p w14:paraId="1AABB947">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default"/>
          <w:lang w:val="en-US" w:eastAsia="zh-CN"/>
        </w:rPr>
      </w:pPr>
      <w:bookmarkStart w:id="88" w:name="_Toc20201"/>
      <w:r>
        <w:rPr>
          <w:rFonts w:hint="default"/>
          <w:lang w:val="en-US" w:eastAsia="zh-CN"/>
        </w:rPr>
        <w:t>疗效评估</w:t>
      </w:r>
      <w:bookmarkEnd w:id="88"/>
    </w:p>
    <w:p w14:paraId="2495524E">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default"/>
          <w:lang w:val="en-US" w:eastAsia="zh-CN"/>
        </w:rPr>
      </w:pPr>
      <w:r>
        <w:rPr>
          <w:rFonts w:hint="default"/>
          <w:lang w:val="en-US" w:eastAsia="zh-CN"/>
        </w:rPr>
        <w:t>评估指标</w:t>
      </w:r>
    </w:p>
    <w:p w14:paraId="668694D0">
      <w:pPr>
        <w:pStyle w:val="28"/>
        <w:rPr>
          <w:rFonts w:hint="eastAsia" w:ascii="宋体" w:hAnsi="宋体" w:eastAsia="宋体" w:cs="宋体"/>
          <w:lang w:val="en-US" w:eastAsia="zh-CN"/>
        </w:rPr>
      </w:pPr>
      <w:r>
        <w:rPr>
          <w:rFonts w:hint="eastAsia" w:ascii="宋体" w:hAnsi="宋体" w:eastAsia="宋体" w:cs="宋体"/>
          <w:lang w:val="en-US" w:eastAsia="zh-CN"/>
        </w:rPr>
        <w:t>疗效评估应结合以下指标。</w:t>
      </w:r>
    </w:p>
    <w:p w14:paraId="64802FD4">
      <w:pPr>
        <w:pStyle w:val="12"/>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临床症状与体征改善：观察与原发病相关的特异性症状（如神经系统功能、皮肤损害、肾功能等）及全身一般状况（如乏力、食欲等）的改善情况。</w:t>
      </w:r>
    </w:p>
    <w:p w14:paraId="4BF87785">
      <w:pPr>
        <w:pStyle w:val="12"/>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致病因子浓度下降：通过实验室检查监测特定致病因子水平的动态变化，例如：</w:t>
      </w:r>
    </w:p>
    <w:p w14:paraId="6B6FC120">
      <w:pPr>
        <w:pStyle w:val="28"/>
        <w:numPr>
          <w:ilvl w:val="0"/>
          <w:numId w:val="13"/>
        </w:numPr>
        <w:ind w:left="1260" w:leftChars="0" w:hanging="425" w:firstLineChars="0"/>
        <w:rPr>
          <w:rFonts w:hint="eastAsia" w:ascii="宋体" w:hAnsi="宋体" w:eastAsia="宋体" w:cs="宋体"/>
          <w:lang w:val="en-US" w:eastAsia="zh-CN"/>
        </w:rPr>
      </w:pPr>
      <w:r>
        <w:rPr>
          <w:rFonts w:hint="eastAsia" w:ascii="宋体" w:hAnsi="宋体" w:eastAsia="宋体" w:cs="宋体"/>
          <w:lang w:val="en-US" w:eastAsia="zh-CN"/>
        </w:rPr>
        <w:t>自身免疫性疾病相关的自身抗体滴度；</w:t>
      </w:r>
    </w:p>
    <w:p w14:paraId="394282DB">
      <w:pPr>
        <w:pStyle w:val="28"/>
        <w:numPr>
          <w:ilvl w:val="0"/>
          <w:numId w:val="13"/>
        </w:numPr>
        <w:ind w:left="1260" w:leftChars="0" w:hanging="425" w:firstLineChars="0"/>
        <w:rPr>
          <w:rFonts w:hint="eastAsia" w:ascii="宋体" w:hAnsi="宋体" w:eastAsia="宋体" w:cs="宋体"/>
          <w:lang w:val="en-US" w:eastAsia="zh-CN"/>
        </w:rPr>
      </w:pPr>
      <w:r>
        <w:rPr>
          <w:rFonts w:hint="eastAsia" w:ascii="宋体" w:hAnsi="宋体" w:eastAsia="宋体" w:cs="宋体"/>
          <w:lang w:val="en-US" w:eastAsia="zh-CN"/>
        </w:rPr>
        <w:t>异常免疫球蛋白（如IgG、IgM）或游离轻链水平；</w:t>
      </w:r>
    </w:p>
    <w:p w14:paraId="084FF4F0">
      <w:pPr>
        <w:pStyle w:val="28"/>
        <w:numPr>
          <w:ilvl w:val="0"/>
          <w:numId w:val="13"/>
        </w:numPr>
        <w:ind w:left="1260" w:leftChars="0" w:hanging="425" w:firstLineChars="0"/>
        <w:rPr>
          <w:rFonts w:hint="eastAsia" w:ascii="宋体" w:hAnsi="宋体" w:eastAsia="宋体" w:cs="宋体"/>
          <w:lang w:val="en-US" w:eastAsia="zh-CN"/>
        </w:rPr>
      </w:pPr>
      <w:r>
        <w:rPr>
          <w:rFonts w:hint="eastAsia" w:ascii="宋体" w:hAnsi="宋体" w:eastAsia="宋体" w:cs="宋体"/>
          <w:lang w:val="en-US" w:eastAsia="zh-CN"/>
        </w:rPr>
        <w:t>毒素、毒物或特定药物浓度。</w:t>
      </w:r>
    </w:p>
    <w:p w14:paraId="1FBA28EC">
      <w:pPr>
        <w:pStyle w:val="12"/>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关键实验室指标恢复：监测与疾病活动度及器官功能相关的常规及特异性指标，如：</w:t>
      </w:r>
    </w:p>
    <w:p w14:paraId="3B9B80AD">
      <w:pPr>
        <w:pStyle w:val="28"/>
        <w:numPr>
          <w:ilvl w:val="0"/>
          <w:numId w:val="14"/>
        </w:numPr>
        <w:ind w:left="1260" w:leftChars="0" w:hanging="425" w:firstLineChars="0"/>
        <w:rPr>
          <w:rFonts w:hint="eastAsia" w:ascii="宋体" w:hAnsi="宋体" w:eastAsia="宋体" w:cs="宋体"/>
          <w:lang w:val="en-US" w:eastAsia="zh-CN"/>
        </w:rPr>
      </w:pPr>
      <w:r>
        <w:rPr>
          <w:rFonts w:hint="eastAsia" w:ascii="宋体" w:hAnsi="宋体" w:eastAsia="宋体" w:cs="宋体"/>
          <w:lang w:val="en-US" w:eastAsia="zh-CN"/>
        </w:rPr>
        <w:t>肝功能（ALT、AST、胆红素）；</w:t>
      </w:r>
    </w:p>
    <w:p w14:paraId="7F9AF4CE">
      <w:pPr>
        <w:pStyle w:val="28"/>
        <w:numPr>
          <w:ilvl w:val="0"/>
          <w:numId w:val="14"/>
        </w:numPr>
        <w:ind w:left="1260" w:leftChars="0" w:hanging="425" w:firstLineChars="0"/>
        <w:rPr>
          <w:rFonts w:hint="eastAsia" w:ascii="宋体" w:hAnsi="宋体" w:eastAsia="宋体" w:cs="宋体"/>
          <w:lang w:val="en-US" w:eastAsia="zh-CN"/>
        </w:rPr>
      </w:pPr>
      <w:r>
        <w:rPr>
          <w:rFonts w:hint="eastAsia" w:ascii="宋体" w:hAnsi="宋体" w:eastAsia="宋体" w:cs="宋体"/>
          <w:lang w:val="en-US" w:eastAsia="zh-CN"/>
        </w:rPr>
        <w:t>肾功能（肌酐、尿素氮）；</w:t>
      </w:r>
    </w:p>
    <w:p w14:paraId="6D9EFC6E">
      <w:pPr>
        <w:pStyle w:val="28"/>
        <w:numPr>
          <w:ilvl w:val="0"/>
          <w:numId w:val="14"/>
        </w:numPr>
        <w:ind w:left="1260" w:leftChars="0" w:hanging="425" w:firstLineChars="0"/>
        <w:rPr>
          <w:rFonts w:hint="eastAsia" w:ascii="宋体" w:hAnsi="宋体" w:eastAsia="宋体" w:cs="宋体"/>
          <w:lang w:val="en-US" w:eastAsia="zh-CN"/>
        </w:rPr>
      </w:pPr>
      <w:r>
        <w:rPr>
          <w:rFonts w:hint="eastAsia" w:ascii="宋体" w:hAnsi="宋体" w:eastAsia="宋体" w:cs="宋体"/>
          <w:lang w:val="en-US" w:eastAsia="zh-CN"/>
        </w:rPr>
        <w:t>血常规（PLT、HB）；</w:t>
      </w:r>
    </w:p>
    <w:p w14:paraId="1AA337DB">
      <w:pPr>
        <w:pStyle w:val="28"/>
        <w:numPr>
          <w:ilvl w:val="0"/>
          <w:numId w:val="14"/>
        </w:numPr>
        <w:ind w:left="1260" w:leftChars="0" w:hanging="425" w:firstLineChars="0"/>
        <w:rPr>
          <w:rFonts w:hint="eastAsia" w:ascii="宋体" w:hAnsi="宋体" w:eastAsia="宋体" w:cs="宋体"/>
          <w:lang w:val="en-US" w:eastAsia="zh-CN"/>
        </w:rPr>
      </w:pPr>
      <w:r>
        <w:rPr>
          <w:rFonts w:hint="eastAsia" w:ascii="宋体" w:hAnsi="宋体" w:eastAsia="宋体" w:cs="宋体"/>
          <w:lang w:val="en-US" w:eastAsia="zh-CN"/>
        </w:rPr>
        <w:t>炎症指标等。</w:t>
      </w:r>
    </w:p>
    <w:p w14:paraId="0D4DEB91">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default"/>
          <w:lang w:val="en-US" w:eastAsia="zh-CN"/>
        </w:rPr>
      </w:pPr>
      <w:r>
        <w:rPr>
          <w:rFonts w:hint="default"/>
          <w:lang w:val="en-US" w:eastAsia="zh-CN"/>
        </w:rPr>
        <w:t>评估时点</w:t>
      </w:r>
    </w:p>
    <w:p w14:paraId="1288CFEB">
      <w:pPr>
        <w:pStyle w:val="28"/>
        <w:rPr>
          <w:rFonts w:hint="default"/>
          <w:lang w:val="en-US" w:eastAsia="zh-CN"/>
        </w:rPr>
      </w:pPr>
      <w:r>
        <w:rPr>
          <w:rFonts w:hint="default"/>
          <w:lang w:val="en-US" w:eastAsia="zh-CN"/>
        </w:rPr>
        <w:t>疗效评估应在治疗前、每次治疗后以及整个疗程结束后分别进行，动态判断治疗效果，指导后续治疗方案的调整。</w:t>
      </w:r>
    </w:p>
    <w:p w14:paraId="05B3FE07">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default"/>
          <w:lang w:val="en-US" w:eastAsia="zh-CN"/>
        </w:rPr>
      </w:pPr>
      <w:bookmarkStart w:id="89" w:name="_Toc28192"/>
      <w:r>
        <w:rPr>
          <w:rFonts w:hint="default"/>
          <w:lang w:val="en-US" w:eastAsia="zh-CN"/>
        </w:rPr>
        <w:t>治疗终点</w:t>
      </w:r>
      <w:bookmarkEnd w:id="89"/>
    </w:p>
    <w:p w14:paraId="5724F408">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default"/>
          <w:lang w:val="en-US" w:eastAsia="zh-CN"/>
        </w:rPr>
      </w:pPr>
      <w:r>
        <w:rPr>
          <w:rFonts w:hint="default"/>
          <w:lang w:val="en-US" w:eastAsia="zh-CN"/>
        </w:rPr>
        <w:t>计划性治疗终点</w:t>
      </w:r>
    </w:p>
    <w:p w14:paraId="23E47139">
      <w:pPr>
        <w:pStyle w:val="28"/>
        <w:rPr>
          <w:rFonts w:hint="default"/>
          <w:lang w:val="en-US" w:eastAsia="zh-CN"/>
        </w:rPr>
      </w:pPr>
      <w:r>
        <w:rPr>
          <w:rFonts w:hint="default"/>
          <w:lang w:val="en-US" w:eastAsia="zh-CN"/>
        </w:rPr>
        <w:t>出现以下情况，可视为达到计划性治疗终点，结束单次治疗或整个疗程：</w:t>
      </w:r>
    </w:p>
    <w:p w14:paraId="495CB061">
      <w:pPr>
        <w:pStyle w:val="12"/>
        <w:keepNext w:val="0"/>
        <w:keepLines w:val="0"/>
        <w:pageBreakBefore w:val="0"/>
        <w:widowControl w:val="0"/>
        <w:numPr>
          <w:ilvl w:val="0"/>
          <w:numId w:val="15"/>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完成预设置换量：单次治疗顺利达到处方设定的血浆置换目标量</w:t>
      </w:r>
      <w:r>
        <w:rPr>
          <w:rFonts w:hint="eastAsia" w:ascii="宋体" w:hAnsi="宋体" w:cs="宋体"/>
          <w:kern w:val="0"/>
          <w:sz w:val="21"/>
          <w:szCs w:val="21"/>
          <w:lang w:val="en-US" w:eastAsia="zh-CN" w:bidi="ar"/>
        </w:rPr>
        <w:t>；</w:t>
      </w:r>
    </w:p>
    <w:p w14:paraId="150B1DBC">
      <w:pPr>
        <w:pStyle w:val="12"/>
        <w:keepNext w:val="0"/>
        <w:keepLines w:val="0"/>
        <w:pageBreakBefore w:val="0"/>
        <w:widowControl w:val="0"/>
        <w:numPr>
          <w:ilvl w:val="0"/>
          <w:numId w:val="15"/>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致病因子浓度显著下降或达到预设治疗目标：通过监测，确认致病因子已清除至目标水平以下或转阴</w:t>
      </w:r>
      <w:r>
        <w:rPr>
          <w:rFonts w:hint="eastAsia" w:ascii="宋体" w:hAnsi="宋体" w:cs="宋体"/>
          <w:kern w:val="0"/>
          <w:sz w:val="21"/>
          <w:szCs w:val="21"/>
          <w:lang w:val="en-US" w:eastAsia="zh-CN" w:bidi="ar"/>
        </w:rPr>
        <w:t>；</w:t>
      </w:r>
    </w:p>
    <w:p w14:paraId="23DA548D">
      <w:pPr>
        <w:pStyle w:val="12"/>
        <w:keepNext w:val="0"/>
        <w:keepLines w:val="0"/>
        <w:pageBreakBefore w:val="0"/>
        <w:widowControl w:val="0"/>
        <w:numPr>
          <w:ilvl w:val="0"/>
          <w:numId w:val="15"/>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临床病情稳定缓解：患者相关临床症状与体征已得到显著改善或完全缓解，且关键实验室指标恢复正常或趋于稳定。</w:t>
      </w:r>
    </w:p>
    <w:p w14:paraId="21DBD0DF">
      <w:pPr>
        <w:pStyle w:val="31"/>
        <w:keepNext w:val="0"/>
        <w:keepLines w:val="0"/>
        <w:pageBreakBefore w:val="0"/>
        <w:widowControl/>
        <w:numPr>
          <w:ilvl w:val="3"/>
          <w:numId w:val="5"/>
        </w:numPr>
        <w:kinsoku/>
        <w:wordWrap/>
        <w:overflowPunct/>
        <w:topLinePunct w:val="0"/>
        <w:autoSpaceDE/>
        <w:autoSpaceDN/>
        <w:bidi w:val="0"/>
        <w:adjustRightInd/>
        <w:snapToGrid/>
        <w:spacing w:before="157" w:beforeLines="50" w:after="157" w:afterLines="50"/>
        <w:ind w:left="782" w:leftChars="0" w:hanging="782"/>
        <w:textAlignment w:val="auto"/>
        <w:outlineLvl w:val="2"/>
        <w:rPr>
          <w:rFonts w:hint="default"/>
          <w:lang w:val="en-US" w:eastAsia="zh-CN"/>
        </w:rPr>
      </w:pPr>
      <w:r>
        <w:rPr>
          <w:rFonts w:hint="default"/>
          <w:lang w:val="en-US" w:eastAsia="zh-CN"/>
        </w:rPr>
        <w:t>非计划性治疗终点</w:t>
      </w:r>
    </w:p>
    <w:p w14:paraId="0894D3C4">
      <w:pPr>
        <w:pStyle w:val="28"/>
        <w:rPr>
          <w:rFonts w:hint="default"/>
          <w:lang w:val="en-US" w:eastAsia="zh-CN"/>
        </w:rPr>
      </w:pPr>
      <w:r>
        <w:rPr>
          <w:rFonts w:hint="default"/>
          <w:lang w:val="en-US" w:eastAsia="zh-CN"/>
        </w:rPr>
        <w:t>出现以下情况时，应立即终止或暂停治疗</w:t>
      </w:r>
      <w:r>
        <w:rPr>
          <w:rFonts w:hint="eastAsia"/>
          <w:lang w:val="en-US" w:eastAsia="zh-CN"/>
        </w:rPr>
        <w:t>。</w:t>
      </w:r>
    </w:p>
    <w:p w14:paraId="5114AD76">
      <w:pPr>
        <w:pStyle w:val="12"/>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出现严重并发症：治疗过程中出现严重的、难以纠正的并发症，如：</w:t>
      </w:r>
    </w:p>
    <w:p w14:paraId="4DB2320B">
      <w:pPr>
        <w:pStyle w:val="28"/>
        <w:numPr>
          <w:ilvl w:val="0"/>
          <w:numId w:val="17"/>
        </w:numPr>
        <w:ind w:left="1260" w:leftChars="0" w:hanging="425" w:firstLineChars="0"/>
        <w:rPr>
          <w:rFonts w:hint="default"/>
          <w:lang w:val="en-US" w:eastAsia="zh-CN"/>
        </w:rPr>
      </w:pPr>
      <w:r>
        <w:rPr>
          <w:rFonts w:hint="default"/>
          <w:lang w:val="en-US" w:eastAsia="zh-CN"/>
        </w:rPr>
        <w:t>严重的过敏性休克；</w:t>
      </w:r>
    </w:p>
    <w:p w14:paraId="4A757843">
      <w:pPr>
        <w:pStyle w:val="28"/>
        <w:numPr>
          <w:ilvl w:val="0"/>
          <w:numId w:val="17"/>
        </w:numPr>
        <w:ind w:left="1260" w:leftChars="0" w:hanging="425" w:firstLineChars="0"/>
        <w:rPr>
          <w:rFonts w:hint="default"/>
          <w:lang w:val="en-US" w:eastAsia="zh-CN"/>
        </w:rPr>
      </w:pPr>
      <w:r>
        <w:rPr>
          <w:rFonts w:hint="default"/>
          <w:lang w:val="en-US" w:eastAsia="zh-CN"/>
        </w:rPr>
        <w:t>难以控制的活动性大出血；</w:t>
      </w:r>
    </w:p>
    <w:p w14:paraId="0A031684">
      <w:pPr>
        <w:pStyle w:val="28"/>
        <w:numPr>
          <w:ilvl w:val="0"/>
          <w:numId w:val="17"/>
        </w:numPr>
        <w:ind w:left="1260" w:leftChars="0" w:hanging="425" w:firstLineChars="0"/>
        <w:rPr>
          <w:rFonts w:hint="default"/>
          <w:lang w:val="en-US" w:eastAsia="zh-CN"/>
        </w:rPr>
      </w:pPr>
      <w:r>
        <w:rPr>
          <w:rFonts w:hint="default"/>
          <w:lang w:val="en-US" w:eastAsia="zh-CN"/>
        </w:rPr>
        <w:t>严重的血流动力学不稳定（如顽固性低血压或恶性心律失常）；</w:t>
      </w:r>
    </w:p>
    <w:p w14:paraId="2B7CC4F4">
      <w:pPr>
        <w:pStyle w:val="28"/>
        <w:numPr>
          <w:ilvl w:val="0"/>
          <w:numId w:val="17"/>
        </w:numPr>
        <w:ind w:left="1260" w:leftChars="0" w:hanging="425" w:firstLineChars="0"/>
        <w:rPr>
          <w:rFonts w:hint="default"/>
          <w:lang w:val="en-US" w:eastAsia="zh-CN"/>
        </w:rPr>
      </w:pPr>
      <w:r>
        <w:rPr>
          <w:rFonts w:hint="default"/>
          <w:lang w:val="en-US" w:eastAsia="zh-CN"/>
        </w:rPr>
        <w:t>发生溶血、空气栓塞等紧急情况。</w:t>
      </w:r>
    </w:p>
    <w:p w14:paraId="071637FE">
      <w:pPr>
        <w:pStyle w:val="12"/>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患者无法耐受：患者出现严重的不适反应，虽未构成严重并发症，但主观上或客观上无法继续耐受治疗。</w:t>
      </w:r>
    </w:p>
    <w:p w14:paraId="06F86D6E">
      <w:pPr>
        <w:pStyle w:val="12"/>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default" w:ascii="宋体" w:hAnsi="宋体" w:cs="宋体"/>
          <w:kern w:val="0"/>
          <w:sz w:val="21"/>
          <w:szCs w:val="21"/>
          <w:lang w:val="en-US" w:eastAsia="zh-CN" w:bidi="ar"/>
        </w:rPr>
      </w:pPr>
      <w:r>
        <w:rPr>
          <w:rFonts w:hint="default" w:ascii="宋体" w:hAnsi="宋体" w:cs="宋体"/>
          <w:kern w:val="0"/>
          <w:sz w:val="21"/>
          <w:szCs w:val="21"/>
          <w:lang w:val="en-US" w:eastAsia="zh-CN" w:bidi="ar"/>
        </w:rPr>
        <w:t>设备或耗材出现不可克服的故障。</w:t>
      </w:r>
    </w:p>
    <w:p w14:paraId="6C0B298C">
      <w:pPr>
        <w:pStyle w:val="31"/>
        <w:numPr>
          <w:ilvl w:val="1"/>
          <w:numId w:val="5"/>
        </w:numPr>
        <w:spacing w:before="312" w:after="312"/>
        <w:ind w:left="780" w:hanging="780"/>
        <w:rPr>
          <w:rFonts w:hint="default"/>
          <w:lang w:val="en-US" w:eastAsia="zh-CN"/>
        </w:rPr>
      </w:pPr>
      <w:bookmarkStart w:id="90" w:name="_Toc27939"/>
      <w:r>
        <w:rPr>
          <w:rFonts w:hint="eastAsia"/>
          <w:lang w:val="en-US" w:eastAsia="zh-CN"/>
        </w:rPr>
        <w:t>记录与档案管理</w:t>
      </w:r>
      <w:bookmarkEnd w:id="90"/>
    </w:p>
    <w:p w14:paraId="10DCEC28">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91" w:name="_Toc24592"/>
      <w:r>
        <w:rPr>
          <w:rFonts w:hint="eastAsia"/>
          <w:lang w:val="en-US" w:eastAsia="zh-CN"/>
        </w:rPr>
        <w:t>记录要求</w:t>
      </w:r>
      <w:bookmarkEnd w:id="91"/>
    </w:p>
    <w:p w14:paraId="1E8951BD">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所有与全自动离心式血浆置换技术相关的医疗文书应遵循“客观、真实、准确、及时、完整、规范”的原则进行记录。</w:t>
      </w:r>
    </w:p>
    <w:p w14:paraId="573FAA78">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记录应使用规范的中文和医学术语，字迹清晰，不应采用刮、粘、涂等方法掩盖或去除原始字迹。</w:t>
      </w:r>
    </w:p>
    <w:p w14:paraId="4639A37C">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所有记录均应由执行人员签署全名，并注明记录日期和时间。</w:t>
      </w:r>
    </w:p>
    <w:p w14:paraId="6B6542D9">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记录信息安全应符合GB/T 42574的要求。</w:t>
      </w:r>
    </w:p>
    <w:p w14:paraId="18604BB7">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92" w:name="_Toc26009"/>
      <w:r>
        <w:rPr>
          <w:rFonts w:hint="eastAsia"/>
          <w:lang w:val="en-US" w:eastAsia="zh-CN"/>
        </w:rPr>
        <w:t>记录内容</w:t>
      </w:r>
      <w:bookmarkEnd w:id="92"/>
    </w:p>
    <w:p w14:paraId="6463CA8E">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治疗前记录应至少包括：</w:t>
      </w:r>
    </w:p>
    <w:p w14:paraId="2EC04EB6">
      <w:pPr>
        <w:pStyle w:val="12"/>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患者身份识别信息；</w:t>
      </w:r>
    </w:p>
    <w:p w14:paraId="4FA58989">
      <w:pPr>
        <w:pStyle w:val="12"/>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治疗前评估表；</w:t>
      </w:r>
    </w:p>
    <w:p w14:paraId="648277A2">
      <w:pPr>
        <w:pStyle w:val="12"/>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知情同意书；</w:t>
      </w:r>
    </w:p>
    <w:p w14:paraId="652A0858">
      <w:pPr>
        <w:pStyle w:val="12"/>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医师开具的治疗处方。</w:t>
      </w:r>
    </w:p>
    <w:p w14:paraId="31696747">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治疗中记录应至少包括：</w:t>
      </w:r>
    </w:p>
    <w:p w14:paraId="3342B57F">
      <w:pPr>
        <w:pStyle w:val="12"/>
        <w:keepNext w:val="0"/>
        <w:keepLines w:val="0"/>
        <w:pageBreakBefore w:val="0"/>
        <w:widowControl w:val="0"/>
        <w:numPr>
          <w:ilvl w:val="0"/>
          <w:numId w:val="19"/>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治疗记录单，内容涵盖治疗时间、生命体征、设备运行参数（如全血流速、血浆处理总量等）、置换液与抗凝剂使用情况；</w:t>
      </w:r>
    </w:p>
    <w:p w14:paraId="5C73D77A">
      <w:pPr>
        <w:pStyle w:val="12"/>
        <w:keepNext w:val="0"/>
        <w:keepLines w:val="0"/>
        <w:pageBreakBefore w:val="0"/>
        <w:widowControl w:val="0"/>
        <w:numPr>
          <w:ilvl w:val="0"/>
          <w:numId w:val="19"/>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凝血状态等关键指标的监测结果；</w:t>
      </w:r>
    </w:p>
    <w:p w14:paraId="621AA974">
      <w:pPr>
        <w:pStyle w:val="12"/>
        <w:keepNext w:val="0"/>
        <w:keepLines w:val="0"/>
        <w:pageBreakBefore w:val="0"/>
        <w:widowControl w:val="0"/>
        <w:numPr>
          <w:ilvl w:val="0"/>
          <w:numId w:val="19"/>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治疗过程中出现的任何异常情况及处理措施。</w:t>
      </w:r>
    </w:p>
    <w:p w14:paraId="1325FA23">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治疗后记录应至少包括：</w:t>
      </w:r>
    </w:p>
    <w:p w14:paraId="379BF965">
      <w:pPr>
        <w:pStyle w:val="12"/>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治疗小结，包括过程总结、患者反应及达到的治疗目标；</w:t>
      </w:r>
    </w:p>
    <w:p w14:paraId="673F6DA0">
      <w:pPr>
        <w:pStyle w:val="12"/>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治疗后医嘱及注意事项。</w:t>
      </w:r>
    </w:p>
    <w:p w14:paraId="6743640F">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93" w:name="_Toc28547"/>
      <w:r>
        <w:rPr>
          <w:rFonts w:hint="eastAsia"/>
          <w:lang w:val="en-US" w:eastAsia="zh-CN"/>
        </w:rPr>
        <w:t>档案管理</w:t>
      </w:r>
      <w:bookmarkEnd w:id="93"/>
    </w:p>
    <w:p w14:paraId="1EB7EA3E">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全自动离心式血浆置换技术的全部相关文书，包括但不限于8.2中所述内容，均应作为患者病历的组成部分，纳入医院病案管理系统进行统一归档和保存。</w:t>
      </w:r>
    </w:p>
    <w:p w14:paraId="27C378C3">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default" w:ascii="宋体" w:hAnsi="宋体" w:eastAsia="宋体" w:cs="宋体"/>
          <w:lang w:val="en-US" w:eastAsia="zh-CN"/>
        </w:rPr>
      </w:pPr>
      <w:r>
        <w:rPr>
          <w:rFonts w:hint="eastAsia" w:ascii="宋体" w:hAnsi="宋体" w:eastAsia="宋体" w:cs="宋体"/>
          <w:lang w:val="en-US" w:eastAsia="zh-CN"/>
        </w:rPr>
        <w:t>档案的保存期限应符合《医疗机构病历管理规定》的要求。</w:t>
      </w:r>
    </w:p>
    <w:p w14:paraId="7B9BC4EF">
      <w:pPr>
        <w:pStyle w:val="31"/>
        <w:numPr>
          <w:ilvl w:val="1"/>
          <w:numId w:val="5"/>
        </w:numPr>
        <w:spacing w:before="312" w:after="312"/>
        <w:ind w:left="780" w:hanging="780"/>
        <w:rPr>
          <w:rFonts w:hint="eastAsia"/>
          <w:lang w:val="en-US" w:eastAsia="zh-CN"/>
        </w:rPr>
      </w:pPr>
      <w:bookmarkStart w:id="94" w:name="_Toc8679"/>
      <w:r>
        <w:rPr>
          <w:rFonts w:hint="eastAsia"/>
          <w:lang w:val="en-US" w:eastAsia="zh-CN"/>
        </w:rPr>
        <w:t>质量控制</w:t>
      </w:r>
      <w:bookmarkEnd w:id="94"/>
    </w:p>
    <w:p w14:paraId="33443E7F">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95" w:name="_Toc31552"/>
      <w:r>
        <w:rPr>
          <w:rFonts w:hint="eastAsia"/>
          <w:lang w:val="en-US" w:eastAsia="zh-CN"/>
        </w:rPr>
        <w:t>过程控制</w:t>
      </w:r>
      <w:bookmarkEnd w:id="95"/>
    </w:p>
    <w:p w14:paraId="021E9478">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治疗前应严格核查患者评估、知情同意及治疗处方的合规性与完整性。</w:t>
      </w:r>
    </w:p>
    <w:p w14:paraId="18033678">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治疗中应监督关键操作环节，见表1。</w:t>
      </w:r>
    </w:p>
    <w:p w14:paraId="7060C1C2">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疗后应检查记录完整性，并归档保存。</w:t>
      </w:r>
    </w:p>
    <w:p w14:paraId="43EF6148">
      <w:pPr>
        <w:pStyle w:val="31"/>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ind w:leftChars="0"/>
        <w:jc w:val="center"/>
        <w:textAlignment w:val="auto"/>
        <w:outlineLvl w:val="1"/>
        <w:rPr>
          <w:rFonts w:hint="eastAsia"/>
          <w:lang w:val="en-US" w:eastAsia="zh-CN"/>
        </w:rPr>
      </w:pPr>
      <w:bookmarkStart w:id="96" w:name="_Toc15062"/>
      <w:r>
        <w:rPr>
          <w:rFonts w:hint="default"/>
          <w:lang w:val="en-US" w:eastAsia="zh-CN"/>
        </w:rPr>
        <w:t xml:space="preserve">表1 </w:t>
      </w:r>
      <w:r>
        <w:rPr>
          <w:rFonts w:hint="eastAsia"/>
          <w:lang w:val="en-US" w:eastAsia="zh-CN"/>
        </w:rPr>
        <w:t xml:space="preserve"> </w:t>
      </w:r>
      <w:r>
        <w:rPr>
          <w:rFonts w:hint="default"/>
          <w:lang w:val="en-US" w:eastAsia="zh-CN"/>
        </w:rPr>
        <w:t>关键操作环节质量控制要点</w:t>
      </w:r>
      <w:bookmarkEnd w:id="96"/>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3"/>
        <w:gridCol w:w="3105"/>
        <w:gridCol w:w="5235"/>
      </w:tblGrid>
      <w:tr w14:paraId="15CC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tcPr>
          <w:p w14:paraId="7DC8ABCD">
            <w:pPr>
              <w:spacing w:line="240" w:lineRule="auto"/>
              <w:jc w:val="center"/>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rPr>
              <w:t>条款号</w:t>
            </w:r>
          </w:p>
        </w:tc>
        <w:tc>
          <w:tcPr>
            <w:tcW w:w="3105" w:type="dxa"/>
            <w:vAlign w:val="center"/>
          </w:tcPr>
          <w:p w14:paraId="4991F63A">
            <w:pPr>
              <w:spacing w:line="240" w:lineRule="auto"/>
              <w:jc w:val="center"/>
              <w:rPr>
                <w:rFonts w:hint="eastAsia" w:ascii="宋体" w:hAnsi="宋体" w:eastAsia="宋体" w:cs="宋体"/>
                <w:b/>
                <w:bCs/>
                <w:sz w:val="18"/>
                <w:szCs w:val="18"/>
                <w:vertAlign w:val="baseline"/>
                <w:lang w:val="en-US" w:eastAsia="zh-CN"/>
              </w:rPr>
            </w:pPr>
            <w:r>
              <w:rPr>
                <w:rFonts w:hint="default" w:ascii="宋体" w:hAnsi="宋体" w:eastAsia="宋体" w:cs="宋体"/>
                <w:b/>
                <w:bCs/>
                <w:sz w:val="18"/>
                <w:szCs w:val="18"/>
                <w:vertAlign w:val="baseline"/>
                <w:lang w:val="en-US" w:eastAsia="zh-CN"/>
              </w:rPr>
              <w:t>质量控制要点</w:t>
            </w:r>
          </w:p>
        </w:tc>
        <w:tc>
          <w:tcPr>
            <w:tcW w:w="5235" w:type="dxa"/>
            <w:vAlign w:val="center"/>
          </w:tcPr>
          <w:p w14:paraId="0CD5ACB6">
            <w:pPr>
              <w:spacing w:line="240" w:lineRule="auto"/>
              <w:jc w:val="center"/>
              <w:rPr>
                <w:rFonts w:hint="eastAsia" w:ascii="宋体" w:hAnsi="宋体" w:eastAsia="宋体" w:cs="宋体"/>
                <w:b/>
                <w:bCs/>
                <w:sz w:val="18"/>
                <w:szCs w:val="18"/>
                <w:vertAlign w:val="baseline"/>
                <w:lang w:val="en-US" w:eastAsia="zh-CN"/>
              </w:rPr>
            </w:pPr>
            <w:r>
              <w:rPr>
                <w:rFonts w:hint="default" w:ascii="宋体" w:hAnsi="宋体" w:eastAsia="宋体" w:cs="宋体"/>
                <w:b/>
                <w:bCs/>
                <w:sz w:val="18"/>
                <w:szCs w:val="18"/>
                <w:vertAlign w:val="baseline"/>
                <w:lang w:val="en-US" w:eastAsia="zh-CN"/>
              </w:rPr>
              <w:t>质量控制方法</w:t>
            </w:r>
          </w:p>
        </w:tc>
      </w:tr>
      <w:tr w14:paraId="1BE9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Align w:val="center"/>
          </w:tcPr>
          <w:p w14:paraId="4E759070">
            <w:pPr>
              <w:keepNext w:val="0"/>
              <w:keepLines w:val="0"/>
              <w:widowControl/>
              <w:suppressLineNumbers w:val="0"/>
              <w:spacing w:line="240" w:lineRule="auto"/>
              <w:jc w:val="center"/>
              <w:rPr>
                <w:rFonts w:hint="eastAsia" w:ascii="宋体" w:hAnsi="宋体" w:eastAsia="宋体" w:cs="宋体"/>
                <w:sz w:val="18"/>
                <w:szCs w:val="18"/>
                <w:vertAlign w:val="baseline"/>
                <w:lang w:val="en-US" w:eastAsia="zh-CN"/>
              </w:rPr>
            </w:pPr>
            <w:r>
              <w:rPr>
                <w:rFonts w:hint="eastAsia" w:ascii="宋体" w:hAnsi="宋体" w:cs="宋体"/>
                <w:i w:val="0"/>
                <w:iCs w:val="0"/>
                <w:caps w:val="0"/>
                <w:color w:val="0F1115"/>
                <w:spacing w:val="0"/>
                <w:kern w:val="0"/>
                <w:sz w:val="18"/>
                <w:szCs w:val="18"/>
                <w:lang w:val="en-US" w:eastAsia="zh-CN" w:bidi="ar"/>
              </w:rPr>
              <w:t>6</w:t>
            </w:r>
            <w:r>
              <w:rPr>
                <w:rFonts w:hint="eastAsia" w:ascii="宋体" w:hAnsi="宋体" w:eastAsia="宋体" w:cs="宋体"/>
                <w:i w:val="0"/>
                <w:iCs w:val="0"/>
                <w:caps w:val="0"/>
                <w:color w:val="0F1115"/>
                <w:spacing w:val="0"/>
                <w:kern w:val="0"/>
                <w:sz w:val="18"/>
                <w:szCs w:val="18"/>
                <w:lang w:val="en-US" w:eastAsia="zh-CN" w:bidi="ar"/>
              </w:rPr>
              <w:t>.1.1</w:t>
            </w:r>
          </w:p>
        </w:tc>
        <w:tc>
          <w:tcPr>
            <w:tcW w:w="3105" w:type="dxa"/>
            <w:vAlign w:val="center"/>
          </w:tcPr>
          <w:p w14:paraId="157D9449">
            <w:pPr>
              <w:keepNext w:val="0"/>
              <w:keepLines w:val="0"/>
              <w:widowControl/>
              <w:suppressLineNumbers w:val="0"/>
              <w:spacing w:line="240" w:lineRule="auto"/>
              <w:jc w:val="left"/>
              <w:rPr>
                <w:rFonts w:hint="eastAsia" w:ascii="宋体" w:hAnsi="宋体" w:eastAsia="宋体" w:cs="宋体"/>
                <w:sz w:val="18"/>
                <w:szCs w:val="18"/>
                <w:vertAlign w:val="baseline"/>
                <w:lang w:val="en-US" w:eastAsia="zh-CN"/>
              </w:rPr>
            </w:pPr>
            <w:r>
              <w:rPr>
                <w:rFonts w:hint="eastAsia" w:ascii="宋体" w:hAnsi="宋体" w:eastAsia="宋体" w:cs="宋体"/>
                <w:i w:val="0"/>
                <w:iCs w:val="0"/>
                <w:caps w:val="0"/>
                <w:color w:val="0F1115"/>
                <w:spacing w:val="0"/>
                <w:kern w:val="0"/>
                <w:sz w:val="18"/>
                <w:szCs w:val="18"/>
                <w:lang w:val="en-US" w:eastAsia="zh-CN" w:bidi="ar"/>
              </w:rPr>
              <w:t>治疗前评估的全面性与合规性</w:t>
            </w:r>
          </w:p>
        </w:tc>
        <w:tc>
          <w:tcPr>
            <w:tcW w:w="5235" w:type="dxa"/>
            <w:vAlign w:val="center"/>
          </w:tcPr>
          <w:p w14:paraId="5948E6DE">
            <w:pPr>
              <w:keepNext w:val="0"/>
              <w:keepLines w:val="0"/>
              <w:widowControl/>
              <w:suppressLineNumbers w:val="0"/>
              <w:spacing w:line="240" w:lineRule="auto"/>
              <w:jc w:val="left"/>
              <w:rPr>
                <w:rFonts w:hint="eastAsia" w:ascii="宋体" w:hAnsi="宋体" w:eastAsia="宋体" w:cs="宋体"/>
                <w:b w:val="0"/>
                <w:bCs w:val="0"/>
                <w:i w:val="0"/>
                <w:iCs w:val="0"/>
                <w:caps w:val="0"/>
                <w:color w:val="0F1115"/>
                <w:spacing w:val="0"/>
                <w:kern w:val="0"/>
                <w:sz w:val="18"/>
                <w:szCs w:val="18"/>
                <w:lang w:val="en-US" w:eastAsia="zh-CN" w:bidi="ar"/>
              </w:rPr>
            </w:pPr>
            <w:r>
              <w:rPr>
                <w:rStyle w:val="17"/>
                <w:rFonts w:hint="eastAsia" w:ascii="宋体" w:hAnsi="宋体" w:eastAsia="宋体" w:cs="宋体"/>
                <w:b w:val="0"/>
                <w:bCs w:val="0"/>
                <w:i w:val="0"/>
                <w:iCs w:val="0"/>
                <w:caps w:val="0"/>
                <w:color w:val="0F1115"/>
                <w:spacing w:val="0"/>
                <w:kern w:val="0"/>
                <w:sz w:val="18"/>
                <w:szCs w:val="18"/>
                <w:lang w:val="en-US" w:eastAsia="zh-CN" w:bidi="ar"/>
              </w:rPr>
              <w:t>记录审查</w:t>
            </w:r>
            <w:r>
              <w:rPr>
                <w:rFonts w:hint="eastAsia" w:ascii="宋体" w:hAnsi="宋体" w:eastAsia="宋体" w:cs="宋体"/>
                <w:b w:val="0"/>
                <w:bCs w:val="0"/>
                <w:i w:val="0"/>
                <w:iCs w:val="0"/>
                <w:caps w:val="0"/>
                <w:color w:val="0F1115"/>
                <w:spacing w:val="0"/>
                <w:kern w:val="0"/>
                <w:sz w:val="18"/>
                <w:szCs w:val="18"/>
                <w:lang w:val="en-US" w:eastAsia="zh-CN" w:bidi="ar"/>
              </w:rPr>
              <w:t>：查阅评估表与病程记录。</w:t>
            </w:r>
          </w:p>
          <w:p w14:paraId="7457E271">
            <w:pPr>
              <w:keepNext w:val="0"/>
              <w:keepLines w:val="0"/>
              <w:widowControl/>
              <w:suppressLineNumbers w:val="0"/>
              <w:spacing w:line="240" w:lineRule="auto"/>
              <w:jc w:val="left"/>
              <w:rPr>
                <w:rFonts w:hint="eastAsia" w:ascii="宋体" w:hAnsi="宋体" w:eastAsia="宋体" w:cs="宋体"/>
                <w:b w:val="0"/>
                <w:bCs w:val="0"/>
                <w:sz w:val="18"/>
                <w:szCs w:val="18"/>
                <w:vertAlign w:val="baseline"/>
                <w:lang w:val="en-US" w:eastAsia="zh-CN"/>
              </w:rPr>
            </w:pPr>
            <w:r>
              <w:rPr>
                <w:rStyle w:val="17"/>
                <w:rFonts w:hint="eastAsia" w:ascii="宋体" w:hAnsi="宋体" w:eastAsia="宋体" w:cs="宋体"/>
                <w:b w:val="0"/>
                <w:bCs w:val="0"/>
                <w:i w:val="0"/>
                <w:iCs w:val="0"/>
                <w:caps w:val="0"/>
                <w:color w:val="0F1115"/>
                <w:spacing w:val="0"/>
                <w:kern w:val="0"/>
                <w:sz w:val="18"/>
                <w:szCs w:val="18"/>
                <w:lang w:val="en-US" w:eastAsia="zh-CN" w:bidi="ar"/>
              </w:rPr>
              <w:t>人员询问</w:t>
            </w:r>
            <w:r>
              <w:rPr>
                <w:rFonts w:hint="eastAsia" w:ascii="宋体" w:hAnsi="宋体" w:eastAsia="宋体" w:cs="宋体"/>
                <w:b w:val="0"/>
                <w:bCs w:val="0"/>
                <w:i w:val="0"/>
                <w:iCs w:val="0"/>
                <w:caps w:val="0"/>
                <w:color w:val="0F1115"/>
                <w:spacing w:val="0"/>
                <w:kern w:val="0"/>
                <w:sz w:val="18"/>
                <w:szCs w:val="18"/>
                <w:lang w:val="en-US" w:eastAsia="zh-CN" w:bidi="ar"/>
              </w:rPr>
              <w:t>：考核医师对适应证、禁忌证的掌握情况</w:t>
            </w:r>
          </w:p>
        </w:tc>
      </w:tr>
      <w:tr w14:paraId="2ADC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Align w:val="center"/>
          </w:tcPr>
          <w:p w14:paraId="7390BFFA">
            <w:pPr>
              <w:keepNext w:val="0"/>
              <w:keepLines w:val="0"/>
              <w:widowControl/>
              <w:suppressLineNumbers w:val="0"/>
              <w:spacing w:line="240" w:lineRule="auto"/>
              <w:jc w:val="center"/>
              <w:rPr>
                <w:rFonts w:hint="eastAsia" w:ascii="宋体" w:hAnsi="宋体" w:eastAsia="宋体" w:cs="宋体"/>
                <w:sz w:val="18"/>
                <w:szCs w:val="18"/>
                <w:vertAlign w:val="baseline"/>
                <w:lang w:val="en-US" w:eastAsia="zh-CN"/>
              </w:rPr>
            </w:pPr>
            <w:r>
              <w:rPr>
                <w:rFonts w:hint="eastAsia" w:ascii="宋体" w:hAnsi="宋体" w:cs="宋体"/>
                <w:i w:val="0"/>
                <w:iCs w:val="0"/>
                <w:caps w:val="0"/>
                <w:color w:val="0F1115"/>
                <w:spacing w:val="0"/>
                <w:kern w:val="0"/>
                <w:sz w:val="18"/>
                <w:szCs w:val="18"/>
                <w:lang w:val="en-US" w:eastAsia="zh-CN" w:bidi="ar"/>
              </w:rPr>
              <w:t>6</w:t>
            </w:r>
            <w:r>
              <w:rPr>
                <w:rFonts w:hint="eastAsia" w:ascii="宋体" w:hAnsi="宋体" w:eastAsia="宋体" w:cs="宋体"/>
                <w:i w:val="0"/>
                <w:iCs w:val="0"/>
                <w:caps w:val="0"/>
                <w:color w:val="0F1115"/>
                <w:spacing w:val="0"/>
                <w:kern w:val="0"/>
                <w:sz w:val="18"/>
                <w:szCs w:val="18"/>
                <w:lang w:val="en-US" w:eastAsia="zh-CN" w:bidi="ar"/>
              </w:rPr>
              <w:t>.1.2</w:t>
            </w:r>
          </w:p>
        </w:tc>
        <w:tc>
          <w:tcPr>
            <w:tcW w:w="3105" w:type="dxa"/>
            <w:vAlign w:val="center"/>
          </w:tcPr>
          <w:p w14:paraId="38E75A6A">
            <w:pPr>
              <w:keepNext w:val="0"/>
              <w:keepLines w:val="0"/>
              <w:widowControl/>
              <w:suppressLineNumbers w:val="0"/>
              <w:spacing w:line="240" w:lineRule="auto"/>
              <w:jc w:val="left"/>
              <w:rPr>
                <w:rFonts w:hint="eastAsia" w:ascii="宋体" w:hAnsi="宋体" w:eastAsia="宋体" w:cs="宋体"/>
                <w:sz w:val="18"/>
                <w:szCs w:val="18"/>
                <w:vertAlign w:val="baseline"/>
                <w:lang w:val="en-US" w:eastAsia="zh-CN"/>
              </w:rPr>
            </w:pPr>
            <w:r>
              <w:rPr>
                <w:rFonts w:hint="eastAsia" w:ascii="宋体" w:hAnsi="宋体" w:eastAsia="宋体" w:cs="宋体"/>
                <w:i w:val="0"/>
                <w:iCs w:val="0"/>
                <w:caps w:val="0"/>
                <w:color w:val="0F1115"/>
                <w:spacing w:val="0"/>
                <w:kern w:val="0"/>
                <w:sz w:val="18"/>
                <w:szCs w:val="18"/>
                <w:lang w:val="en-US" w:eastAsia="zh-CN" w:bidi="ar"/>
              </w:rPr>
              <w:t>知情同意的规范性</w:t>
            </w:r>
          </w:p>
        </w:tc>
        <w:tc>
          <w:tcPr>
            <w:tcW w:w="5235" w:type="dxa"/>
            <w:vAlign w:val="center"/>
          </w:tcPr>
          <w:p w14:paraId="37495B3F">
            <w:pPr>
              <w:keepNext w:val="0"/>
              <w:keepLines w:val="0"/>
              <w:widowControl/>
              <w:suppressLineNumbers w:val="0"/>
              <w:spacing w:line="240" w:lineRule="auto"/>
              <w:jc w:val="left"/>
              <w:rPr>
                <w:rFonts w:hint="eastAsia" w:ascii="宋体" w:hAnsi="宋体" w:eastAsia="宋体" w:cs="宋体"/>
                <w:b w:val="0"/>
                <w:bCs w:val="0"/>
                <w:sz w:val="18"/>
                <w:szCs w:val="18"/>
                <w:vertAlign w:val="baseline"/>
                <w:lang w:val="en-US" w:eastAsia="zh-CN"/>
              </w:rPr>
            </w:pPr>
            <w:r>
              <w:rPr>
                <w:rStyle w:val="17"/>
                <w:rFonts w:hint="eastAsia" w:ascii="宋体" w:hAnsi="宋体" w:eastAsia="宋体" w:cs="宋体"/>
                <w:b w:val="0"/>
                <w:bCs w:val="0"/>
                <w:i w:val="0"/>
                <w:iCs w:val="0"/>
                <w:caps w:val="0"/>
                <w:color w:val="0F1115"/>
                <w:spacing w:val="0"/>
                <w:kern w:val="0"/>
                <w:sz w:val="18"/>
                <w:szCs w:val="18"/>
                <w:lang w:val="en-US" w:eastAsia="zh-CN" w:bidi="ar"/>
              </w:rPr>
              <w:t>记录审查</w:t>
            </w:r>
            <w:r>
              <w:rPr>
                <w:rFonts w:hint="eastAsia" w:ascii="宋体" w:hAnsi="宋体" w:eastAsia="宋体" w:cs="宋体"/>
                <w:b w:val="0"/>
                <w:bCs w:val="0"/>
                <w:i w:val="0"/>
                <w:iCs w:val="0"/>
                <w:caps w:val="0"/>
                <w:color w:val="0F1115"/>
                <w:spacing w:val="0"/>
                <w:kern w:val="0"/>
                <w:sz w:val="18"/>
                <w:szCs w:val="18"/>
                <w:lang w:val="en-US" w:eastAsia="zh-CN" w:bidi="ar"/>
              </w:rPr>
              <w:t>：100%检查知情同意书签署的完整性与有效性</w:t>
            </w:r>
          </w:p>
        </w:tc>
      </w:tr>
      <w:tr w14:paraId="2C0B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Align w:val="center"/>
          </w:tcPr>
          <w:p w14:paraId="1D270C93">
            <w:pPr>
              <w:keepNext w:val="0"/>
              <w:keepLines w:val="0"/>
              <w:widowControl/>
              <w:suppressLineNumbers w:val="0"/>
              <w:spacing w:line="240" w:lineRule="auto"/>
              <w:jc w:val="center"/>
              <w:rPr>
                <w:rFonts w:hint="eastAsia" w:ascii="宋体" w:hAnsi="宋体" w:eastAsia="宋体" w:cs="宋体"/>
                <w:sz w:val="18"/>
                <w:szCs w:val="18"/>
                <w:vertAlign w:val="baseline"/>
                <w:lang w:val="en-US" w:eastAsia="zh-CN"/>
              </w:rPr>
            </w:pPr>
            <w:r>
              <w:rPr>
                <w:rFonts w:hint="eastAsia" w:ascii="宋体" w:hAnsi="宋体" w:cs="宋体"/>
                <w:i w:val="0"/>
                <w:iCs w:val="0"/>
                <w:caps w:val="0"/>
                <w:color w:val="0F1115"/>
                <w:spacing w:val="0"/>
                <w:kern w:val="0"/>
                <w:sz w:val="18"/>
                <w:szCs w:val="18"/>
                <w:lang w:val="en-US" w:eastAsia="zh-CN" w:bidi="ar"/>
              </w:rPr>
              <w:t>6</w:t>
            </w:r>
            <w:r>
              <w:rPr>
                <w:rFonts w:hint="eastAsia" w:ascii="宋体" w:hAnsi="宋体" w:eastAsia="宋体" w:cs="宋体"/>
                <w:i w:val="0"/>
                <w:iCs w:val="0"/>
                <w:caps w:val="0"/>
                <w:color w:val="0F1115"/>
                <w:spacing w:val="0"/>
                <w:kern w:val="0"/>
                <w:sz w:val="18"/>
                <w:szCs w:val="18"/>
                <w:lang w:val="en-US" w:eastAsia="zh-CN" w:bidi="ar"/>
              </w:rPr>
              <w:t>.1.4</w:t>
            </w:r>
          </w:p>
        </w:tc>
        <w:tc>
          <w:tcPr>
            <w:tcW w:w="3105" w:type="dxa"/>
            <w:vAlign w:val="center"/>
          </w:tcPr>
          <w:p w14:paraId="5878F81B">
            <w:pPr>
              <w:keepNext w:val="0"/>
              <w:keepLines w:val="0"/>
              <w:widowControl/>
              <w:suppressLineNumbers w:val="0"/>
              <w:spacing w:line="240" w:lineRule="auto"/>
              <w:jc w:val="left"/>
              <w:rPr>
                <w:rFonts w:hint="eastAsia" w:ascii="宋体" w:hAnsi="宋体" w:eastAsia="宋体" w:cs="宋体"/>
                <w:sz w:val="18"/>
                <w:szCs w:val="18"/>
                <w:vertAlign w:val="baseline"/>
                <w:lang w:val="en-US" w:eastAsia="zh-CN"/>
              </w:rPr>
            </w:pPr>
            <w:r>
              <w:rPr>
                <w:rFonts w:hint="eastAsia" w:ascii="宋体" w:hAnsi="宋体" w:eastAsia="宋体" w:cs="宋体"/>
                <w:i w:val="0"/>
                <w:iCs w:val="0"/>
                <w:caps w:val="0"/>
                <w:color w:val="0F1115"/>
                <w:spacing w:val="0"/>
                <w:kern w:val="0"/>
                <w:sz w:val="18"/>
                <w:szCs w:val="18"/>
                <w:lang w:val="en-US" w:eastAsia="zh-CN" w:bidi="ar"/>
              </w:rPr>
              <w:t>物品准备的准确性（双人核对）</w:t>
            </w:r>
          </w:p>
        </w:tc>
        <w:tc>
          <w:tcPr>
            <w:tcW w:w="5235" w:type="dxa"/>
            <w:vAlign w:val="center"/>
          </w:tcPr>
          <w:p w14:paraId="27EE8DEA">
            <w:pPr>
              <w:keepNext w:val="0"/>
              <w:keepLines w:val="0"/>
              <w:widowControl/>
              <w:suppressLineNumbers w:val="0"/>
              <w:spacing w:line="240" w:lineRule="auto"/>
              <w:jc w:val="left"/>
              <w:rPr>
                <w:rFonts w:hint="eastAsia" w:ascii="宋体" w:hAnsi="宋体" w:eastAsia="宋体" w:cs="宋体"/>
                <w:b w:val="0"/>
                <w:bCs w:val="0"/>
                <w:sz w:val="18"/>
                <w:szCs w:val="18"/>
                <w:vertAlign w:val="baseline"/>
                <w:lang w:val="en-US" w:eastAsia="zh-CN"/>
              </w:rPr>
            </w:pPr>
            <w:r>
              <w:rPr>
                <w:rStyle w:val="17"/>
                <w:rFonts w:hint="eastAsia" w:ascii="宋体" w:hAnsi="宋体" w:eastAsia="宋体" w:cs="宋体"/>
                <w:b w:val="0"/>
                <w:bCs w:val="0"/>
                <w:i w:val="0"/>
                <w:iCs w:val="0"/>
                <w:caps w:val="0"/>
                <w:color w:val="0F1115"/>
                <w:spacing w:val="0"/>
                <w:kern w:val="0"/>
                <w:sz w:val="18"/>
                <w:szCs w:val="18"/>
                <w:lang w:val="en-US" w:eastAsia="zh-CN" w:bidi="ar"/>
              </w:rPr>
              <w:t>记录审查</w:t>
            </w:r>
            <w:r>
              <w:rPr>
                <w:rFonts w:hint="eastAsia" w:ascii="宋体" w:hAnsi="宋体" w:eastAsia="宋体" w:cs="宋体"/>
                <w:b w:val="0"/>
                <w:bCs w:val="0"/>
                <w:i w:val="0"/>
                <w:iCs w:val="0"/>
                <w:caps w:val="0"/>
                <w:color w:val="0F1115"/>
                <w:spacing w:val="0"/>
                <w:kern w:val="0"/>
                <w:sz w:val="18"/>
                <w:szCs w:val="18"/>
                <w:lang w:val="en-US" w:eastAsia="zh-CN" w:bidi="ar"/>
              </w:rPr>
              <w:t>：抽查核对记录。</w:t>
            </w:r>
            <w:r>
              <w:rPr>
                <w:rFonts w:hint="eastAsia" w:ascii="宋体" w:hAnsi="宋体" w:eastAsia="宋体" w:cs="宋体"/>
                <w:b w:val="0"/>
                <w:bCs w:val="0"/>
                <w:i w:val="0"/>
                <w:iCs w:val="0"/>
                <w:caps w:val="0"/>
                <w:color w:val="0F1115"/>
                <w:spacing w:val="0"/>
                <w:kern w:val="0"/>
                <w:sz w:val="18"/>
                <w:szCs w:val="18"/>
                <w:lang w:val="en-US" w:eastAsia="zh-CN" w:bidi="ar"/>
              </w:rPr>
              <w:br w:type="textWrapping"/>
            </w:r>
            <w:r>
              <w:rPr>
                <w:rStyle w:val="17"/>
                <w:rFonts w:hint="eastAsia" w:ascii="宋体" w:hAnsi="宋体" w:eastAsia="宋体" w:cs="宋体"/>
                <w:b w:val="0"/>
                <w:bCs w:val="0"/>
                <w:i w:val="0"/>
                <w:iCs w:val="0"/>
                <w:caps w:val="0"/>
                <w:color w:val="0F1115"/>
                <w:spacing w:val="0"/>
                <w:kern w:val="0"/>
                <w:sz w:val="18"/>
                <w:szCs w:val="18"/>
                <w:lang w:val="en-US" w:eastAsia="zh-CN" w:bidi="ar"/>
              </w:rPr>
              <w:t>现场观察</w:t>
            </w:r>
            <w:r>
              <w:rPr>
                <w:rFonts w:hint="eastAsia" w:ascii="宋体" w:hAnsi="宋体" w:eastAsia="宋体" w:cs="宋体"/>
                <w:b w:val="0"/>
                <w:bCs w:val="0"/>
                <w:i w:val="0"/>
                <w:iCs w:val="0"/>
                <w:caps w:val="0"/>
                <w:color w:val="0F1115"/>
                <w:spacing w:val="0"/>
                <w:kern w:val="0"/>
                <w:sz w:val="18"/>
                <w:szCs w:val="18"/>
                <w:lang w:val="en-US" w:eastAsia="zh-CN" w:bidi="ar"/>
              </w:rPr>
              <w:t>：定期现场检查核对流程</w:t>
            </w:r>
          </w:p>
        </w:tc>
      </w:tr>
      <w:tr w14:paraId="4209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Align w:val="center"/>
          </w:tcPr>
          <w:p w14:paraId="78368BD9">
            <w:pPr>
              <w:keepNext w:val="0"/>
              <w:keepLines w:val="0"/>
              <w:widowControl/>
              <w:suppressLineNumbers w:val="0"/>
              <w:spacing w:line="240" w:lineRule="auto"/>
              <w:jc w:val="center"/>
              <w:rPr>
                <w:rFonts w:hint="eastAsia" w:ascii="宋体" w:hAnsi="宋体" w:eastAsia="宋体" w:cs="宋体"/>
                <w:sz w:val="18"/>
                <w:szCs w:val="18"/>
                <w:vertAlign w:val="baseline"/>
                <w:lang w:val="en-US" w:eastAsia="zh-CN"/>
              </w:rPr>
            </w:pPr>
            <w:r>
              <w:rPr>
                <w:rFonts w:hint="eastAsia" w:ascii="宋体" w:hAnsi="宋体" w:cs="宋体"/>
                <w:i w:val="0"/>
                <w:iCs w:val="0"/>
                <w:caps w:val="0"/>
                <w:color w:val="0F1115"/>
                <w:spacing w:val="0"/>
                <w:kern w:val="0"/>
                <w:sz w:val="18"/>
                <w:szCs w:val="18"/>
                <w:lang w:val="en-US" w:eastAsia="zh-CN" w:bidi="ar"/>
              </w:rPr>
              <w:t>6</w:t>
            </w:r>
            <w:r>
              <w:rPr>
                <w:rFonts w:hint="eastAsia" w:ascii="宋体" w:hAnsi="宋体" w:eastAsia="宋体" w:cs="宋体"/>
                <w:i w:val="0"/>
                <w:iCs w:val="0"/>
                <w:caps w:val="0"/>
                <w:color w:val="0F1115"/>
                <w:spacing w:val="0"/>
                <w:kern w:val="0"/>
                <w:sz w:val="18"/>
                <w:szCs w:val="18"/>
                <w:lang w:val="en-US" w:eastAsia="zh-CN" w:bidi="ar"/>
              </w:rPr>
              <w:t>.2.4</w:t>
            </w:r>
          </w:p>
        </w:tc>
        <w:tc>
          <w:tcPr>
            <w:tcW w:w="3105" w:type="dxa"/>
            <w:vAlign w:val="center"/>
          </w:tcPr>
          <w:p w14:paraId="5AC8ACF9">
            <w:pPr>
              <w:keepNext w:val="0"/>
              <w:keepLines w:val="0"/>
              <w:widowControl/>
              <w:suppressLineNumbers w:val="0"/>
              <w:spacing w:line="240" w:lineRule="auto"/>
              <w:jc w:val="left"/>
              <w:rPr>
                <w:rFonts w:hint="eastAsia" w:ascii="宋体" w:hAnsi="宋体" w:eastAsia="宋体" w:cs="宋体"/>
                <w:sz w:val="18"/>
                <w:szCs w:val="18"/>
                <w:vertAlign w:val="baseline"/>
                <w:lang w:val="en-US" w:eastAsia="zh-CN"/>
              </w:rPr>
            </w:pPr>
            <w:r>
              <w:rPr>
                <w:rFonts w:hint="eastAsia" w:ascii="宋体" w:hAnsi="宋体" w:eastAsia="宋体" w:cs="宋体"/>
                <w:i w:val="0"/>
                <w:iCs w:val="0"/>
                <w:caps w:val="0"/>
                <w:color w:val="0F1115"/>
                <w:spacing w:val="0"/>
                <w:kern w:val="0"/>
                <w:sz w:val="18"/>
                <w:szCs w:val="18"/>
                <w:lang w:val="en-US" w:eastAsia="zh-CN" w:bidi="ar"/>
              </w:rPr>
              <w:t>治疗参数设置的准确性</w:t>
            </w:r>
          </w:p>
        </w:tc>
        <w:tc>
          <w:tcPr>
            <w:tcW w:w="5235" w:type="dxa"/>
            <w:vAlign w:val="center"/>
          </w:tcPr>
          <w:p w14:paraId="4D1E1339">
            <w:pPr>
              <w:keepNext w:val="0"/>
              <w:keepLines w:val="0"/>
              <w:widowControl/>
              <w:suppressLineNumbers w:val="0"/>
              <w:spacing w:line="240" w:lineRule="auto"/>
              <w:jc w:val="left"/>
              <w:rPr>
                <w:rFonts w:hint="eastAsia" w:ascii="宋体" w:hAnsi="宋体" w:eastAsia="宋体" w:cs="宋体"/>
                <w:b w:val="0"/>
                <w:bCs w:val="0"/>
                <w:sz w:val="18"/>
                <w:szCs w:val="18"/>
                <w:vertAlign w:val="baseline"/>
                <w:lang w:val="en-US" w:eastAsia="zh-CN"/>
              </w:rPr>
            </w:pPr>
            <w:r>
              <w:rPr>
                <w:rStyle w:val="17"/>
                <w:rFonts w:hint="eastAsia" w:ascii="宋体" w:hAnsi="宋体" w:eastAsia="宋体" w:cs="宋体"/>
                <w:b w:val="0"/>
                <w:bCs w:val="0"/>
                <w:i w:val="0"/>
                <w:iCs w:val="0"/>
                <w:caps w:val="0"/>
                <w:color w:val="0F1115"/>
                <w:spacing w:val="0"/>
                <w:kern w:val="0"/>
                <w:sz w:val="18"/>
                <w:szCs w:val="18"/>
                <w:lang w:val="en-US" w:eastAsia="zh-CN" w:bidi="ar"/>
              </w:rPr>
              <w:t>记录审查</w:t>
            </w:r>
            <w:r>
              <w:rPr>
                <w:rFonts w:hint="eastAsia" w:ascii="宋体" w:hAnsi="宋体" w:eastAsia="宋体" w:cs="宋体"/>
                <w:b w:val="0"/>
                <w:bCs w:val="0"/>
                <w:i w:val="0"/>
                <w:iCs w:val="0"/>
                <w:caps w:val="0"/>
                <w:color w:val="0F1115"/>
                <w:spacing w:val="0"/>
                <w:kern w:val="0"/>
                <w:sz w:val="18"/>
                <w:szCs w:val="18"/>
                <w:lang w:val="en-US" w:eastAsia="zh-CN" w:bidi="ar"/>
              </w:rPr>
              <w:t>：定期抽查治疗记录，将设备设置参数与医嘱进行比对。</w:t>
            </w:r>
          </w:p>
        </w:tc>
      </w:tr>
      <w:tr w14:paraId="7E9B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Align w:val="center"/>
          </w:tcPr>
          <w:p w14:paraId="0F1BE662">
            <w:pPr>
              <w:keepNext w:val="0"/>
              <w:keepLines w:val="0"/>
              <w:widowControl/>
              <w:suppressLineNumbers w:val="0"/>
              <w:spacing w:line="240" w:lineRule="auto"/>
              <w:jc w:val="center"/>
              <w:rPr>
                <w:rFonts w:hint="eastAsia" w:ascii="宋体" w:hAnsi="宋体" w:eastAsia="宋体" w:cs="宋体"/>
                <w:sz w:val="18"/>
                <w:szCs w:val="18"/>
                <w:vertAlign w:val="baseline"/>
                <w:lang w:val="en-US" w:eastAsia="zh-CN"/>
              </w:rPr>
            </w:pPr>
            <w:r>
              <w:rPr>
                <w:rFonts w:hint="eastAsia" w:ascii="宋体" w:hAnsi="宋体" w:cs="宋体"/>
                <w:i w:val="0"/>
                <w:iCs w:val="0"/>
                <w:caps w:val="0"/>
                <w:color w:val="0F1115"/>
                <w:spacing w:val="0"/>
                <w:kern w:val="0"/>
                <w:sz w:val="18"/>
                <w:szCs w:val="18"/>
                <w:lang w:val="en-US" w:eastAsia="zh-CN" w:bidi="ar"/>
              </w:rPr>
              <w:t>6</w:t>
            </w:r>
            <w:r>
              <w:rPr>
                <w:rFonts w:hint="eastAsia" w:ascii="宋体" w:hAnsi="宋体" w:eastAsia="宋体" w:cs="宋体"/>
                <w:i w:val="0"/>
                <w:iCs w:val="0"/>
                <w:caps w:val="0"/>
                <w:color w:val="0F1115"/>
                <w:spacing w:val="0"/>
                <w:kern w:val="0"/>
                <w:sz w:val="18"/>
                <w:szCs w:val="18"/>
                <w:lang w:val="en-US" w:eastAsia="zh-CN" w:bidi="ar"/>
              </w:rPr>
              <w:t>.2.5</w:t>
            </w:r>
          </w:p>
        </w:tc>
        <w:tc>
          <w:tcPr>
            <w:tcW w:w="3105" w:type="dxa"/>
            <w:vAlign w:val="center"/>
          </w:tcPr>
          <w:p w14:paraId="318C14DE">
            <w:pPr>
              <w:keepNext w:val="0"/>
              <w:keepLines w:val="0"/>
              <w:widowControl/>
              <w:suppressLineNumbers w:val="0"/>
              <w:spacing w:line="240" w:lineRule="auto"/>
              <w:jc w:val="left"/>
              <w:rPr>
                <w:rFonts w:hint="eastAsia" w:ascii="宋体" w:hAnsi="宋体" w:eastAsia="宋体" w:cs="宋体"/>
                <w:sz w:val="18"/>
                <w:szCs w:val="18"/>
                <w:vertAlign w:val="baseline"/>
                <w:lang w:val="en-US" w:eastAsia="zh-CN"/>
              </w:rPr>
            </w:pPr>
            <w:r>
              <w:rPr>
                <w:rFonts w:hint="eastAsia" w:ascii="宋体" w:hAnsi="宋体" w:eastAsia="宋体" w:cs="宋体"/>
                <w:i w:val="0"/>
                <w:iCs w:val="0"/>
                <w:caps w:val="0"/>
                <w:color w:val="0F1115"/>
                <w:spacing w:val="0"/>
                <w:kern w:val="0"/>
                <w:sz w:val="18"/>
                <w:szCs w:val="18"/>
                <w:lang w:val="en-US" w:eastAsia="zh-CN" w:bidi="ar"/>
              </w:rPr>
              <w:t>治疗启动的规范性（初始低速观察）</w:t>
            </w:r>
          </w:p>
        </w:tc>
        <w:tc>
          <w:tcPr>
            <w:tcW w:w="5235" w:type="dxa"/>
            <w:vAlign w:val="center"/>
          </w:tcPr>
          <w:p w14:paraId="61F9C01D">
            <w:pPr>
              <w:keepNext w:val="0"/>
              <w:keepLines w:val="0"/>
              <w:widowControl/>
              <w:suppressLineNumbers w:val="0"/>
              <w:spacing w:line="240" w:lineRule="auto"/>
              <w:jc w:val="left"/>
              <w:rPr>
                <w:rFonts w:hint="eastAsia" w:ascii="宋体" w:hAnsi="宋体" w:eastAsia="宋体" w:cs="宋体"/>
                <w:b w:val="0"/>
                <w:bCs w:val="0"/>
                <w:sz w:val="18"/>
                <w:szCs w:val="18"/>
                <w:vertAlign w:val="baseline"/>
                <w:lang w:val="en-US" w:eastAsia="zh-CN"/>
              </w:rPr>
            </w:pPr>
            <w:r>
              <w:rPr>
                <w:rStyle w:val="17"/>
                <w:rFonts w:hint="eastAsia" w:ascii="宋体" w:hAnsi="宋体" w:eastAsia="宋体" w:cs="宋体"/>
                <w:b w:val="0"/>
                <w:bCs w:val="0"/>
                <w:i w:val="0"/>
                <w:iCs w:val="0"/>
                <w:caps w:val="0"/>
                <w:color w:val="0F1115"/>
                <w:spacing w:val="0"/>
                <w:kern w:val="0"/>
                <w:sz w:val="18"/>
                <w:szCs w:val="18"/>
                <w:lang w:val="en-US" w:eastAsia="zh-CN" w:bidi="ar"/>
              </w:rPr>
              <w:t>记录审查</w:t>
            </w:r>
            <w:r>
              <w:rPr>
                <w:rFonts w:hint="eastAsia" w:ascii="宋体" w:hAnsi="宋体" w:eastAsia="宋体" w:cs="宋体"/>
                <w:b w:val="0"/>
                <w:bCs w:val="0"/>
                <w:i w:val="0"/>
                <w:iCs w:val="0"/>
                <w:caps w:val="0"/>
                <w:color w:val="0F1115"/>
                <w:spacing w:val="0"/>
                <w:kern w:val="0"/>
                <w:sz w:val="18"/>
                <w:szCs w:val="18"/>
                <w:lang w:val="en-US" w:eastAsia="zh-CN" w:bidi="ar"/>
              </w:rPr>
              <w:t>：抽查治疗记录。</w:t>
            </w:r>
            <w:r>
              <w:rPr>
                <w:rFonts w:hint="eastAsia" w:ascii="宋体" w:hAnsi="宋体" w:eastAsia="宋体" w:cs="宋体"/>
                <w:b w:val="0"/>
                <w:bCs w:val="0"/>
                <w:i w:val="0"/>
                <w:iCs w:val="0"/>
                <w:caps w:val="0"/>
                <w:color w:val="0F1115"/>
                <w:spacing w:val="0"/>
                <w:kern w:val="0"/>
                <w:sz w:val="18"/>
                <w:szCs w:val="18"/>
                <w:lang w:val="en-US" w:eastAsia="zh-CN" w:bidi="ar"/>
              </w:rPr>
              <w:br w:type="textWrapping"/>
            </w:r>
            <w:r>
              <w:rPr>
                <w:rStyle w:val="17"/>
                <w:rFonts w:hint="eastAsia" w:ascii="宋体" w:hAnsi="宋体" w:eastAsia="宋体" w:cs="宋体"/>
                <w:b w:val="0"/>
                <w:bCs w:val="0"/>
                <w:i w:val="0"/>
                <w:iCs w:val="0"/>
                <w:caps w:val="0"/>
                <w:color w:val="0F1115"/>
                <w:spacing w:val="0"/>
                <w:kern w:val="0"/>
                <w:sz w:val="18"/>
                <w:szCs w:val="18"/>
                <w:lang w:val="en-US" w:eastAsia="zh-CN" w:bidi="ar"/>
              </w:rPr>
              <w:t>设备数据调阅</w:t>
            </w:r>
            <w:r>
              <w:rPr>
                <w:rFonts w:hint="eastAsia" w:ascii="宋体" w:hAnsi="宋体" w:eastAsia="宋体" w:cs="宋体"/>
                <w:b w:val="0"/>
                <w:bCs w:val="0"/>
                <w:i w:val="0"/>
                <w:iCs w:val="0"/>
                <w:caps w:val="0"/>
                <w:color w:val="0F1115"/>
                <w:spacing w:val="0"/>
                <w:kern w:val="0"/>
                <w:sz w:val="18"/>
                <w:szCs w:val="18"/>
                <w:lang w:val="en-US" w:eastAsia="zh-CN" w:bidi="ar"/>
              </w:rPr>
              <w:t>：定期下载分析设备运行数据</w:t>
            </w:r>
          </w:p>
        </w:tc>
      </w:tr>
      <w:tr w14:paraId="2CE6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Align w:val="center"/>
          </w:tcPr>
          <w:p w14:paraId="55BF3D4E">
            <w:pPr>
              <w:keepNext w:val="0"/>
              <w:keepLines w:val="0"/>
              <w:widowControl/>
              <w:suppressLineNumbers w:val="0"/>
              <w:spacing w:line="240" w:lineRule="auto"/>
              <w:jc w:val="center"/>
              <w:rPr>
                <w:rFonts w:hint="eastAsia" w:ascii="宋体" w:hAnsi="宋体" w:eastAsia="宋体" w:cs="宋体"/>
                <w:sz w:val="18"/>
                <w:szCs w:val="18"/>
                <w:vertAlign w:val="baseline"/>
                <w:lang w:val="en-US" w:eastAsia="zh-CN"/>
              </w:rPr>
            </w:pPr>
            <w:r>
              <w:rPr>
                <w:rFonts w:hint="eastAsia" w:ascii="宋体" w:hAnsi="宋体" w:cs="宋体"/>
                <w:i w:val="0"/>
                <w:iCs w:val="0"/>
                <w:caps w:val="0"/>
                <w:color w:val="0F1115"/>
                <w:spacing w:val="0"/>
                <w:kern w:val="0"/>
                <w:sz w:val="18"/>
                <w:szCs w:val="18"/>
                <w:lang w:val="en-US" w:eastAsia="zh-CN" w:bidi="ar"/>
              </w:rPr>
              <w:t>6</w:t>
            </w:r>
            <w:r>
              <w:rPr>
                <w:rFonts w:hint="eastAsia" w:ascii="宋体" w:hAnsi="宋体" w:eastAsia="宋体" w:cs="宋体"/>
                <w:i w:val="0"/>
                <w:iCs w:val="0"/>
                <w:caps w:val="0"/>
                <w:color w:val="0F1115"/>
                <w:spacing w:val="0"/>
                <w:kern w:val="0"/>
                <w:sz w:val="18"/>
                <w:szCs w:val="18"/>
                <w:lang w:val="en-US" w:eastAsia="zh-CN" w:bidi="ar"/>
              </w:rPr>
              <w:t>.2.6</w:t>
            </w:r>
          </w:p>
        </w:tc>
        <w:tc>
          <w:tcPr>
            <w:tcW w:w="3105" w:type="dxa"/>
            <w:vAlign w:val="center"/>
          </w:tcPr>
          <w:p w14:paraId="265924D4">
            <w:pPr>
              <w:keepNext w:val="0"/>
              <w:keepLines w:val="0"/>
              <w:widowControl/>
              <w:suppressLineNumbers w:val="0"/>
              <w:spacing w:line="240" w:lineRule="auto"/>
              <w:jc w:val="left"/>
              <w:rPr>
                <w:rFonts w:hint="eastAsia" w:ascii="宋体" w:hAnsi="宋体" w:eastAsia="宋体" w:cs="宋体"/>
                <w:sz w:val="18"/>
                <w:szCs w:val="18"/>
                <w:vertAlign w:val="baseline"/>
                <w:lang w:val="en-US" w:eastAsia="zh-CN"/>
              </w:rPr>
            </w:pPr>
            <w:r>
              <w:rPr>
                <w:rFonts w:hint="eastAsia" w:ascii="宋体" w:hAnsi="宋体" w:eastAsia="宋体" w:cs="宋体"/>
                <w:i w:val="0"/>
                <w:iCs w:val="0"/>
                <w:caps w:val="0"/>
                <w:color w:val="0F1115"/>
                <w:spacing w:val="0"/>
                <w:kern w:val="0"/>
                <w:sz w:val="18"/>
                <w:szCs w:val="18"/>
                <w:lang w:val="en-US" w:eastAsia="zh-CN" w:bidi="ar"/>
              </w:rPr>
              <w:t>治疗过程监护的依从性</w:t>
            </w:r>
          </w:p>
        </w:tc>
        <w:tc>
          <w:tcPr>
            <w:tcW w:w="5235" w:type="dxa"/>
            <w:vAlign w:val="center"/>
          </w:tcPr>
          <w:p w14:paraId="0A5BDBF1">
            <w:pPr>
              <w:keepNext w:val="0"/>
              <w:keepLines w:val="0"/>
              <w:widowControl/>
              <w:suppressLineNumbers w:val="0"/>
              <w:spacing w:line="240" w:lineRule="auto"/>
              <w:jc w:val="left"/>
              <w:rPr>
                <w:rFonts w:hint="eastAsia" w:ascii="宋体" w:hAnsi="宋体" w:eastAsia="宋体" w:cs="宋体"/>
                <w:b w:val="0"/>
                <w:bCs w:val="0"/>
                <w:sz w:val="18"/>
                <w:szCs w:val="18"/>
                <w:vertAlign w:val="baseline"/>
                <w:lang w:val="en-US" w:eastAsia="zh-CN"/>
              </w:rPr>
            </w:pPr>
            <w:r>
              <w:rPr>
                <w:rStyle w:val="17"/>
                <w:rFonts w:hint="eastAsia" w:ascii="宋体" w:hAnsi="宋体" w:eastAsia="宋体" w:cs="宋体"/>
                <w:b w:val="0"/>
                <w:bCs w:val="0"/>
                <w:i w:val="0"/>
                <w:iCs w:val="0"/>
                <w:caps w:val="0"/>
                <w:color w:val="0F1115"/>
                <w:spacing w:val="0"/>
                <w:kern w:val="0"/>
                <w:sz w:val="18"/>
                <w:szCs w:val="18"/>
                <w:lang w:val="en-US" w:eastAsia="zh-CN" w:bidi="ar"/>
              </w:rPr>
              <w:t>记录审查</w:t>
            </w:r>
            <w:r>
              <w:rPr>
                <w:rFonts w:hint="eastAsia" w:ascii="宋体" w:hAnsi="宋体" w:eastAsia="宋体" w:cs="宋体"/>
                <w:b w:val="0"/>
                <w:bCs w:val="0"/>
                <w:i w:val="0"/>
                <w:iCs w:val="0"/>
                <w:caps w:val="0"/>
                <w:color w:val="0F1115"/>
                <w:spacing w:val="0"/>
                <w:kern w:val="0"/>
                <w:sz w:val="18"/>
                <w:szCs w:val="18"/>
                <w:lang w:val="en-US" w:eastAsia="zh-CN" w:bidi="ar"/>
              </w:rPr>
              <w:t>：抽查治疗记录，检查生命体征记录频率、凝血监测记录及并发症处理记录</w:t>
            </w:r>
          </w:p>
        </w:tc>
      </w:tr>
      <w:tr w14:paraId="1675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Align w:val="center"/>
          </w:tcPr>
          <w:p w14:paraId="35A72CC7">
            <w:pPr>
              <w:keepNext w:val="0"/>
              <w:keepLines w:val="0"/>
              <w:widowControl/>
              <w:suppressLineNumbers w:val="0"/>
              <w:spacing w:line="240" w:lineRule="auto"/>
              <w:jc w:val="center"/>
              <w:rPr>
                <w:rFonts w:hint="eastAsia" w:ascii="宋体" w:hAnsi="宋体" w:eastAsia="宋体" w:cs="宋体"/>
                <w:sz w:val="18"/>
                <w:szCs w:val="18"/>
                <w:vertAlign w:val="baseline"/>
                <w:lang w:val="en-US" w:eastAsia="zh-CN"/>
              </w:rPr>
            </w:pPr>
            <w:r>
              <w:rPr>
                <w:rFonts w:hint="eastAsia" w:ascii="宋体" w:hAnsi="宋体" w:cs="宋体"/>
                <w:i w:val="0"/>
                <w:iCs w:val="0"/>
                <w:caps w:val="0"/>
                <w:color w:val="0F1115"/>
                <w:spacing w:val="0"/>
                <w:kern w:val="0"/>
                <w:sz w:val="18"/>
                <w:szCs w:val="18"/>
                <w:lang w:val="en-US" w:eastAsia="zh-CN" w:bidi="ar"/>
              </w:rPr>
              <w:t>6</w:t>
            </w:r>
            <w:r>
              <w:rPr>
                <w:rFonts w:hint="eastAsia" w:ascii="宋体" w:hAnsi="宋体" w:eastAsia="宋体" w:cs="宋体"/>
                <w:i w:val="0"/>
                <w:iCs w:val="0"/>
                <w:caps w:val="0"/>
                <w:color w:val="0F1115"/>
                <w:spacing w:val="0"/>
                <w:kern w:val="0"/>
                <w:sz w:val="18"/>
                <w:szCs w:val="18"/>
                <w:lang w:val="en-US" w:eastAsia="zh-CN" w:bidi="ar"/>
              </w:rPr>
              <w:t>.2.7</w:t>
            </w:r>
          </w:p>
        </w:tc>
        <w:tc>
          <w:tcPr>
            <w:tcW w:w="3105" w:type="dxa"/>
            <w:vAlign w:val="center"/>
          </w:tcPr>
          <w:p w14:paraId="37EEEF16">
            <w:pPr>
              <w:keepNext w:val="0"/>
              <w:keepLines w:val="0"/>
              <w:widowControl/>
              <w:suppressLineNumbers w:val="0"/>
              <w:spacing w:line="240" w:lineRule="auto"/>
              <w:jc w:val="left"/>
              <w:rPr>
                <w:rFonts w:hint="eastAsia" w:ascii="宋体" w:hAnsi="宋体" w:eastAsia="宋体" w:cs="宋体"/>
                <w:sz w:val="18"/>
                <w:szCs w:val="18"/>
                <w:vertAlign w:val="baseline"/>
                <w:lang w:val="en-US" w:eastAsia="zh-CN"/>
              </w:rPr>
            </w:pPr>
            <w:r>
              <w:rPr>
                <w:rFonts w:hint="eastAsia" w:ascii="宋体" w:hAnsi="宋体" w:eastAsia="宋体" w:cs="宋体"/>
                <w:i w:val="0"/>
                <w:iCs w:val="0"/>
                <w:caps w:val="0"/>
                <w:color w:val="0F1115"/>
                <w:spacing w:val="0"/>
                <w:kern w:val="0"/>
                <w:sz w:val="18"/>
                <w:szCs w:val="18"/>
                <w:lang w:val="en-US" w:eastAsia="zh-CN" w:bidi="ar"/>
              </w:rPr>
              <w:t>治疗结束操作的规范性</w:t>
            </w:r>
          </w:p>
        </w:tc>
        <w:tc>
          <w:tcPr>
            <w:tcW w:w="5235" w:type="dxa"/>
            <w:vAlign w:val="center"/>
          </w:tcPr>
          <w:p w14:paraId="49398998">
            <w:pPr>
              <w:keepNext w:val="0"/>
              <w:keepLines w:val="0"/>
              <w:widowControl/>
              <w:suppressLineNumbers w:val="0"/>
              <w:spacing w:line="240" w:lineRule="auto"/>
              <w:jc w:val="left"/>
              <w:rPr>
                <w:rFonts w:hint="eastAsia" w:ascii="宋体" w:hAnsi="宋体" w:eastAsia="宋体" w:cs="宋体"/>
                <w:b w:val="0"/>
                <w:bCs w:val="0"/>
                <w:sz w:val="18"/>
                <w:szCs w:val="18"/>
                <w:vertAlign w:val="baseline"/>
                <w:lang w:val="en-US" w:eastAsia="zh-CN"/>
              </w:rPr>
            </w:pPr>
            <w:r>
              <w:rPr>
                <w:rStyle w:val="17"/>
                <w:rFonts w:hint="eastAsia" w:ascii="宋体" w:hAnsi="宋体" w:eastAsia="宋体" w:cs="宋体"/>
                <w:b w:val="0"/>
                <w:bCs w:val="0"/>
                <w:i w:val="0"/>
                <w:iCs w:val="0"/>
                <w:caps w:val="0"/>
                <w:color w:val="0F1115"/>
                <w:spacing w:val="0"/>
                <w:kern w:val="0"/>
                <w:sz w:val="18"/>
                <w:szCs w:val="18"/>
                <w:lang w:val="en-US" w:eastAsia="zh-CN" w:bidi="ar"/>
              </w:rPr>
              <w:t>现场观察</w:t>
            </w:r>
            <w:r>
              <w:rPr>
                <w:rFonts w:hint="eastAsia" w:ascii="宋体" w:hAnsi="宋体" w:eastAsia="宋体" w:cs="宋体"/>
                <w:b w:val="0"/>
                <w:bCs w:val="0"/>
                <w:i w:val="0"/>
                <w:iCs w:val="0"/>
                <w:caps w:val="0"/>
                <w:color w:val="0F1115"/>
                <w:spacing w:val="0"/>
                <w:kern w:val="0"/>
                <w:sz w:val="18"/>
                <w:szCs w:val="18"/>
                <w:lang w:val="en-US" w:eastAsia="zh-CN" w:bidi="ar"/>
              </w:rPr>
              <w:t>：不定期观察回血操作。</w:t>
            </w:r>
            <w:r>
              <w:rPr>
                <w:rFonts w:hint="eastAsia" w:ascii="宋体" w:hAnsi="宋体" w:eastAsia="宋体" w:cs="宋体"/>
                <w:b w:val="0"/>
                <w:bCs w:val="0"/>
                <w:i w:val="0"/>
                <w:iCs w:val="0"/>
                <w:caps w:val="0"/>
                <w:color w:val="0F1115"/>
                <w:spacing w:val="0"/>
                <w:kern w:val="0"/>
                <w:sz w:val="18"/>
                <w:szCs w:val="18"/>
                <w:lang w:val="en-US" w:eastAsia="zh-CN" w:bidi="ar"/>
              </w:rPr>
              <w:br w:type="textWrapping"/>
            </w:r>
            <w:r>
              <w:rPr>
                <w:rStyle w:val="17"/>
                <w:rFonts w:hint="eastAsia" w:ascii="宋体" w:hAnsi="宋体" w:eastAsia="宋体" w:cs="宋体"/>
                <w:b w:val="0"/>
                <w:bCs w:val="0"/>
                <w:i w:val="0"/>
                <w:iCs w:val="0"/>
                <w:caps w:val="0"/>
                <w:color w:val="0F1115"/>
                <w:spacing w:val="0"/>
                <w:kern w:val="0"/>
                <w:sz w:val="18"/>
                <w:szCs w:val="18"/>
                <w:lang w:val="en-US" w:eastAsia="zh-CN" w:bidi="ar"/>
              </w:rPr>
              <w:t>记录审查</w:t>
            </w:r>
            <w:r>
              <w:rPr>
                <w:rFonts w:hint="eastAsia" w:ascii="宋体" w:hAnsi="宋体" w:eastAsia="宋体" w:cs="宋体"/>
                <w:b w:val="0"/>
                <w:bCs w:val="0"/>
                <w:i w:val="0"/>
                <w:iCs w:val="0"/>
                <w:caps w:val="0"/>
                <w:color w:val="0F1115"/>
                <w:spacing w:val="0"/>
                <w:kern w:val="0"/>
                <w:sz w:val="18"/>
                <w:szCs w:val="18"/>
                <w:lang w:val="en-US" w:eastAsia="zh-CN" w:bidi="ar"/>
              </w:rPr>
              <w:t>：检查记录完整性</w:t>
            </w:r>
          </w:p>
        </w:tc>
      </w:tr>
      <w:tr w14:paraId="6F8D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Align w:val="center"/>
          </w:tcPr>
          <w:p w14:paraId="1EA35CEB">
            <w:pPr>
              <w:keepNext w:val="0"/>
              <w:keepLines w:val="0"/>
              <w:widowControl/>
              <w:suppressLineNumbers w:val="0"/>
              <w:spacing w:line="240" w:lineRule="auto"/>
              <w:jc w:val="center"/>
              <w:rPr>
                <w:rFonts w:hint="eastAsia" w:ascii="宋体" w:hAnsi="宋体" w:eastAsia="宋体" w:cs="宋体"/>
                <w:i w:val="0"/>
                <w:iCs w:val="0"/>
                <w:caps w:val="0"/>
                <w:color w:val="0F1115"/>
                <w:spacing w:val="0"/>
                <w:kern w:val="0"/>
                <w:sz w:val="18"/>
                <w:szCs w:val="18"/>
                <w:lang w:val="en-US" w:eastAsia="zh-CN" w:bidi="ar"/>
              </w:rPr>
            </w:pPr>
            <w:r>
              <w:rPr>
                <w:rFonts w:hint="eastAsia" w:ascii="宋体" w:hAnsi="宋体" w:cs="宋体"/>
                <w:i w:val="0"/>
                <w:iCs w:val="0"/>
                <w:caps w:val="0"/>
                <w:color w:val="0F1115"/>
                <w:spacing w:val="0"/>
                <w:kern w:val="0"/>
                <w:sz w:val="18"/>
                <w:szCs w:val="18"/>
                <w:lang w:val="en-US" w:eastAsia="zh-CN" w:bidi="ar"/>
              </w:rPr>
              <w:t>8</w:t>
            </w:r>
            <w:r>
              <w:rPr>
                <w:rFonts w:hint="eastAsia" w:ascii="宋体" w:hAnsi="宋体" w:eastAsia="宋体" w:cs="宋体"/>
                <w:i w:val="0"/>
                <w:iCs w:val="0"/>
                <w:caps w:val="0"/>
                <w:color w:val="0F1115"/>
                <w:spacing w:val="0"/>
                <w:kern w:val="0"/>
                <w:sz w:val="18"/>
                <w:szCs w:val="18"/>
                <w:lang w:val="en-US" w:eastAsia="zh-CN" w:bidi="ar"/>
              </w:rPr>
              <w:t>.1.1</w:t>
            </w:r>
          </w:p>
        </w:tc>
        <w:tc>
          <w:tcPr>
            <w:tcW w:w="3105" w:type="dxa"/>
            <w:vAlign w:val="center"/>
          </w:tcPr>
          <w:p w14:paraId="52BBA35B">
            <w:pPr>
              <w:keepNext w:val="0"/>
              <w:keepLines w:val="0"/>
              <w:widowControl/>
              <w:suppressLineNumbers w:val="0"/>
              <w:spacing w:line="240" w:lineRule="auto"/>
              <w:jc w:val="left"/>
              <w:rPr>
                <w:rFonts w:hint="eastAsia" w:ascii="宋体" w:hAnsi="宋体" w:eastAsia="宋体" w:cs="宋体"/>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医疗文书的书写质量</w:t>
            </w:r>
          </w:p>
        </w:tc>
        <w:tc>
          <w:tcPr>
            <w:tcW w:w="5235" w:type="dxa"/>
            <w:vAlign w:val="center"/>
          </w:tcPr>
          <w:p w14:paraId="4280CEE9">
            <w:pPr>
              <w:keepNext w:val="0"/>
              <w:keepLines w:val="0"/>
              <w:widowControl/>
              <w:suppressLineNumbers w:val="0"/>
              <w:spacing w:line="240" w:lineRule="auto"/>
              <w:jc w:val="left"/>
              <w:rPr>
                <w:rStyle w:val="17"/>
                <w:rFonts w:hint="eastAsia" w:ascii="宋体" w:hAnsi="宋体" w:eastAsia="宋体" w:cs="宋体"/>
                <w:b w:val="0"/>
                <w:bCs w:val="0"/>
                <w:i w:val="0"/>
                <w:iCs w:val="0"/>
                <w:caps w:val="0"/>
                <w:color w:val="0F1115"/>
                <w:spacing w:val="0"/>
                <w:kern w:val="0"/>
                <w:sz w:val="18"/>
                <w:szCs w:val="18"/>
                <w:lang w:val="en-US" w:eastAsia="zh-CN" w:bidi="ar"/>
              </w:rPr>
            </w:pPr>
            <w:r>
              <w:rPr>
                <w:rStyle w:val="17"/>
                <w:rFonts w:hint="eastAsia" w:ascii="宋体" w:hAnsi="宋体" w:eastAsia="宋体" w:cs="宋体"/>
                <w:b w:val="0"/>
                <w:bCs w:val="0"/>
                <w:i w:val="0"/>
                <w:iCs w:val="0"/>
                <w:caps w:val="0"/>
                <w:color w:val="0F1115"/>
                <w:spacing w:val="0"/>
                <w:kern w:val="0"/>
                <w:sz w:val="18"/>
                <w:szCs w:val="18"/>
                <w:lang w:val="en-US" w:eastAsia="zh-CN" w:bidi="ar"/>
              </w:rPr>
              <w:t>记录审查</w:t>
            </w:r>
            <w:r>
              <w:rPr>
                <w:rFonts w:hint="eastAsia" w:ascii="宋体" w:hAnsi="宋体" w:eastAsia="宋体" w:cs="宋体"/>
                <w:b w:val="0"/>
                <w:bCs w:val="0"/>
                <w:i w:val="0"/>
                <w:iCs w:val="0"/>
                <w:caps w:val="0"/>
                <w:color w:val="0F1115"/>
                <w:spacing w:val="0"/>
                <w:kern w:val="0"/>
                <w:sz w:val="18"/>
                <w:szCs w:val="18"/>
                <w:lang w:val="en-US" w:eastAsia="zh-CN" w:bidi="ar"/>
              </w:rPr>
              <w:t>：定期进行病历质量抽查，聚焦于本技术相关文书</w:t>
            </w:r>
          </w:p>
        </w:tc>
      </w:tr>
    </w:tbl>
    <w:p w14:paraId="3CE9CE9F">
      <w:pPr>
        <w:pStyle w:val="28"/>
        <w:ind w:left="0" w:leftChars="0" w:firstLine="0" w:firstLineChars="0"/>
        <w:rPr>
          <w:rFonts w:hint="eastAsia"/>
          <w:lang w:val="en-US" w:eastAsia="zh-CN"/>
        </w:rPr>
      </w:pPr>
    </w:p>
    <w:p w14:paraId="71CF479B">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97" w:name="_Toc421"/>
      <w:r>
        <w:rPr>
          <w:rFonts w:hint="eastAsia"/>
          <w:lang w:val="en-US" w:eastAsia="zh-CN"/>
        </w:rPr>
        <w:t>质量监控指标</w:t>
      </w:r>
      <w:bookmarkEnd w:id="97"/>
    </w:p>
    <w:p w14:paraId="0DA730FE">
      <w:pPr>
        <w:pStyle w:val="31"/>
        <w:keepNext w:val="0"/>
        <w:keepLines w:val="0"/>
        <w:pageBreakBefore w:val="0"/>
        <w:widowControl/>
        <w:numPr>
          <w:ilvl w:val="3"/>
          <w:numId w:val="5"/>
        </w:numPr>
        <w:kinsoku/>
        <w:wordWrap/>
        <w:overflowPunct/>
        <w:topLinePunct w:val="0"/>
        <w:autoSpaceDE/>
        <w:autoSpaceDN/>
        <w:bidi w:val="0"/>
        <w:adjustRightInd/>
        <w:snapToGrid/>
        <w:spacing w:beforeLines="0" w:afterLines="0"/>
        <w:ind w:left="0" w:leftChars="0" w:firstLine="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应定期统计与分析以下指标：</w:t>
      </w:r>
    </w:p>
    <w:p w14:paraId="27DFC765">
      <w:pPr>
        <w:pStyle w:val="12"/>
        <w:keepNext w:val="0"/>
        <w:keepLines w:val="0"/>
        <w:pageBreakBefore w:val="0"/>
        <w:widowControl w:val="0"/>
        <w:numPr>
          <w:ilvl w:val="0"/>
          <w:numId w:val="21"/>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治疗处方符合率；</w:t>
      </w:r>
    </w:p>
    <w:p w14:paraId="70883B59">
      <w:pPr>
        <w:pStyle w:val="12"/>
        <w:keepNext w:val="0"/>
        <w:keepLines w:val="0"/>
        <w:pageBreakBefore w:val="0"/>
        <w:widowControl w:val="0"/>
        <w:numPr>
          <w:ilvl w:val="0"/>
          <w:numId w:val="21"/>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严重并发症发生率；</w:t>
      </w:r>
    </w:p>
    <w:p w14:paraId="45B1B945">
      <w:pPr>
        <w:pStyle w:val="12"/>
        <w:keepNext w:val="0"/>
        <w:keepLines w:val="0"/>
        <w:pageBreakBefore w:val="0"/>
        <w:widowControl w:val="0"/>
        <w:numPr>
          <w:ilvl w:val="0"/>
          <w:numId w:val="21"/>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治疗记录完整率。</w:t>
      </w:r>
    </w:p>
    <w:p w14:paraId="67B4512E">
      <w:pPr>
        <w:pStyle w:val="31"/>
        <w:keepNext w:val="0"/>
        <w:keepLines w:val="0"/>
        <w:pageBreakBefore w:val="0"/>
        <w:widowControl/>
        <w:numPr>
          <w:ilvl w:val="2"/>
          <w:numId w:val="5"/>
        </w:numPr>
        <w:kinsoku/>
        <w:wordWrap/>
        <w:overflowPunct/>
        <w:topLinePunct w:val="0"/>
        <w:autoSpaceDE/>
        <w:autoSpaceDN/>
        <w:bidi w:val="0"/>
        <w:adjustRightInd/>
        <w:snapToGrid/>
        <w:spacing w:before="157" w:beforeLines="50" w:after="157" w:afterLines="50"/>
        <w:ind w:left="782" w:leftChars="0" w:hanging="782"/>
        <w:textAlignment w:val="auto"/>
        <w:outlineLvl w:val="1"/>
        <w:rPr>
          <w:rFonts w:hint="eastAsia"/>
          <w:lang w:val="en-US" w:eastAsia="zh-CN"/>
        </w:rPr>
      </w:pPr>
      <w:bookmarkStart w:id="98" w:name="_Toc9012"/>
      <w:r>
        <w:rPr>
          <w:rFonts w:hint="eastAsia"/>
          <w:lang w:val="en-US" w:eastAsia="zh-CN"/>
        </w:rPr>
        <w:t>不良事件管理</w:t>
      </w:r>
      <w:bookmarkEnd w:id="98"/>
    </w:p>
    <w:p w14:paraId="1EF4E469">
      <w:pPr>
        <w:pStyle w:val="31"/>
        <w:keepNext w:val="0"/>
        <w:keepLines w:val="0"/>
        <w:pageBreakBefore w:val="0"/>
        <w:widowControl/>
        <w:numPr>
          <w:ilvl w:val="0"/>
          <w:numId w:val="0"/>
        </w:numPr>
        <w:kinsoku/>
        <w:wordWrap/>
        <w:overflowPunct/>
        <w:topLinePunct w:val="0"/>
        <w:autoSpaceDE/>
        <w:autoSpaceDN/>
        <w:bidi w:val="0"/>
        <w:adjustRightInd/>
        <w:snapToGrid/>
        <w:spacing w:beforeLines="0" w:afterLines="0"/>
        <w:ind w:leftChars="0" w:firstLine="420" w:firstLineChars="200"/>
        <w:textAlignment w:val="auto"/>
        <w:outlineLvl w:val="2"/>
        <w:rPr>
          <w:rFonts w:hint="eastAsia" w:ascii="宋体" w:hAnsi="宋体" w:eastAsia="宋体" w:cs="宋体"/>
          <w:lang w:val="en-US" w:eastAsia="zh-CN"/>
        </w:rPr>
      </w:pPr>
      <w:r>
        <w:rPr>
          <w:rFonts w:hint="eastAsia" w:ascii="宋体" w:hAnsi="宋体" w:eastAsia="宋体" w:cs="宋体"/>
          <w:lang w:val="en-US" w:eastAsia="zh-CN"/>
        </w:rPr>
        <w:t>所有操作相关不良事件与并发症均应记录，并进行原因分析，落实改进措施。</w:t>
      </w:r>
    </w:p>
    <w:p w14:paraId="12ACA8BB">
      <w:pPr>
        <w:pStyle w:val="12"/>
        <w:keepNext/>
        <w:keepLines w:val="0"/>
        <w:widowControl/>
        <w:numPr>
          <w:ilvl w:val="0"/>
          <w:numId w:val="22"/>
        </w:numPr>
        <w:suppressLineNumbers w:val="0"/>
        <w:shd w:val="clear" w:fill="FFFFFF"/>
        <w:tabs>
          <w:tab w:val="left" w:pos="360"/>
          <w:tab w:val="left" w:pos="6405"/>
        </w:tabs>
        <w:spacing w:before="640" w:beforeAutospacing="0" w:after="360" w:afterAutospacing="0" w:line="240" w:lineRule="auto"/>
        <w:ind w:left="0" w:right="0" w:firstLine="0"/>
        <w:jc w:val="center"/>
        <w:outlineLvl w:val="0"/>
        <w:rPr>
          <w:rFonts w:hint="eastAsia" w:ascii="黑体" w:hAnsi="Times New Roman" w:eastAsia="黑体" w:cs="Times New Roman"/>
          <w:kern w:val="0"/>
          <w:sz w:val="21"/>
          <w:szCs w:val="21"/>
        </w:rPr>
      </w:pPr>
      <w:r>
        <w:br w:type="page"/>
      </w:r>
      <w:bookmarkStart w:id="99" w:name="_Toc2184"/>
      <w:bookmarkStart w:id="100" w:name="_Toc9419"/>
      <w:bookmarkStart w:id="101" w:name="_Toc25326"/>
      <w:bookmarkStart w:id="102" w:name="_Toc6631"/>
      <w:r>
        <w:rPr>
          <w:rFonts w:hint="eastAsia" w:ascii="黑体" w:hAnsi="Times New Roman" w:eastAsia="黑体" w:cs="Times New Roman"/>
          <w:kern w:val="0"/>
          <w:sz w:val="21"/>
          <w:szCs w:val="21"/>
          <w:shd w:val="clear" w:fill="auto"/>
          <w:lang w:val="en-US" w:eastAsia="zh-CN" w:bidi="ar"/>
        </w:rPr>
        <w:br w:type="textWrapping"/>
      </w:r>
      <w:r>
        <w:rPr>
          <w:rFonts w:hint="eastAsia" w:ascii="黑体" w:hAnsi="宋体" w:eastAsia="黑体" w:cs="黑体"/>
          <w:kern w:val="0"/>
          <w:sz w:val="21"/>
          <w:szCs w:val="21"/>
          <w:shd w:val="clear" w:fill="auto"/>
          <w:lang w:val="en-US" w:eastAsia="zh-CN" w:bidi="ar"/>
        </w:rPr>
        <w:t>（资料性）</w:t>
      </w:r>
      <w:r>
        <w:rPr>
          <w:rFonts w:hint="eastAsia" w:ascii="黑体" w:hAnsi="Times New Roman" w:eastAsia="黑体" w:cs="Times New Roman"/>
          <w:kern w:val="0"/>
          <w:sz w:val="21"/>
          <w:szCs w:val="21"/>
          <w:shd w:val="clear" w:fill="auto"/>
          <w:lang w:val="en-US" w:eastAsia="zh-CN" w:bidi="ar"/>
        </w:rPr>
        <w:br w:type="textWrapping"/>
      </w:r>
      <w:r>
        <w:rPr>
          <w:rFonts w:hint="eastAsia" w:ascii="黑体" w:hAnsi="宋体" w:eastAsia="黑体" w:cs="黑体"/>
          <w:kern w:val="0"/>
          <w:sz w:val="21"/>
          <w:szCs w:val="21"/>
          <w:shd w:val="clear" w:fill="auto"/>
          <w:lang w:val="en-US" w:eastAsia="zh-CN" w:bidi="ar"/>
        </w:rPr>
        <w:t>全自动离心式血浆置换治疗档案</w:t>
      </w:r>
      <w:bookmarkEnd w:id="99"/>
    </w:p>
    <w:bookmarkEnd w:id="100"/>
    <w:bookmarkEnd w:id="101"/>
    <w:bookmarkEnd w:id="102"/>
    <w:p w14:paraId="325A7767">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spacing w:before="312" w:beforeLines="100" w:beforeAutospacing="0" w:after="312" w:afterLines="100" w:afterAutospacing="0" w:line="240" w:lineRule="auto"/>
        <w:ind w:left="0" w:right="0" w:firstLine="0"/>
        <w:jc w:val="left"/>
        <w:textAlignment w:val="auto"/>
        <w:outlineLvl w:val="2"/>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治疗前评估表</w:t>
      </w:r>
    </w:p>
    <w:p w14:paraId="0BD09D8A">
      <w:pPr>
        <w:pStyle w:val="12"/>
        <w:keepNext/>
        <w:keepLines w:val="0"/>
        <w:pageBreakBefore w:val="0"/>
        <w:widowControl/>
        <w:numPr>
          <w:ilvl w:val="0"/>
          <w:numId w:val="0"/>
        </w:numPr>
        <w:suppressLineNumbers w:val="0"/>
        <w:shd w:val="clear" w:fill="FFFFFF"/>
        <w:kinsoku/>
        <w:wordWrap/>
        <w:overflowPunct/>
        <w:topLinePunct w:val="0"/>
        <w:autoSpaceDE/>
        <w:autoSpaceDN/>
        <w:bidi w:val="0"/>
        <w:adjustRightInd w:val="0"/>
        <w:snapToGrid/>
        <w:spacing w:beforeLines="0" w:beforeAutospacing="0" w:afterLines="0" w:afterAutospacing="0" w:line="240" w:lineRule="auto"/>
        <w:ind w:leftChars="0" w:right="0" w:rightChars="0" w:firstLine="420" w:firstLineChars="0"/>
        <w:jc w:val="left"/>
        <w:textAlignment w:val="auto"/>
        <w:outlineLvl w:val="9"/>
        <w:rPr>
          <w:rFonts w:hint="eastAsia" w:ascii="宋体" w:hAnsi="宋体" w:eastAsia="宋体" w:cs="宋体"/>
          <w:kern w:val="0"/>
          <w:sz w:val="21"/>
          <w:szCs w:val="21"/>
          <w:shd w:val="clear" w:fill="auto"/>
          <w:lang w:val="en-US" w:eastAsia="zh-CN" w:bidi="ar"/>
        </w:rPr>
      </w:pPr>
      <w:r>
        <w:rPr>
          <w:rFonts w:hint="eastAsia" w:ascii="宋体" w:hAnsi="宋体" w:eastAsia="宋体" w:cs="宋体"/>
          <w:kern w:val="0"/>
          <w:sz w:val="21"/>
          <w:szCs w:val="21"/>
          <w:shd w:val="clear" w:fill="auto"/>
          <w:lang w:val="en-US" w:eastAsia="zh-CN" w:bidi="ar"/>
        </w:rPr>
        <w:t>全自动离心式血浆置换治疗前评估表见表A.1。</w:t>
      </w:r>
    </w:p>
    <w:p w14:paraId="543B4088">
      <w:pPr>
        <w:keepNext w:val="0"/>
        <w:keepLines w:val="0"/>
        <w:pageBreakBefore w:val="0"/>
        <w:widowControl w:val="0"/>
        <w:kinsoku/>
        <w:wordWrap/>
        <w:overflowPunct/>
        <w:topLinePunct w:val="0"/>
        <w:autoSpaceDE/>
        <w:autoSpaceDN/>
        <w:bidi w:val="0"/>
        <w:adjustRightInd w:val="0"/>
        <w:snapToGrid/>
        <w:spacing w:before="157" w:beforeLines="50" w:after="157" w:afterLines="50" w:line="240" w:lineRule="auto"/>
        <w:jc w:val="center"/>
        <w:textAlignment w:val="auto"/>
        <w:rPr>
          <w:rFonts w:hint="eastAsia" w:ascii="黑体" w:hAnsi="宋体" w:eastAsia="黑体" w:cs="黑体"/>
          <w:kern w:val="0"/>
          <w:sz w:val="21"/>
          <w:szCs w:val="21"/>
          <w:shd w:val="clear" w:fill="auto"/>
          <w:lang w:val="en-US" w:eastAsia="zh-CN" w:bidi="ar"/>
        </w:rPr>
      </w:pPr>
      <w:r>
        <w:rPr>
          <w:rFonts w:hint="eastAsia" w:ascii="黑体" w:hAnsi="宋体" w:eastAsia="黑体" w:cs="黑体"/>
          <w:kern w:val="0"/>
          <w:sz w:val="21"/>
          <w:szCs w:val="21"/>
          <w:shd w:val="clear" w:fill="auto"/>
          <w:lang w:val="en-US" w:eastAsia="zh-CN" w:bidi="ar"/>
        </w:rPr>
        <w:t>表A.1　全自动离心式血浆置换治疗前评估表</w:t>
      </w:r>
    </w:p>
    <w:tbl>
      <w:tblPr>
        <w:tblStyle w:val="14"/>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1848"/>
        <w:gridCol w:w="855"/>
        <w:gridCol w:w="1260"/>
        <w:gridCol w:w="1022"/>
        <w:gridCol w:w="2833"/>
      </w:tblGrid>
      <w:tr w14:paraId="1EC3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85" w:type="dxa"/>
            <w:gridSpan w:val="6"/>
            <w:noWrap w:val="0"/>
            <w:vAlign w:val="center"/>
          </w:tcPr>
          <w:p w14:paraId="01070CF4">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治疗评估表</w:t>
            </w:r>
          </w:p>
        </w:tc>
      </w:tr>
      <w:tr w14:paraId="1A23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noWrap w:val="0"/>
            <w:vAlign w:val="center"/>
          </w:tcPr>
          <w:p w14:paraId="50AA3366">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姓名</w:t>
            </w:r>
          </w:p>
        </w:tc>
        <w:tc>
          <w:tcPr>
            <w:tcW w:w="1848" w:type="dxa"/>
            <w:noWrap w:val="0"/>
            <w:vAlign w:val="center"/>
          </w:tcPr>
          <w:p w14:paraId="287B3DC8">
            <w:pPr>
              <w:spacing w:line="240" w:lineRule="auto"/>
              <w:jc w:val="center"/>
              <w:rPr>
                <w:rFonts w:hint="eastAsia" w:ascii="宋体" w:hAnsi="宋体" w:eastAsia="宋体" w:cs="宋体"/>
                <w:sz w:val="18"/>
                <w:szCs w:val="18"/>
              </w:rPr>
            </w:pPr>
          </w:p>
        </w:tc>
        <w:tc>
          <w:tcPr>
            <w:tcW w:w="855" w:type="dxa"/>
            <w:noWrap w:val="0"/>
            <w:vAlign w:val="center"/>
          </w:tcPr>
          <w:p w14:paraId="7336B25F">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性别</w:t>
            </w:r>
          </w:p>
        </w:tc>
        <w:tc>
          <w:tcPr>
            <w:tcW w:w="1260" w:type="dxa"/>
            <w:noWrap w:val="0"/>
            <w:vAlign w:val="center"/>
          </w:tcPr>
          <w:p w14:paraId="4EBC37E9">
            <w:pPr>
              <w:spacing w:line="240" w:lineRule="auto"/>
              <w:jc w:val="center"/>
              <w:rPr>
                <w:rFonts w:hint="eastAsia" w:ascii="宋体" w:hAnsi="宋体" w:eastAsia="宋体" w:cs="宋体"/>
                <w:sz w:val="18"/>
                <w:szCs w:val="18"/>
              </w:rPr>
            </w:pPr>
          </w:p>
        </w:tc>
        <w:tc>
          <w:tcPr>
            <w:tcW w:w="1022" w:type="dxa"/>
            <w:noWrap w:val="0"/>
            <w:vAlign w:val="center"/>
          </w:tcPr>
          <w:p w14:paraId="7E103FE4">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年龄</w:t>
            </w:r>
          </w:p>
        </w:tc>
        <w:tc>
          <w:tcPr>
            <w:tcW w:w="2833" w:type="dxa"/>
            <w:noWrap w:val="0"/>
            <w:vAlign w:val="center"/>
          </w:tcPr>
          <w:p w14:paraId="5A3824D0">
            <w:pPr>
              <w:spacing w:line="240" w:lineRule="auto"/>
              <w:jc w:val="center"/>
              <w:rPr>
                <w:rFonts w:hint="eastAsia" w:ascii="宋体" w:hAnsi="宋体" w:eastAsia="宋体" w:cs="宋体"/>
                <w:sz w:val="18"/>
                <w:szCs w:val="18"/>
              </w:rPr>
            </w:pPr>
          </w:p>
        </w:tc>
      </w:tr>
      <w:tr w14:paraId="1FF4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noWrap w:val="0"/>
            <w:vAlign w:val="center"/>
          </w:tcPr>
          <w:p w14:paraId="0A0C995B">
            <w:pPr>
              <w:spacing w:line="240" w:lineRule="auto"/>
              <w:jc w:val="center"/>
              <w:rPr>
                <w:rFonts w:hint="eastAsia" w:ascii="宋体" w:hAnsi="宋体" w:eastAsia="宋体" w:cs="宋体"/>
                <w:sz w:val="18"/>
                <w:szCs w:val="18"/>
              </w:rPr>
            </w:pPr>
            <w:r>
              <w:rPr>
                <w:rFonts w:hint="eastAsia" w:ascii="宋体" w:hAnsi="宋体" w:eastAsia="宋体" w:cs="宋体"/>
                <w:sz w:val="18"/>
                <w:szCs w:val="18"/>
              </w:rPr>
              <w:t>评估类别</w:t>
            </w:r>
          </w:p>
        </w:tc>
        <w:tc>
          <w:tcPr>
            <w:tcW w:w="4985" w:type="dxa"/>
            <w:gridSpan w:val="4"/>
            <w:noWrap w:val="0"/>
            <w:vAlign w:val="center"/>
          </w:tcPr>
          <w:p w14:paraId="5FA7B72C">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指标</w:t>
            </w:r>
          </w:p>
        </w:tc>
        <w:tc>
          <w:tcPr>
            <w:tcW w:w="2833" w:type="dxa"/>
            <w:noWrap w:val="0"/>
            <w:vAlign w:val="center"/>
          </w:tcPr>
          <w:p w14:paraId="159AEAD0">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判定结果</w:t>
            </w:r>
          </w:p>
        </w:tc>
      </w:tr>
      <w:tr w14:paraId="1306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restart"/>
            <w:noWrap w:val="0"/>
            <w:vAlign w:val="center"/>
          </w:tcPr>
          <w:p w14:paraId="45B53F3A">
            <w:pPr>
              <w:spacing w:line="240" w:lineRule="auto"/>
              <w:jc w:val="center"/>
              <w:rPr>
                <w:rFonts w:hint="eastAsia" w:ascii="宋体" w:hAnsi="宋体" w:eastAsia="宋体" w:cs="宋体"/>
                <w:sz w:val="18"/>
                <w:szCs w:val="18"/>
              </w:rPr>
            </w:pPr>
            <w:r>
              <w:rPr>
                <w:rFonts w:hint="eastAsia" w:ascii="宋体" w:hAnsi="宋体" w:eastAsia="宋体" w:cs="宋体"/>
                <w:sz w:val="18"/>
                <w:szCs w:val="18"/>
              </w:rPr>
              <w:t>病史</w:t>
            </w:r>
          </w:p>
        </w:tc>
        <w:tc>
          <w:tcPr>
            <w:tcW w:w="4985" w:type="dxa"/>
            <w:gridSpan w:val="4"/>
            <w:noWrap w:val="0"/>
            <w:vAlign w:val="center"/>
          </w:tcPr>
          <w:p w14:paraId="5577E4EB">
            <w:pPr>
              <w:spacing w:line="240" w:lineRule="auto"/>
              <w:jc w:val="left"/>
              <w:rPr>
                <w:rFonts w:hint="eastAsia" w:ascii="宋体" w:hAnsi="宋体" w:eastAsia="宋体" w:cs="宋体"/>
                <w:sz w:val="18"/>
                <w:szCs w:val="18"/>
              </w:rPr>
            </w:pPr>
            <w:r>
              <w:rPr>
                <w:rFonts w:hint="eastAsia" w:ascii="宋体" w:hAnsi="宋体" w:eastAsia="宋体" w:cs="宋体"/>
                <w:sz w:val="18"/>
                <w:szCs w:val="18"/>
              </w:rPr>
              <w:t>年龄小于</w:t>
            </w:r>
            <w:r>
              <w:rPr>
                <w:rFonts w:hint="eastAsia" w:ascii="宋体" w:hAnsi="宋体" w:eastAsia="宋体" w:cs="宋体"/>
                <w:sz w:val="18"/>
                <w:szCs w:val="18"/>
                <w:lang w:val="en-US" w:eastAsia="zh-CN"/>
              </w:rPr>
              <w:t>80</w:t>
            </w:r>
            <w:r>
              <w:rPr>
                <w:rFonts w:hint="eastAsia" w:ascii="宋体" w:hAnsi="宋体" w:eastAsia="宋体" w:cs="宋体"/>
                <w:sz w:val="18"/>
                <w:szCs w:val="18"/>
              </w:rPr>
              <w:t>岁</w:t>
            </w:r>
          </w:p>
        </w:tc>
        <w:tc>
          <w:tcPr>
            <w:tcW w:w="2833" w:type="dxa"/>
            <w:noWrap w:val="0"/>
            <w:vAlign w:val="center"/>
          </w:tcPr>
          <w:p w14:paraId="1A33B2B8">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06D3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7EF1F786">
            <w:pPr>
              <w:spacing w:line="240" w:lineRule="auto"/>
              <w:jc w:val="center"/>
              <w:rPr>
                <w:rFonts w:hint="eastAsia" w:ascii="宋体" w:hAnsi="宋体" w:eastAsia="宋体" w:cs="宋体"/>
                <w:sz w:val="18"/>
                <w:szCs w:val="18"/>
              </w:rPr>
            </w:pPr>
          </w:p>
        </w:tc>
        <w:tc>
          <w:tcPr>
            <w:tcW w:w="4985" w:type="dxa"/>
            <w:gridSpan w:val="4"/>
            <w:noWrap w:val="0"/>
            <w:vAlign w:val="center"/>
          </w:tcPr>
          <w:p w14:paraId="3083C3CA">
            <w:pPr>
              <w:spacing w:line="240" w:lineRule="auto"/>
              <w:jc w:val="left"/>
              <w:rPr>
                <w:rFonts w:hint="eastAsia" w:ascii="宋体" w:hAnsi="宋体" w:eastAsia="宋体" w:cs="宋体"/>
                <w:sz w:val="18"/>
                <w:szCs w:val="18"/>
              </w:rPr>
            </w:pPr>
            <w:r>
              <w:rPr>
                <w:rFonts w:hint="eastAsia" w:ascii="宋体" w:hAnsi="宋体" w:eastAsia="宋体" w:cs="宋体"/>
                <w:sz w:val="18"/>
                <w:szCs w:val="18"/>
              </w:rPr>
              <w:t>无急性或严重心脑血管疾病</w:t>
            </w:r>
          </w:p>
        </w:tc>
        <w:tc>
          <w:tcPr>
            <w:tcW w:w="2833" w:type="dxa"/>
            <w:noWrap w:val="0"/>
            <w:vAlign w:val="center"/>
          </w:tcPr>
          <w:p w14:paraId="2DA6DD86">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1271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25C0E5CF">
            <w:pPr>
              <w:spacing w:line="240" w:lineRule="auto"/>
              <w:jc w:val="center"/>
              <w:rPr>
                <w:rFonts w:hint="eastAsia" w:ascii="宋体" w:hAnsi="宋体" w:eastAsia="宋体" w:cs="宋体"/>
                <w:sz w:val="18"/>
                <w:szCs w:val="18"/>
              </w:rPr>
            </w:pPr>
          </w:p>
        </w:tc>
        <w:tc>
          <w:tcPr>
            <w:tcW w:w="4985" w:type="dxa"/>
            <w:gridSpan w:val="4"/>
            <w:noWrap w:val="0"/>
            <w:vAlign w:val="center"/>
          </w:tcPr>
          <w:p w14:paraId="69EB0E37">
            <w:pPr>
              <w:spacing w:line="240" w:lineRule="auto"/>
              <w:jc w:val="left"/>
              <w:rPr>
                <w:rFonts w:hint="eastAsia" w:ascii="宋体" w:hAnsi="宋体" w:eastAsia="宋体" w:cs="宋体"/>
                <w:sz w:val="18"/>
                <w:szCs w:val="18"/>
              </w:rPr>
            </w:pPr>
            <w:r>
              <w:rPr>
                <w:rFonts w:hint="eastAsia" w:ascii="宋体" w:hAnsi="宋体" w:eastAsia="宋体" w:cs="宋体"/>
                <w:sz w:val="18"/>
                <w:szCs w:val="18"/>
              </w:rPr>
              <w:t>无食物药物过敏史</w:t>
            </w:r>
          </w:p>
        </w:tc>
        <w:tc>
          <w:tcPr>
            <w:tcW w:w="2833" w:type="dxa"/>
            <w:noWrap w:val="0"/>
            <w:vAlign w:val="center"/>
          </w:tcPr>
          <w:p w14:paraId="520EFAD1">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有（     ） 无</w:t>
            </w:r>
          </w:p>
        </w:tc>
      </w:tr>
      <w:tr w14:paraId="6D85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57D849EF">
            <w:pPr>
              <w:spacing w:line="240" w:lineRule="auto"/>
              <w:jc w:val="center"/>
              <w:rPr>
                <w:rFonts w:hint="eastAsia" w:ascii="宋体" w:hAnsi="宋体" w:eastAsia="宋体" w:cs="宋体"/>
                <w:sz w:val="18"/>
                <w:szCs w:val="18"/>
              </w:rPr>
            </w:pPr>
          </w:p>
        </w:tc>
        <w:tc>
          <w:tcPr>
            <w:tcW w:w="4985" w:type="dxa"/>
            <w:gridSpan w:val="4"/>
            <w:noWrap w:val="0"/>
            <w:vAlign w:val="center"/>
          </w:tcPr>
          <w:p w14:paraId="091CD060">
            <w:pPr>
              <w:spacing w:line="240" w:lineRule="auto"/>
              <w:jc w:val="left"/>
              <w:rPr>
                <w:rFonts w:hint="eastAsia" w:ascii="宋体" w:hAnsi="宋体" w:eastAsia="宋体" w:cs="宋体"/>
                <w:sz w:val="18"/>
                <w:szCs w:val="18"/>
              </w:rPr>
            </w:pPr>
            <w:r>
              <w:rPr>
                <w:rFonts w:hint="eastAsia" w:ascii="宋体" w:hAnsi="宋体" w:eastAsia="宋体" w:cs="宋体"/>
                <w:sz w:val="18"/>
                <w:szCs w:val="18"/>
              </w:rPr>
              <w:t>无牙龈出血等症状</w:t>
            </w:r>
          </w:p>
        </w:tc>
        <w:tc>
          <w:tcPr>
            <w:tcW w:w="2833" w:type="dxa"/>
            <w:noWrap w:val="0"/>
            <w:vAlign w:val="center"/>
          </w:tcPr>
          <w:p w14:paraId="7B4E2F0A">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7E74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54099E7B">
            <w:pPr>
              <w:spacing w:line="240" w:lineRule="auto"/>
              <w:jc w:val="center"/>
              <w:rPr>
                <w:rFonts w:hint="eastAsia" w:ascii="宋体" w:hAnsi="宋体" w:eastAsia="宋体" w:cs="宋体"/>
                <w:sz w:val="18"/>
                <w:szCs w:val="18"/>
              </w:rPr>
            </w:pPr>
          </w:p>
        </w:tc>
        <w:tc>
          <w:tcPr>
            <w:tcW w:w="4985" w:type="dxa"/>
            <w:gridSpan w:val="4"/>
            <w:noWrap w:val="0"/>
            <w:vAlign w:val="center"/>
          </w:tcPr>
          <w:p w14:paraId="1EF9CB77">
            <w:pPr>
              <w:spacing w:line="240" w:lineRule="auto"/>
              <w:jc w:val="left"/>
              <w:rPr>
                <w:rFonts w:hint="eastAsia" w:ascii="宋体" w:hAnsi="宋体" w:eastAsia="宋体" w:cs="宋体"/>
                <w:sz w:val="18"/>
                <w:szCs w:val="18"/>
              </w:rPr>
            </w:pPr>
            <w:r>
              <w:rPr>
                <w:rFonts w:hint="eastAsia" w:ascii="宋体" w:hAnsi="宋体" w:eastAsia="宋体" w:cs="宋体"/>
                <w:sz w:val="18"/>
                <w:szCs w:val="18"/>
              </w:rPr>
              <w:t>无便血或黑便</w:t>
            </w:r>
          </w:p>
        </w:tc>
        <w:tc>
          <w:tcPr>
            <w:tcW w:w="2833" w:type="dxa"/>
            <w:noWrap w:val="0"/>
            <w:vAlign w:val="center"/>
          </w:tcPr>
          <w:p w14:paraId="5224FA94">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18E0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5AD1C497">
            <w:pPr>
              <w:spacing w:line="240" w:lineRule="auto"/>
              <w:jc w:val="center"/>
              <w:rPr>
                <w:rFonts w:hint="eastAsia" w:ascii="宋体" w:hAnsi="宋体" w:eastAsia="宋体" w:cs="宋体"/>
                <w:sz w:val="18"/>
                <w:szCs w:val="18"/>
              </w:rPr>
            </w:pPr>
          </w:p>
        </w:tc>
        <w:tc>
          <w:tcPr>
            <w:tcW w:w="4985" w:type="dxa"/>
            <w:gridSpan w:val="4"/>
            <w:noWrap w:val="0"/>
            <w:vAlign w:val="center"/>
          </w:tcPr>
          <w:p w14:paraId="7A57A601">
            <w:pPr>
              <w:spacing w:line="240" w:lineRule="auto"/>
              <w:jc w:val="left"/>
              <w:rPr>
                <w:rFonts w:hint="eastAsia" w:ascii="宋体" w:hAnsi="宋体" w:eastAsia="宋体" w:cs="宋体"/>
                <w:sz w:val="18"/>
                <w:szCs w:val="18"/>
              </w:rPr>
            </w:pPr>
            <w:r>
              <w:rPr>
                <w:rFonts w:hint="eastAsia" w:ascii="宋体" w:hAnsi="宋体" w:eastAsia="宋体" w:cs="宋体"/>
                <w:sz w:val="18"/>
                <w:szCs w:val="18"/>
              </w:rPr>
              <w:t xml:space="preserve">曾服用何种抗凝药物 </w:t>
            </w:r>
            <w:r>
              <w:rPr>
                <w:rFonts w:hint="eastAsia" w:ascii="宋体" w:hAnsi="宋体" w:eastAsia="宋体" w:cs="宋体"/>
                <w:i w:val="0"/>
                <w:iCs w:val="0"/>
                <w:caps w:val="0"/>
                <w:color w:val="0F1115"/>
                <w:spacing w:val="0"/>
                <w:kern w:val="0"/>
                <w:sz w:val="18"/>
                <w:szCs w:val="18"/>
                <w:lang w:val="en-US" w:eastAsia="zh-CN" w:bidi="ar"/>
              </w:rPr>
              <w:t>□</w:t>
            </w:r>
            <w:r>
              <w:rPr>
                <w:rFonts w:hint="eastAsia" w:ascii="宋体" w:hAnsi="宋体" w:eastAsia="宋体" w:cs="宋体"/>
                <w:sz w:val="18"/>
                <w:szCs w:val="18"/>
              </w:rPr>
              <w:t xml:space="preserve">氯吡格雷 </w:t>
            </w:r>
            <w:r>
              <w:rPr>
                <w:rFonts w:hint="eastAsia" w:ascii="宋体" w:hAnsi="宋体" w:eastAsia="宋体" w:cs="宋体"/>
                <w:i w:val="0"/>
                <w:iCs w:val="0"/>
                <w:caps w:val="0"/>
                <w:color w:val="0F1115"/>
                <w:spacing w:val="0"/>
                <w:kern w:val="0"/>
                <w:sz w:val="18"/>
                <w:szCs w:val="18"/>
                <w:lang w:val="en-US" w:eastAsia="zh-CN" w:bidi="ar"/>
              </w:rPr>
              <w:t>□</w:t>
            </w:r>
            <w:r>
              <w:rPr>
                <w:rFonts w:hint="eastAsia" w:ascii="宋体" w:hAnsi="宋体" w:eastAsia="宋体" w:cs="宋体"/>
                <w:sz w:val="18"/>
                <w:szCs w:val="18"/>
              </w:rPr>
              <w:t xml:space="preserve">阿司匹林 </w:t>
            </w:r>
            <w:r>
              <w:rPr>
                <w:rFonts w:hint="eastAsia" w:ascii="宋体" w:hAnsi="宋体" w:eastAsia="宋体" w:cs="宋体"/>
                <w:i w:val="0"/>
                <w:iCs w:val="0"/>
                <w:caps w:val="0"/>
                <w:color w:val="0F1115"/>
                <w:spacing w:val="0"/>
                <w:kern w:val="0"/>
                <w:sz w:val="18"/>
                <w:szCs w:val="18"/>
                <w:lang w:val="en-US" w:eastAsia="zh-CN" w:bidi="ar"/>
              </w:rPr>
              <w:t>□</w:t>
            </w:r>
            <w:r>
              <w:rPr>
                <w:rFonts w:hint="eastAsia" w:ascii="宋体" w:hAnsi="宋体" w:eastAsia="宋体" w:cs="宋体"/>
                <w:sz w:val="18"/>
                <w:szCs w:val="18"/>
              </w:rPr>
              <w:t>其他（</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p>
        </w:tc>
        <w:tc>
          <w:tcPr>
            <w:tcW w:w="2833" w:type="dxa"/>
            <w:noWrap w:val="0"/>
            <w:vAlign w:val="center"/>
          </w:tcPr>
          <w:p w14:paraId="044329C5">
            <w:pPr>
              <w:spacing w:line="240" w:lineRule="auto"/>
              <w:jc w:val="center"/>
              <w:rPr>
                <w:rFonts w:hint="eastAsia" w:ascii="宋体" w:hAnsi="宋体" w:eastAsia="宋体" w:cs="宋体"/>
                <w:sz w:val="18"/>
                <w:szCs w:val="18"/>
                <w:lang w:eastAsia="zh-CN"/>
              </w:rPr>
            </w:pPr>
            <w:r>
              <w:rPr>
                <w:rFonts w:hint="eastAsia" w:ascii="宋体" w:hAnsi="宋体" w:cs="宋体"/>
                <w:sz w:val="18"/>
                <w:szCs w:val="18"/>
                <w:lang w:eastAsia="zh-CN"/>
              </w:rPr>
              <w:t>——</w:t>
            </w:r>
          </w:p>
        </w:tc>
      </w:tr>
      <w:tr w14:paraId="2D91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07B813CC">
            <w:pPr>
              <w:spacing w:line="240" w:lineRule="auto"/>
              <w:jc w:val="center"/>
              <w:rPr>
                <w:rFonts w:hint="eastAsia" w:ascii="宋体" w:hAnsi="宋体" w:eastAsia="宋体" w:cs="宋体"/>
                <w:sz w:val="18"/>
                <w:szCs w:val="18"/>
              </w:rPr>
            </w:pPr>
          </w:p>
        </w:tc>
        <w:tc>
          <w:tcPr>
            <w:tcW w:w="4985" w:type="dxa"/>
            <w:gridSpan w:val="4"/>
            <w:noWrap w:val="0"/>
            <w:vAlign w:val="center"/>
          </w:tcPr>
          <w:p w14:paraId="19858729">
            <w:pPr>
              <w:spacing w:line="240" w:lineRule="auto"/>
              <w:jc w:val="left"/>
              <w:rPr>
                <w:rFonts w:hint="eastAsia" w:ascii="宋体" w:hAnsi="宋体" w:eastAsia="宋体" w:cs="宋体"/>
                <w:sz w:val="18"/>
                <w:szCs w:val="18"/>
              </w:rPr>
            </w:pPr>
            <w:r>
              <w:rPr>
                <w:rFonts w:hint="eastAsia" w:ascii="宋体" w:hAnsi="宋体" w:eastAsia="宋体" w:cs="宋体"/>
                <w:sz w:val="18"/>
                <w:szCs w:val="18"/>
              </w:rPr>
              <w:t>抗凝药物停药时间</w:t>
            </w:r>
          </w:p>
        </w:tc>
        <w:tc>
          <w:tcPr>
            <w:tcW w:w="2833" w:type="dxa"/>
            <w:noWrap w:val="0"/>
            <w:vAlign w:val="center"/>
          </w:tcPr>
          <w:p w14:paraId="24F1E309">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未用□ 合格□ 不合格□</w:t>
            </w:r>
          </w:p>
        </w:tc>
      </w:tr>
      <w:tr w14:paraId="24F4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31D0FF77">
            <w:pPr>
              <w:spacing w:line="240" w:lineRule="auto"/>
              <w:jc w:val="center"/>
              <w:rPr>
                <w:rFonts w:hint="eastAsia" w:ascii="宋体" w:hAnsi="宋体" w:eastAsia="宋体" w:cs="宋体"/>
                <w:sz w:val="18"/>
                <w:szCs w:val="18"/>
              </w:rPr>
            </w:pPr>
          </w:p>
        </w:tc>
        <w:tc>
          <w:tcPr>
            <w:tcW w:w="4985" w:type="dxa"/>
            <w:gridSpan w:val="4"/>
            <w:noWrap w:val="0"/>
            <w:vAlign w:val="center"/>
          </w:tcPr>
          <w:p w14:paraId="12032D36">
            <w:pPr>
              <w:spacing w:line="240" w:lineRule="auto"/>
              <w:jc w:val="left"/>
              <w:rPr>
                <w:rFonts w:hint="eastAsia" w:ascii="宋体" w:hAnsi="宋体" w:eastAsia="宋体" w:cs="宋体"/>
                <w:sz w:val="18"/>
                <w:szCs w:val="18"/>
              </w:rPr>
            </w:pPr>
            <w:r>
              <w:rPr>
                <w:rFonts w:hint="eastAsia" w:ascii="宋体" w:hAnsi="宋体" w:eastAsia="宋体" w:cs="宋体"/>
                <w:sz w:val="18"/>
                <w:szCs w:val="18"/>
              </w:rPr>
              <w:t>无妊娠，非月经期、非哺乳期</w:t>
            </w:r>
          </w:p>
        </w:tc>
        <w:tc>
          <w:tcPr>
            <w:tcW w:w="2833" w:type="dxa"/>
            <w:noWrap w:val="0"/>
            <w:vAlign w:val="center"/>
          </w:tcPr>
          <w:p w14:paraId="2D8CB0E3">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6620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74A41FCE">
            <w:pPr>
              <w:spacing w:line="240" w:lineRule="auto"/>
              <w:jc w:val="center"/>
              <w:rPr>
                <w:rFonts w:hint="eastAsia" w:ascii="宋体" w:hAnsi="宋体" w:eastAsia="宋体" w:cs="宋体"/>
                <w:sz w:val="18"/>
                <w:szCs w:val="18"/>
              </w:rPr>
            </w:pPr>
          </w:p>
        </w:tc>
        <w:tc>
          <w:tcPr>
            <w:tcW w:w="4985" w:type="dxa"/>
            <w:gridSpan w:val="4"/>
            <w:noWrap w:val="0"/>
            <w:vAlign w:val="center"/>
          </w:tcPr>
          <w:p w14:paraId="42412E75">
            <w:pPr>
              <w:spacing w:line="240" w:lineRule="auto"/>
              <w:jc w:val="left"/>
              <w:rPr>
                <w:rFonts w:hint="eastAsia" w:ascii="宋体" w:hAnsi="宋体" w:eastAsia="宋体" w:cs="宋体"/>
                <w:sz w:val="18"/>
                <w:szCs w:val="18"/>
              </w:rPr>
            </w:pPr>
            <w:r>
              <w:rPr>
                <w:rFonts w:hint="eastAsia" w:ascii="宋体" w:hAnsi="宋体" w:eastAsia="宋体" w:cs="宋体"/>
                <w:sz w:val="18"/>
                <w:szCs w:val="18"/>
              </w:rPr>
              <w:t>无恶性肿瘤或放化疗期间</w:t>
            </w:r>
          </w:p>
        </w:tc>
        <w:tc>
          <w:tcPr>
            <w:tcW w:w="2833" w:type="dxa"/>
            <w:noWrap w:val="0"/>
            <w:vAlign w:val="center"/>
          </w:tcPr>
          <w:p w14:paraId="4C35C3CA">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0DFA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557A4E23">
            <w:pPr>
              <w:spacing w:line="240" w:lineRule="auto"/>
              <w:jc w:val="center"/>
              <w:rPr>
                <w:rFonts w:hint="eastAsia" w:ascii="宋体" w:hAnsi="宋体" w:eastAsia="宋体" w:cs="宋体"/>
                <w:sz w:val="18"/>
                <w:szCs w:val="18"/>
              </w:rPr>
            </w:pPr>
          </w:p>
        </w:tc>
        <w:tc>
          <w:tcPr>
            <w:tcW w:w="4985" w:type="dxa"/>
            <w:gridSpan w:val="4"/>
            <w:noWrap w:val="0"/>
            <w:vAlign w:val="center"/>
          </w:tcPr>
          <w:p w14:paraId="0285A59C">
            <w:pPr>
              <w:spacing w:line="240" w:lineRule="auto"/>
              <w:jc w:val="left"/>
              <w:rPr>
                <w:rFonts w:hint="eastAsia" w:ascii="宋体" w:hAnsi="宋体" w:eastAsia="宋体" w:cs="宋体"/>
                <w:sz w:val="18"/>
                <w:szCs w:val="18"/>
              </w:rPr>
            </w:pPr>
            <w:r>
              <w:rPr>
                <w:rFonts w:hint="eastAsia" w:ascii="宋体" w:hAnsi="宋体" w:eastAsia="宋体" w:cs="宋体"/>
                <w:sz w:val="18"/>
                <w:szCs w:val="18"/>
              </w:rPr>
              <w:t>无血友病等遗传性出血性疾病</w:t>
            </w:r>
          </w:p>
        </w:tc>
        <w:tc>
          <w:tcPr>
            <w:tcW w:w="2833" w:type="dxa"/>
            <w:noWrap w:val="0"/>
            <w:vAlign w:val="center"/>
          </w:tcPr>
          <w:p w14:paraId="49C11426">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4856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restart"/>
            <w:noWrap w:val="0"/>
            <w:vAlign w:val="center"/>
          </w:tcPr>
          <w:p w14:paraId="23294DCB">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实验室</w:t>
            </w:r>
          </w:p>
          <w:p w14:paraId="4BF13A93">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检查</w:t>
            </w:r>
          </w:p>
        </w:tc>
        <w:tc>
          <w:tcPr>
            <w:tcW w:w="4985" w:type="dxa"/>
            <w:gridSpan w:val="4"/>
            <w:noWrap w:val="0"/>
            <w:vAlign w:val="center"/>
          </w:tcPr>
          <w:p w14:paraId="6CEAFA9A">
            <w:pPr>
              <w:spacing w:line="240" w:lineRule="auto"/>
              <w:jc w:val="left"/>
              <w:rPr>
                <w:rFonts w:hint="eastAsia" w:ascii="宋体" w:hAnsi="宋体" w:eastAsia="宋体" w:cs="宋体"/>
                <w:sz w:val="18"/>
                <w:szCs w:val="18"/>
              </w:rPr>
            </w:pPr>
            <w:r>
              <w:rPr>
                <w:rFonts w:hint="eastAsia" w:ascii="宋体" w:hAnsi="宋体" w:eastAsia="宋体" w:cs="宋体"/>
                <w:sz w:val="18"/>
                <w:szCs w:val="18"/>
                <w:lang w:val="en-US" w:eastAsia="zh-CN"/>
              </w:rPr>
              <w:t>白细胞4</w:t>
            </w:r>
            <w:r>
              <w:rPr>
                <w:rFonts w:hint="eastAsia" w:ascii="宋体" w:hAnsi="宋体" w:eastAsia="宋体" w:cs="宋体"/>
                <w:sz w:val="18"/>
                <w:szCs w:val="18"/>
              </w:rPr>
              <w:t>×10</w:t>
            </w:r>
            <w:r>
              <w:rPr>
                <w:rFonts w:hint="eastAsia" w:ascii="宋体" w:hAnsi="宋体" w:eastAsia="宋体" w:cs="宋体"/>
                <w:sz w:val="18"/>
                <w:szCs w:val="18"/>
                <w:vertAlign w:val="superscript"/>
              </w:rPr>
              <w:t>9</w:t>
            </w:r>
            <w:r>
              <w:rPr>
                <w:rFonts w:hint="eastAsia" w:ascii="宋体" w:hAnsi="宋体" w:cs="宋体"/>
                <w:sz w:val="18"/>
                <w:szCs w:val="18"/>
                <w:vertAlign w:val="baseline"/>
                <w:lang w:val="en-US" w:eastAsia="zh-CN"/>
              </w:rPr>
              <w:t xml:space="preserve"> </w:t>
            </w:r>
            <w:r>
              <w:rPr>
                <w:rFonts w:hint="eastAsia" w:ascii="宋体" w:hAnsi="宋体" w:eastAsia="宋体" w:cs="宋体"/>
                <w:sz w:val="18"/>
                <w:szCs w:val="18"/>
              </w:rPr>
              <w:t>/L</w:t>
            </w:r>
            <w:r>
              <w:rPr>
                <w:rFonts w:hint="eastAsia" w:ascii="宋体" w:hAnsi="宋体" w:eastAsia="宋体" w:cs="宋体"/>
                <w:sz w:val="18"/>
                <w:szCs w:val="18"/>
                <w:lang w:val="en-US" w:eastAsia="zh-CN"/>
              </w:rPr>
              <w:t>～</w:t>
            </w:r>
            <w:r>
              <w:rPr>
                <w:rFonts w:hint="eastAsia" w:ascii="宋体" w:hAnsi="宋体" w:eastAsia="宋体" w:cs="宋体"/>
                <w:sz w:val="18"/>
                <w:szCs w:val="18"/>
              </w:rPr>
              <w:t>10×10</w:t>
            </w:r>
            <w:r>
              <w:rPr>
                <w:rFonts w:hint="eastAsia" w:ascii="宋体" w:hAnsi="宋体" w:eastAsia="宋体" w:cs="宋体"/>
                <w:sz w:val="18"/>
                <w:szCs w:val="18"/>
                <w:vertAlign w:val="superscript"/>
              </w:rPr>
              <w:t>9</w:t>
            </w:r>
            <w:r>
              <w:rPr>
                <w:rFonts w:hint="eastAsia" w:ascii="宋体" w:hAnsi="宋体" w:cs="宋体"/>
                <w:sz w:val="18"/>
                <w:szCs w:val="18"/>
                <w:vertAlign w:val="baseline"/>
                <w:lang w:val="en-US" w:eastAsia="zh-CN"/>
              </w:rPr>
              <w:t xml:space="preserve"> </w:t>
            </w:r>
            <w:r>
              <w:rPr>
                <w:rFonts w:hint="eastAsia" w:ascii="宋体" w:hAnsi="宋体" w:eastAsia="宋体" w:cs="宋体"/>
                <w:sz w:val="18"/>
                <w:szCs w:val="18"/>
              </w:rPr>
              <w:t>/L</w:t>
            </w:r>
          </w:p>
        </w:tc>
        <w:tc>
          <w:tcPr>
            <w:tcW w:w="2833" w:type="dxa"/>
            <w:noWrap w:val="0"/>
            <w:vAlign w:val="center"/>
          </w:tcPr>
          <w:p w14:paraId="6C01D905">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682A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7E7F9E7C">
            <w:pPr>
              <w:spacing w:line="240" w:lineRule="auto"/>
              <w:jc w:val="center"/>
              <w:rPr>
                <w:rFonts w:hint="eastAsia" w:ascii="宋体" w:hAnsi="宋体" w:eastAsia="宋体" w:cs="宋体"/>
                <w:sz w:val="18"/>
                <w:szCs w:val="18"/>
              </w:rPr>
            </w:pPr>
          </w:p>
        </w:tc>
        <w:tc>
          <w:tcPr>
            <w:tcW w:w="4985" w:type="dxa"/>
            <w:gridSpan w:val="4"/>
            <w:noWrap w:val="0"/>
            <w:vAlign w:val="center"/>
          </w:tcPr>
          <w:p w14:paraId="7723EDAD">
            <w:pPr>
              <w:spacing w:line="240" w:lineRule="auto"/>
              <w:jc w:val="left"/>
              <w:rPr>
                <w:rFonts w:hint="eastAsia" w:ascii="宋体" w:hAnsi="宋体" w:eastAsia="宋体" w:cs="宋体"/>
                <w:sz w:val="18"/>
                <w:szCs w:val="18"/>
              </w:rPr>
            </w:pPr>
            <w:r>
              <w:rPr>
                <w:rFonts w:hint="eastAsia" w:ascii="宋体" w:hAnsi="宋体" w:eastAsia="宋体" w:cs="宋体"/>
                <w:sz w:val="18"/>
                <w:szCs w:val="18"/>
              </w:rPr>
              <w:t>中性粒细胞比例</w:t>
            </w:r>
            <w:r>
              <w:rPr>
                <w:rFonts w:hint="eastAsia" w:ascii="宋体" w:hAnsi="宋体" w:cs="宋体"/>
                <w:sz w:val="18"/>
                <w:szCs w:val="18"/>
                <w:lang w:eastAsia="zh-CN"/>
              </w:rPr>
              <w:t>＜</w:t>
            </w:r>
            <w:r>
              <w:rPr>
                <w:rFonts w:hint="eastAsia" w:ascii="宋体" w:hAnsi="宋体" w:eastAsia="宋体" w:cs="宋体"/>
                <w:sz w:val="18"/>
                <w:szCs w:val="18"/>
              </w:rPr>
              <w:t>70%</w:t>
            </w:r>
          </w:p>
        </w:tc>
        <w:tc>
          <w:tcPr>
            <w:tcW w:w="2833" w:type="dxa"/>
            <w:noWrap w:val="0"/>
            <w:vAlign w:val="center"/>
          </w:tcPr>
          <w:p w14:paraId="14AA880F">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7D73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49E0BC60">
            <w:pPr>
              <w:spacing w:line="240" w:lineRule="auto"/>
              <w:jc w:val="center"/>
              <w:rPr>
                <w:rFonts w:hint="eastAsia" w:ascii="宋体" w:hAnsi="宋体" w:eastAsia="宋体" w:cs="宋体"/>
                <w:sz w:val="18"/>
                <w:szCs w:val="18"/>
              </w:rPr>
            </w:pPr>
          </w:p>
        </w:tc>
        <w:tc>
          <w:tcPr>
            <w:tcW w:w="4985" w:type="dxa"/>
            <w:gridSpan w:val="4"/>
            <w:noWrap w:val="0"/>
            <w:vAlign w:val="center"/>
          </w:tcPr>
          <w:p w14:paraId="3BE4DCF0">
            <w:pPr>
              <w:spacing w:line="240" w:lineRule="auto"/>
              <w:jc w:val="left"/>
              <w:rPr>
                <w:rFonts w:hint="eastAsia" w:ascii="宋体" w:hAnsi="宋体" w:eastAsia="宋体" w:cs="宋体"/>
                <w:sz w:val="18"/>
                <w:szCs w:val="18"/>
              </w:rPr>
            </w:pPr>
            <w:r>
              <w:rPr>
                <w:rFonts w:hint="eastAsia" w:ascii="宋体" w:hAnsi="宋体" w:eastAsia="宋体" w:cs="宋体"/>
                <w:sz w:val="18"/>
                <w:szCs w:val="18"/>
              </w:rPr>
              <w:t>HB</w:t>
            </w:r>
            <w:r>
              <w:rPr>
                <w:rFonts w:hint="eastAsia" w:ascii="宋体" w:hAnsi="宋体" w:cs="宋体"/>
                <w:sz w:val="18"/>
                <w:szCs w:val="18"/>
                <w:lang w:eastAsia="zh-CN"/>
              </w:rPr>
              <w:t>＞</w:t>
            </w:r>
            <w:r>
              <w:rPr>
                <w:rFonts w:hint="eastAsia" w:ascii="宋体" w:hAnsi="宋体" w:eastAsia="宋体" w:cs="宋体"/>
                <w:sz w:val="18"/>
                <w:szCs w:val="18"/>
              </w:rPr>
              <w:t>100</w:t>
            </w:r>
            <w:r>
              <w:rPr>
                <w:rFonts w:hint="eastAsia" w:ascii="宋体" w:hAnsi="宋体" w:cs="宋体"/>
                <w:sz w:val="18"/>
                <w:szCs w:val="18"/>
                <w:lang w:val="en-US" w:eastAsia="zh-CN"/>
              </w:rPr>
              <w:t xml:space="preserve"> </w:t>
            </w:r>
            <w:r>
              <w:rPr>
                <w:rFonts w:hint="eastAsia" w:ascii="宋体" w:hAnsi="宋体" w:eastAsia="宋体" w:cs="宋体"/>
                <w:sz w:val="18"/>
                <w:szCs w:val="18"/>
              </w:rPr>
              <w:t>g/L</w:t>
            </w:r>
          </w:p>
        </w:tc>
        <w:tc>
          <w:tcPr>
            <w:tcW w:w="2833" w:type="dxa"/>
            <w:noWrap w:val="0"/>
            <w:vAlign w:val="center"/>
          </w:tcPr>
          <w:p w14:paraId="3E2855B5">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329B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6580337C">
            <w:pPr>
              <w:spacing w:line="240" w:lineRule="auto"/>
              <w:jc w:val="center"/>
              <w:rPr>
                <w:rFonts w:hint="eastAsia" w:ascii="宋体" w:hAnsi="宋体" w:eastAsia="宋体" w:cs="宋体"/>
                <w:sz w:val="18"/>
                <w:szCs w:val="18"/>
              </w:rPr>
            </w:pPr>
          </w:p>
        </w:tc>
        <w:tc>
          <w:tcPr>
            <w:tcW w:w="4985" w:type="dxa"/>
            <w:gridSpan w:val="4"/>
            <w:noWrap w:val="0"/>
            <w:vAlign w:val="center"/>
          </w:tcPr>
          <w:p w14:paraId="45ECA26B">
            <w:pPr>
              <w:spacing w:line="240" w:lineRule="auto"/>
              <w:jc w:val="left"/>
              <w:rPr>
                <w:rFonts w:hint="eastAsia" w:ascii="宋体" w:hAnsi="宋体" w:eastAsia="宋体" w:cs="宋体"/>
                <w:sz w:val="18"/>
                <w:szCs w:val="18"/>
              </w:rPr>
            </w:pPr>
            <w:r>
              <w:rPr>
                <w:rFonts w:hint="eastAsia" w:ascii="宋体" w:hAnsi="宋体" w:eastAsia="宋体" w:cs="宋体"/>
                <w:sz w:val="18"/>
                <w:szCs w:val="18"/>
              </w:rPr>
              <w:t>Plt</w:t>
            </w:r>
            <w:r>
              <w:rPr>
                <w:rFonts w:hint="eastAsia" w:ascii="宋体" w:hAnsi="宋体" w:cs="宋体"/>
                <w:sz w:val="18"/>
                <w:szCs w:val="18"/>
                <w:lang w:val="en-US" w:eastAsia="zh-CN"/>
              </w:rPr>
              <w:t>＞</w:t>
            </w:r>
            <w:r>
              <w:rPr>
                <w:rFonts w:hint="eastAsia" w:ascii="宋体" w:hAnsi="宋体" w:eastAsia="宋体" w:cs="宋体"/>
                <w:sz w:val="18"/>
                <w:szCs w:val="18"/>
              </w:rPr>
              <w:t>10×10</w:t>
            </w:r>
            <w:r>
              <w:rPr>
                <w:rFonts w:hint="eastAsia" w:ascii="宋体" w:hAnsi="宋体" w:eastAsia="宋体" w:cs="宋体"/>
                <w:sz w:val="18"/>
                <w:szCs w:val="18"/>
                <w:vertAlign w:val="superscript"/>
              </w:rPr>
              <w:t>9</w:t>
            </w:r>
            <w:r>
              <w:rPr>
                <w:rFonts w:hint="eastAsia" w:ascii="宋体" w:hAnsi="宋体" w:cs="宋体"/>
                <w:sz w:val="18"/>
                <w:szCs w:val="18"/>
                <w:vertAlign w:val="baseline"/>
                <w:lang w:val="en-US" w:eastAsia="zh-CN"/>
              </w:rPr>
              <w:t xml:space="preserve"> </w:t>
            </w:r>
            <w:r>
              <w:rPr>
                <w:rFonts w:hint="eastAsia" w:ascii="宋体" w:hAnsi="宋体" w:eastAsia="宋体" w:cs="宋体"/>
                <w:sz w:val="18"/>
                <w:szCs w:val="18"/>
              </w:rPr>
              <w:t>/L</w:t>
            </w:r>
          </w:p>
        </w:tc>
        <w:tc>
          <w:tcPr>
            <w:tcW w:w="2833" w:type="dxa"/>
            <w:noWrap w:val="0"/>
            <w:vAlign w:val="center"/>
          </w:tcPr>
          <w:p w14:paraId="7C9768D5">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6007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526EEE0C">
            <w:pPr>
              <w:spacing w:line="240" w:lineRule="auto"/>
              <w:jc w:val="center"/>
              <w:rPr>
                <w:rFonts w:hint="eastAsia" w:ascii="宋体" w:hAnsi="宋体" w:eastAsia="宋体" w:cs="宋体"/>
                <w:sz w:val="18"/>
                <w:szCs w:val="18"/>
              </w:rPr>
            </w:pPr>
          </w:p>
        </w:tc>
        <w:tc>
          <w:tcPr>
            <w:tcW w:w="4985" w:type="dxa"/>
            <w:gridSpan w:val="4"/>
            <w:noWrap w:val="0"/>
            <w:vAlign w:val="center"/>
          </w:tcPr>
          <w:p w14:paraId="1A842C4F">
            <w:pPr>
              <w:spacing w:line="240" w:lineRule="auto"/>
              <w:jc w:val="left"/>
              <w:rPr>
                <w:rFonts w:hint="eastAsia" w:ascii="宋体" w:hAnsi="宋体" w:eastAsia="宋体" w:cs="宋体"/>
                <w:sz w:val="18"/>
                <w:szCs w:val="18"/>
              </w:rPr>
            </w:pPr>
            <w:r>
              <w:rPr>
                <w:rFonts w:hint="eastAsia" w:ascii="宋体" w:hAnsi="宋体" w:eastAsia="宋体" w:cs="宋体"/>
                <w:sz w:val="18"/>
                <w:szCs w:val="18"/>
              </w:rPr>
              <w:t>血浆凝血酶原时间大于或小于正常值3</w:t>
            </w:r>
            <w:r>
              <w:rPr>
                <w:rFonts w:hint="eastAsia" w:ascii="宋体" w:hAnsi="宋体" w:cs="宋体"/>
                <w:sz w:val="18"/>
                <w:szCs w:val="18"/>
                <w:lang w:val="en-US" w:eastAsia="zh-CN"/>
              </w:rPr>
              <w:t xml:space="preserve"> s</w:t>
            </w:r>
            <w:r>
              <w:rPr>
                <w:rFonts w:hint="eastAsia" w:ascii="宋体" w:hAnsi="宋体" w:eastAsia="宋体" w:cs="宋体"/>
                <w:sz w:val="18"/>
                <w:szCs w:val="18"/>
              </w:rPr>
              <w:t>以内</w:t>
            </w:r>
          </w:p>
        </w:tc>
        <w:tc>
          <w:tcPr>
            <w:tcW w:w="2833" w:type="dxa"/>
            <w:noWrap w:val="0"/>
            <w:vAlign w:val="center"/>
          </w:tcPr>
          <w:p w14:paraId="5D784712">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0BDD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7F22A7AF">
            <w:pPr>
              <w:spacing w:line="240" w:lineRule="auto"/>
              <w:jc w:val="center"/>
              <w:rPr>
                <w:rFonts w:hint="eastAsia" w:ascii="宋体" w:hAnsi="宋体" w:eastAsia="宋体" w:cs="宋体"/>
                <w:sz w:val="18"/>
                <w:szCs w:val="18"/>
              </w:rPr>
            </w:pPr>
          </w:p>
        </w:tc>
        <w:tc>
          <w:tcPr>
            <w:tcW w:w="4985" w:type="dxa"/>
            <w:gridSpan w:val="4"/>
            <w:noWrap w:val="0"/>
            <w:vAlign w:val="center"/>
          </w:tcPr>
          <w:p w14:paraId="38C8AC85">
            <w:pPr>
              <w:spacing w:line="240" w:lineRule="auto"/>
              <w:jc w:val="left"/>
              <w:rPr>
                <w:rFonts w:hint="eastAsia" w:ascii="宋体" w:hAnsi="宋体" w:eastAsia="宋体" w:cs="宋体"/>
                <w:sz w:val="18"/>
                <w:szCs w:val="18"/>
              </w:rPr>
            </w:pPr>
            <w:r>
              <w:rPr>
                <w:rFonts w:hint="eastAsia" w:ascii="宋体" w:hAnsi="宋体" w:eastAsia="宋体" w:cs="宋体"/>
                <w:sz w:val="18"/>
                <w:szCs w:val="18"/>
              </w:rPr>
              <w:t>部分活化凝血活酶超过正常值10</w:t>
            </w:r>
            <w:r>
              <w:rPr>
                <w:rFonts w:hint="eastAsia" w:ascii="宋体" w:hAnsi="宋体" w:cs="宋体"/>
                <w:sz w:val="18"/>
                <w:szCs w:val="18"/>
                <w:lang w:val="en-US" w:eastAsia="zh-CN"/>
              </w:rPr>
              <w:t xml:space="preserve"> s</w:t>
            </w:r>
            <w:r>
              <w:rPr>
                <w:rFonts w:hint="eastAsia" w:ascii="宋体" w:hAnsi="宋体" w:eastAsia="宋体" w:cs="宋体"/>
                <w:sz w:val="18"/>
                <w:szCs w:val="18"/>
              </w:rPr>
              <w:t>以内</w:t>
            </w:r>
          </w:p>
        </w:tc>
        <w:tc>
          <w:tcPr>
            <w:tcW w:w="2833" w:type="dxa"/>
            <w:noWrap w:val="0"/>
            <w:vAlign w:val="center"/>
          </w:tcPr>
          <w:p w14:paraId="2F5FB94B">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695D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6CA406F3">
            <w:pPr>
              <w:spacing w:line="240" w:lineRule="auto"/>
              <w:jc w:val="center"/>
              <w:rPr>
                <w:rFonts w:hint="eastAsia" w:ascii="宋体" w:hAnsi="宋体" w:eastAsia="宋体" w:cs="宋体"/>
                <w:sz w:val="18"/>
                <w:szCs w:val="18"/>
              </w:rPr>
            </w:pPr>
          </w:p>
        </w:tc>
        <w:tc>
          <w:tcPr>
            <w:tcW w:w="4985" w:type="dxa"/>
            <w:gridSpan w:val="4"/>
            <w:noWrap w:val="0"/>
            <w:vAlign w:val="center"/>
          </w:tcPr>
          <w:p w14:paraId="478C02CA">
            <w:pPr>
              <w:spacing w:line="240" w:lineRule="auto"/>
              <w:jc w:val="left"/>
              <w:rPr>
                <w:rFonts w:hint="eastAsia" w:ascii="宋体" w:hAnsi="宋体" w:eastAsia="宋体" w:cs="宋体"/>
                <w:sz w:val="18"/>
                <w:szCs w:val="18"/>
              </w:rPr>
            </w:pPr>
            <w:r>
              <w:rPr>
                <w:rFonts w:hint="eastAsia" w:ascii="宋体" w:hAnsi="宋体" w:eastAsia="宋体" w:cs="宋体"/>
                <w:sz w:val="18"/>
                <w:szCs w:val="18"/>
              </w:rPr>
              <w:t>纤维蛋白原</w:t>
            </w:r>
            <w:r>
              <w:rPr>
                <w:rFonts w:hint="eastAsia" w:ascii="宋体" w:hAnsi="宋体" w:cs="宋体"/>
                <w:sz w:val="18"/>
                <w:szCs w:val="18"/>
                <w:lang w:eastAsia="zh-CN"/>
              </w:rPr>
              <w:t>＞</w:t>
            </w:r>
            <w:r>
              <w:rPr>
                <w:rFonts w:hint="eastAsia" w:ascii="宋体" w:hAnsi="宋体" w:eastAsia="宋体" w:cs="宋体"/>
                <w:sz w:val="18"/>
                <w:szCs w:val="18"/>
              </w:rPr>
              <w:t>2</w:t>
            </w:r>
            <w:r>
              <w:rPr>
                <w:rFonts w:hint="eastAsia" w:ascii="宋体" w:hAnsi="宋体" w:cs="宋体"/>
                <w:sz w:val="18"/>
                <w:szCs w:val="18"/>
                <w:lang w:val="en-US" w:eastAsia="zh-CN"/>
              </w:rPr>
              <w:t xml:space="preserve"> </w:t>
            </w:r>
            <w:r>
              <w:rPr>
                <w:rFonts w:hint="eastAsia" w:ascii="宋体" w:hAnsi="宋体" w:eastAsia="宋体" w:cs="宋体"/>
                <w:sz w:val="18"/>
                <w:szCs w:val="18"/>
              </w:rPr>
              <w:t>g/L</w:t>
            </w:r>
          </w:p>
        </w:tc>
        <w:tc>
          <w:tcPr>
            <w:tcW w:w="2833" w:type="dxa"/>
            <w:noWrap w:val="0"/>
            <w:vAlign w:val="center"/>
          </w:tcPr>
          <w:p w14:paraId="2B277F98">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2648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7C5DA86A">
            <w:pPr>
              <w:spacing w:line="240" w:lineRule="auto"/>
              <w:jc w:val="center"/>
              <w:rPr>
                <w:rFonts w:hint="eastAsia" w:ascii="宋体" w:hAnsi="宋体" w:eastAsia="宋体" w:cs="宋体"/>
                <w:sz w:val="18"/>
                <w:szCs w:val="18"/>
              </w:rPr>
            </w:pPr>
          </w:p>
        </w:tc>
        <w:tc>
          <w:tcPr>
            <w:tcW w:w="4985" w:type="dxa"/>
            <w:gridSpan w:val="4"/>
            <w:noWrap w:val="0"/>
            <w:vAlign w:val="center"/>
          </w:tcPr>
          <w:p w14:paraId="62439C54">
            <w:pPr>
              <w:spacing w:line="240" w:lineRule="auto"/>
              <w:jc w:val="left"/>
              <w:rPr>
                <w:rFonts w:hint="eastAsia" w:ascii="宋体" w:hAnsi="宋体" w:eastAsia="宋体" w:cs="宋体"/>
                <w:sz w:val="18"/>
                <w:szCs w:val="18"/>
              </w:rPr>
            </w:pPr>
            <w:r>
              <w:rPr>
                <w:rFonts w:hint="eastAsia" w:ascii="宋体" w:hAnsi="宋体" w:eastAsia="宋体" w:cs="宋体"/>
                <w:sz w:val="18"/>
                <w:szCs w:val="18"/>
              </w:rPr>
              <w:t>凝血酶时间超过正常对照3秒以内</w:t>
            </w:r>
          </w:p>
        </w:tc>
        <w:tc>
          <w:tcPr>
            <w:tcW w:w="2833" w:type="dxa"/>
            <w:noWrap w:val="0"/>
            <w:vAlign w:val="center"/>
          </w:tcPr>
          <w:p w14:paraId="556612E6">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6BDB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7AFF40FD">
            <w:pPr>
              <w:spacing w:line="240" w:lineRule="auto"/>
              <w:jc w:val="center"/>
              <w:rPr>
                <w:rFonts w:hint="eastAsia" w:ascii="宋体" w:hAnsi="宋体" w:eastAsia="宋体" w:cs="宋体"/>
                <w:sz w:val="18"/>
                <w:szCs w:val="18"/>
              </w:rPr>
            </w:pPr>
          </w:p>
        </w:tc>
        <w:tc>
          <w:tcPr>
            <w:tcW w:w="4985" w:type="dxa"/>
            <w:gridSpan w:val="4"/>
            <w:noWrap w:val="0"/>
            <w:vAlign w:val="center"/>
          </w:tcPr>
          <w:p w14:paraId="7FC79517">
            <w:pPr>
              <w:spacing w:line="240" w:lineRule="auto"/>
              <w:jc w:val="left"/>
              <w:rPr>
                <w:rFonts w:hint="eastAsia" w:ascii="宋体" w:hAnsi="宋体" w:eastAsia="宋体" w:cs="宋体"/>
                <w:sz w:val="18"/>
                <w:szCs w:val="18"/>
              </w:rPr>
            </w:pPr>
            <w:r>
              <w:rPr>
                <w:rFonts w:hint="eastAsia" w:ascii="宋体" w:hAnsi="宋体" w:eastAsia="宋体" w:cs="宋体"/>
                <w:sz w:val="18"/>
                <w:szCs w:val="18"/>
              </w:rPr>
              <w:t>乙肝表面抗原阴性</w:t>
            </w:r>
          </w:p>
        </w:tc>
        <w:tc>
          <w:tcPr>
            <w:tcW w:w="2833" w:type="dxa"/>
            <w:noWrap w:val="0"/>
            <w:vAlign w:val="center"/>
          </w:tcPr>
          <w:p w14:paraId="24E224E7">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3202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6C872C9D">
            <w:pPr>
              <w:spacing w:line="240" w:lineRule="auto"/>
              <w:jc w:val="center"/>
              <w:rPr>
                <w:rFonts w:hint="eastAsia" w:ascii="宋体" w:hAnsi="宋体" w:eastAsia="宋体" w:cs="宋体"/>
                <w:sz w:val="18"/>
                <w:szCs w:val="18"/>
              </w:rPr>
            </w:pPr>
          </w:p>
        </w:tc>
        <w:tc>
          <w:tcPr>
            <w:tcW w:w="4985" w:type="dxa"/>
            <w:gridSpan w:val="4"/>
            <w:noWrap w:val="0"/>
            <w:vAlign w:val="center"/>
          </w:tcPr>
          <w:p w14:paraId="06D303DD">
            <w:pPr>
              <w:spacing w:line="240" w:lineRule="auto"/>
              <w:jc w:val="left"/>
              <w:rPr>
                <w:rFonts w:hint="eastAsia" w:ascii="宋体" w:hAnsi="宋体" w:eastAsia="宋体" w:cs="宋体"/>
                <w:sz w:val="18"/>
                <w:szCs w:val="18"/>
              </w:rPr>
            </w:pPr>
            <w:r>
              <w:rPr>
                <w:rFonts w:hint="eastAsia" w:ascii="宋体" w:hAnsi="宋体" w:eastAsia="宋体" w:cs="宋体"/>
                <w:sz w:val="18"/>
                <w:szCs w:val="18"/>
              </w:rPr>
              <w:t>丙肝抗体阴性</w:t>
            </w:r>
          </w:p>
        </w:tc>
        <w:tc>
          <w:tcPr>
            <w:tcW w:w="2833" w:type="dxa"/>
            <w:noWrap w:val="0"/>
            <w:vAlign w:val="center"/>
          </w:tcPr>
          <w:p w14:paraId="06CACA9C">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2DAE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1FF2D392">
            <w:pPr>
              <w:spacing w:line="240" w:lineRule="auto"/>
              <w:jc w:val="center"/>
              <w:rPr>
                <w:rFonts w:hint="eastAsia" w:ascii="宋体" w:hAnsi="宋体" w:eastAsia="宋体" w:cs="宋体"/>
                <w:sz w:val="18"/>
                <w:szCs w:val="18"/>
              </w:rPr>
            </w:pPr>
          </w:p>
        </w:tc>
        <w:tc>
          <w:tcPr>
            <w:tcW w:w="4985" w:type="dxa"/>
            <w:gridSpan w:val="4"/>
            <w:noWrap w:val="0"/>
            <w:vAlign w:val="center"/>
          </w:tcPr>
          <w:p w14:paraId="4F1E8446">
            <w:pPr>
              <w:spacing w:line="240" w:lineRule="auto"/>
              <w:jc w:val="left"/>
              <w:rPr>
                <w:rFonts w:hint="eastAsia" w:ascii="宋体" w:hAnsi="宋体" w:eastAsia="宋体" w:cs="宋体"/>
                <w:sz w:val="18"/>
                <w:szCs w:val="18"/>
              </w:rPr>
            </w:pPr>
            <w:r>
              <w:rPr>
                <w:rFonts w:hint="eastAsia" w:ascii="宋体" w:hAnsi="宋体" w:eastAsia="宋体" w:cs="宋体"/>
                <w:sz w:val="18"/>
                <w:szCs w:val="18"/>
              </w:rPr>
              <w:t>梅毒抗体阴性</w:t>
            </w:r>
          </w:p>
        </w:tc>
        <w:tc>
          <w:tcPr>
            <w:tcW w:w="2833" w:type="dxa"/>
            <w:noWrap w:val="0"/>
            <w:vAlign w:val="center"/>
          </w:tcPr>
          <w:p w14:paraId="7A93BC2E">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2DE2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6E3F65F4">
            <w:pPr>
              <w:spacing w:line="240" w:lineRule="auto"/>
              <w:jc w:val="center"/>
              <w:rPr>
                <w:rFonts w:hint="eastAsia" w:ascii="宋体" w:hAnsi="宋体" w:eastAsia="宋体" w:cs="宋体"/>
                <w:sz w:val="18"/>
                <w:szCs w:val="18"/>
              </w:rPr>
            </w:pPr>
          </w:p>
        </w:tc>
        <w:tc>
          <w:tcPr>
            <w:tcW w:w="4985" w:type="dxa"/>
            <w:gridSpan w:val="4"/>
            <w:noWrap w:val="0"/>
            <w:vAlign w:val="center"/>
          </w:tcPr>
          <w:p w14:paraId="38BB5FDD">
            <w:pPr>
              <w:spacing w:line="240" w:lineRule="auto"/>
              <w:jc w:val="left"/>
              <w:rPr>
                <w:rFonts w:hint="eastAsia" w:ascii="宋体" w:hAnsi="宋体" w:eastAsia="宋体" w:cs="宋体"/>
                <w:sz w:val="18"/>
                <w:szCs w:val="18"/>
              </w:rPr>
            </w:pPr>
            <w:r>
              <w:rPr>
                <w:rFonts w:hint="eastAsia" w:ascii="宋体" w:hAnsi="宋体" w:eastAsia="宋体" w:cs="宋体"/>
                <w:sz w:val="18"/>
                <w:szCs w:val="18"/>
              </w:rPr>
              <w:t>艾滋病抗体阴性</w:t>
            </w:r>
          </w:p>
        </w:tc>
        <w:tc>
          <w:tcPr>
            <w:tcW w:w="2833" w:type="dxa"/>
            <w:noWrap w:val="0"/>
            <w:vAlign w:val="center"/>
          </w:tcPr>
          <w:p w14:paraId="2F3E5C69">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5FE7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439952C4">
            <w:pPr>
              <w:spacing w:line="240" w:lineRule="auto"/>
              <w:jc w:val="center"/>
              <w:rPr>
                <w:rFonts w:hint="eastAsia" w:ascii="宋体" w:hAnsi="宋体" w:eastAsia="宋体" w:cs="宋体"/>
                <w:sz w:val="18"/>
                <w:szCs w:val="18"/>
              </w:rPr>
            </w:pPr>
          </w:p>
        </w:tc>
        <w:tc>
          <w:tcPr>
            <w:tcW w:w="4985" w:type="dxa"/>
            <w:gridSpan w:val="4"/>
            <w:noWrap w:val="0"/>
            <w:vAlign w:val="center"/>
          </w:tcPr>
          <w:p w14:paraId="6454975B">
            <w:pPr>
              <w:spacing w:line="240" w:lineRule="auto"/>
              <w:jc w:val="left"/>
              <w:rPr>
                <w:rFonts w:hint="eastAsia" w:ascii="宋体" w:hAnsi="宋体" w:eastAsia="宋体" w:cs="宋体"/>
                <w:sz w:val="18"/>
                <w:szCs w:val="18"/>
              </w:rPr>
            </w:pPr>
            <w:r>
              <w:rPr>
                <w:rFonts w:hint="eastAsia" w:ascii="宋体" w:hAnsi="宋体" w:eastAsia="宋体" w:cs="宋体"/>
                <w:sz w:val="18"/>
                <w:szCs w:val="18"/>
              </w:rPr>
              <w:t>钙离子</w:t>
            </w:r>
            <w:r>
              <w:rPr>
                <w:rFonts w:hint="eastAsia" w:ascii="宋体" w:hAnsi="宋体" w:cs="宋体"/>
                <w:sz w:val="18"/>
                <w:szCs w:val="18"/>
                <w:lang w:eastAsia="zh-CN"/>
              </w:rPr>
              <w:t>＞</w:t>
            </w:r>
            <w:r>
              <w:rPr>
                <w:rFonts w:hint="eastAsia" w:ascii="宋体" w:hAnsi="宋体" w:eastAsia="宋体" w:cs="宋体"/>
                <w:sz w:val="18"/>
                <w:szCs w:val="18"/>
              </w:rPr>
              <w:t>2.11</w:t>
            </w:r>
            <w:r>
              <w:rPr>
                <w:rFonts w:hint="eastAsia" w:ascii="宋体" w:hAnsi="宋体" w:cs="宋体"/>
                <w:sz w:val="18"/>
                <w:szCs w:val="18"/>
                <w:lang w:val="en-US" w:eastAsia="zh-CN"/>
              </w:rPr>
              <w:t xml:space="preserve"> </w:t>
            </w:r>
            <w:r>
              <w:rPr>
                <w:rFonts w:hint="eastAsia" w:ascii="宋体" w:hAnsi="宋体" w:eastAsia="宋体" w:cs="宋体"/>
                <w:sz w:val="18"/>
                <w:szCs w:val="18"/>
              </w:rPr>
              <w:t>mmol/L</w:t>
            </w:r>
          </w:p>
        </w:tc>
        <w:tc>
          <w:tcPr>
            <w:tcW w:w="2833" w:type="dxa"/>
            <w:noWrap w:val="0"/>
            <w:vAlign w:val="center"/>
          </w:tcPr>
          <w:p w14:paraId="79B4DBDD">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44F7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5FAF1815">
            <w:pPr>
              <w:spacing w:line="240" w:lineRule="auto"/>
              <w:jc w:val="center"/>
              <w:rPr>
                <w:rFonts w:hint="eastAsia" w:ascii="宋体" w:hAnsi="宋体" w:eastAsia="宋体" w:cs="宋体"/>
                <w:sz w:val="18"/>
                <w:szCs w:val="18"/>
              </w:rPr>
            </w:pPr>
          </w:p>
        </w:tc>
        <w:tc>
          <w:tcPr>
            <w:tcW w:w="4985" w:type="dxa"/>
            <w:gridSpan w:val="4"/>
            <w:noWrap w:val="0"/>
            <w:vAlign w:val="center"/>
          </w:tcPr>
          <w:p w14:paraId="01EDB751">
            <w:pPr>
              <w:spacing w:line="240" w:lineRule="auto"/>
              <w:jc w:val="left"/>
              <w:rPr>
                <w:rFonts w:hint="eastAsia" w:ascii="宋体" w:hAnsi="宋体" w:eastAsia="宋体" w:cs="宋体"/>
                <w:sz w:val="18"/>
                <w:szCs w:val="18"/>
              </w:rPr>
            </w:pPr>
            <w:r>
              <w:rPr>
                <w:rFonts w:hint="eastAsia" w:ascii="宋体" w:hAnsi="宋体" w:eastAsia="宋体" w:cs="宋体"/>
                <w:sz w:val="18"/>
                <w:szCs w:val="18"/>
              </w:rPr>
              <w:t>ALT</w:t>
            </w:r>
            <w:r>
              <w:rPr>
                <w:rFonts w:hint="eastAsia" w:ascii="宋体" w:hAnsi="宋体" w:cs="宋体"/>
                <w:sz w:val="18"/>
                <w:szCs w:val="18"/>
                <w:lang w:eastAsia="zh-CN"/>
              </w:rPr>
              <w:t>＜</w:t>
            </w:r>
            <w:r>
              <w:rPr>
                <w:rFonts w:hint="eastAsia" w:ascii="宋体" w:hAnsi="宋体" w:eastAsia="宋体" w:cs="宋体"/>
                <w:sz w:val="18"/>
                <w:szCs w:val="18"/>
              </w:rPr>
              <w:t>70</w:t>
            </w:r>
            <w:r>
              <w:rPr>
                <w:rFonts w:hint="eastAsia" w:ascii="宋体" w:hAnsi="宋体" w:cs="宋体"/>
                <w:sz w:val="18"/>
                <w:szCs w:val="18"/>
                <w:lang w:val="en-US" w:eastAsia="zh-CN"/>
              </w:rPr>
              <w:t xml:space="preserve"> </w:t>
            </w:r>
            <w:r>
              <w:rPr>
                <w:rFonts w:hint="eastAsia" w:ascii="宋体" w:hAnsi="宋体" w:eastAsia="宋体" w:cs="宋体"/>
                <w:sz w:val="18"/>
                <w:szCs w:val="18"/>
              </w:rPr>
              <w:t>U/L</w:t>
            </w:r>
          </w:p>
        </w:tc>
        <w:tc>
          <w:tcPr>
            <w:tcW w:w="2833" w:type="dxa"/>
            <w:noWrap w:val="0"/>
            <w:vAlign w:val="center"/>
          </w:tcPr>
          <w:p w14:paraId="02B2F073">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00DF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1D23054C">
            <w:pPr>
              <w:spacing w:line="240" w:lineRule="auto"/>
              <w:jc w:val="center"/>
              <w:rPr>
                <w:rFonts w:hint="eastAsia" w:ascii="宋体" w:hAnsi="宋体" w:eastAsia="宋体" w:cs="宋体"/>
                <w:sz w:val="18"/>
                <w:szCs w:val="18"/>
              </w:rPr>
            </w:pPr>
          </w:p>
        </w:tc>
        <w:tc>
          <w:tcPr>
            <w:tcW w:w="4985" w:type="dxa"/>
            <w:gridSpan w:val="4"/>
            <w:noWrap w:val="0"/>
            <w:vAlign w:val="center"/>
          </w:tcPr>
          <w:p w14:paraId="1A7C61DB">
            <w:pPr>
              <w:spacing w:line="240" w:lineRule="auto"/>
              <w:jc w:val="left"/>
              <w:rPr>
                <w:rFonts w:hint="eastAsia" w:ascii="宋体" w:hAnsi="宋体" w:eastAsia="宋体" w:cs="宋体"/>
                <w:sz w:val="18"/>
                <w:szCs w:val="18"/>
              </w:rPr>
            </w:pPr>
            <w:r>
              <w:rPr>
                <w:rFonts w:hint="eastAsia" w:ascii="宋体" w:hAnsi="宋体" w:eastAsia="宋体" w:cs="宋体"/>
                <w:sz w:val="18"/>
                <w:szCs w:val="18"/>
              </w:rPr>
              <w:t xml:space="preserve">AST </w:t>
            </w:r>
            <w:r>
              <w:rPr>
                <w:rFonts w:hint="eastAsia" w:ascii="宋体" w:hAnsi="宋体" w:cs="宋体"/>
                <w:sz w:val="18"/>
                <w:szCs w:val="18"/>
                <w:lang w:eastAsia="zh-CN"/>
              </w:rPr>
              <w:t>＜</w:t>
            </w:r>
            <w:r>
              <w:rPr>
                <w:rFonts w:hint="eastAsia" w:ascii="宋体" w:hAnsi="宋体" w:eastAsia="宋体" w:cs="宋体"/>
                <w:sz w:val="18"/>
                <w:szCs w:val="18"/>
              </w:rPr>
              <w:t>80</w:t>
            </w:r>
            <w:r>
              <w:rPr>
                <w:rFonts w:hint="eastAsia" w:ascii="宋体" w:hAnsi="宋体" w:cs="宋体"/>
                <w:sz w:val="18"/>
                <w:szCs w:val="18"/>
                <w:lang w:val="en-US" w:eastAsia="zh-CN"/>
              </w:rPr>
              <w:t xml:space="preserve"> </w:t>
            </w:r>
            <w:r>
              <w:rPr>
                <w:rFonts w:hint="eastAsia" w:ascii="宋体" w:hAnsi="宋体" w:eastAsia="宋体" w:cs="宋体"/>
                <w:sz w:val="18"/>
                <w:szCs w:val="18"/>
              </w:rPr>
              <w:t>U/L</w:t>
            </w:r>
          </w:p>
        </w:tc>
        <w:tc>
          <w:tcPr>
            <w:tcW w:w="2833" w:type="dxa"/>
            <w:noWrap w:val="0"/>
            <w:vAlign w:val="center"/>
          </w:tcPr>
          <w:p w14:paraId="195B159B">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3DA0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vMerge w:val="continue"/>
            <w:noWrap w:val="0"/>
            <w:vAlign w:val="center"/>
          </w:tcPr>
          <w:p w14:paraId="668A3BDF">
            <w:pPr>
              <w:spacing w:line="240" w:lineRule="auto"/>
              <w:jc w:val="center"/>
              <w:rPr>
                <w:rFonts w:hint="eastAsia" w:ascii="宋体" w:hAnsi="宋体" w:eastAsia="宋体" w:cs="宋体"/>
                <w:sz w:val="18"/>
                <w:szCs w:val="18"/>
              </w:rPr>
            </w:pPr>
          </w:p>
        </w:tc>
        <w:tc>
          <w:tcPr>
            <w:tcW w:w="4985" w:type="dxa"/>
            <w:gridSpan w:val="4"/>
            <w:noWrap w:val="0"/>
            <w:vAlign w:val="center"/>
          </w:tcPr>
          <w:p w14:paraId="088D51D1">
            <w:pPr>
              <w:spacing w:line="240" w:lineRule="auto"/>
              <w:jc w:val="left"/>
              <w:rPr>
                <w:rFonts w:hint="eastAsia" w:ascii="宋体" w:hAnsi="宋体" w:eastAsia="宋体" w:cs="宋体"/>
                <w:sz w:val="18"/>
                <w:szCs w:val="18"/>
              </w:rPr>
            </w:pPr>
            <w:r>
              <w:rPr>
                <w:rFonts w:hint="eastAsia" w:ascii="宋体" w:hAnsi="宋体" w:eastAsia="宋体" w:cs="宋体"/>
                <w:sz w:val="18"/>
                <w:szCs w:val="18"/>
              </w:rPr>
              <w:t>肌酐</w:t>
            </w:r>
            <w:r>
              <w:rPr>
                <w:rFonts w:hint="eastAsia" w:ascii="宋体" w:hAnsi="宋体" w:cs="宋体"/>
                <w:sz w:val="18"/>
                <w:szCs w:val="18"/>
                <w:lang w:eastAsia="zh-CN"/>
              </w:rPr>
              <w:t>＜</w:t>
            </w:r>
            <w:r>
              <w:rPr>
                <w:rFonts w:hint="eastAsia" w:ascii="宋体" w:hAnsi="宋体" w:eastAsia="宋体" w:cs="宋体"/>
                <w:sz w:val="18"/>
                <w:szCs w:val="18"/>
              </w:rPr>
              <w:t>177</w:t>
            </w:r>
            <w:r>
              <w:rPr>
                <w:rFonts w:hint="eastAsia" w:ascii="宋体" w:hAnsi="宋体" w:cs="宋体"/>
                <w:sz w:val="18"/>
                <w:szCs w:val="18"/>
                <w:lang w:val="en-US" w:eastAsia="zh-CN"/>
              </w:rPr>
              <w:t xml:space="preserve"> </w:t>
            </w:r>
            <w:r>
              <w:rPr>
                <w:rFonts w:hint="eastAsia" w:ascii="宋体" w:hAnsi="宋体" w:eastAsia="宋体" w:cs="宋体"/>
                <w:sz w:val="18"/>
                <w:szCs w:val="18"/>
              </w:rPr>
              <w:t>umol/L</w:t>
            </w:r>
          </w:p>
        </w:tc>
        <w:tc>
          <w:tcPr>
            <w:tcW w:w="2833" w:type="dxa"/>
            <w:noWrap w:val="0"/>
            <w:vAlign w:val="center"/>
          </w:tcPr>
          <w:p w14:paraId="76477F80">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合格□     不合格□</w:t>
            </w:r>
          </w:p>
        </w:tc>
      </w:tr>
      <w:tr w14:paraId="4FF8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noWrap w:val="0"/>
            <w:vAlign w:val="center"/>
          </w:tcPr>
          <w:p w14:paraId="539608F5">
            <w:pPr>
              <w:spacing w:line="240" w:lineRule="auto"/>
              <w:jc w:val="center"/>
              <w:rPr>
                <w:rFonts w:hint="eastAsia" w:ascii="宋体" w:hAnsi="宋体" w:eastAsia="宋体" w:cs="宋体"/>
                <w:sz w:val="18"/>
                <w:szCs w:val="18"/>
              </w:rPr>
            </w:pPr>
            <w:r>
              <w:rPr>
                <w:rFonts w:hint="eastAsia" w:ascii="宋体" w:hAnsi="宋体" w:eastAsia="宋体" w:cs="宋体"/>
                <w:sz w:val="18"/>
                <w:szCs w:val="18"/>
              </w:rPr>
              <w:t>功能科检查</w:t>
            </w:r>
          </w:p>
        </w:tc>
        <w:tc>
          <w:tcPr>
            <w:tcW w:w="7818" w:type="dxa"/>
            <w:gridSpan w:val="5"/>
            <w:noWrap w:val="0"/>
            <w:vAlign w:val="top"/>
          </w:tcPr>
          <w:p w14:paraId="1A242AD3">
            <w:pPr>
              <w:spacing w:line="240" w:lineRule="auto"/>
              <w:jc w:val="left"/>
              <w:rPr>
                <w:rFonts w:hint="eastAsia" w:ascii="宋体" w:hAnsi="宋体" w:eastAsia="宋体" w:cs="宋体"/>
                <w:sz w:val="18"/>
                <w:szCs w:val="18"/>
              </w:rPr>
            </w:pPr>
            <w:r>
              <w:rPr>
                <w:rFonts w:hint="eastAsia" w:ascii="宋体" w:hAnsi="宋体" w:eastAsia="宋体" w:cs="宋体"/>
                <w:sz w:val="18"/>
                <w:szCs w:val="18"/>
              </w:rPr>
              <w:t>心电图</w:t>
            </w:r>
            <w:r>
              <w:rPr>
                <w:rFonts w:hint="eastAsia" w:ascii="宋体" w:hAnsi="宋体" w:eastAsia="宋体" w:cs="宋体"/>
                <w:sz w:val="18"/>
                <w:szCs w:val="18"/>
                <w:lang w:val="en-US" w:eastAsia="zh-CN"/>
              </w:rPr>
              <w:t xml:space="preserve">                                                                       </w:t>
            </w:r>
          </w:p>
        </w:tc>
      </w:tr>
      <w:tr w14:paraId="389A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7" w:type="dxa"/>
            <w:noWrap w:val="0"/>
            <w:vAlign w:val="center"/>
          </w:tcPr>
          <w:p w14:paraId="6F8A702E">
            <w:pPr>
              <w:spacing w:line="240" w:lineRule="auto"/>
              <w:jc w:val="center"/>
              <w:rPr>
                <w:rFonts w:hint="eastAsia" w:ascii="宋体" w:hAnsi="宋体" w:eastAsia="宋体" w:cs="宋体"/>
                <w:sz w:val="18"/>
                <w:szCs w:val="18"/>
              </w:rPr>
            </w:pPr>
            <w:r>
              <w:rPr>
                <w:rFonts w:hint="eastAsia" w:ascii="宋体" w:hAnsi="宋体" w:eastAsia="宋体" w:cs="宋体"/>
                <w:sz w:val="18"/>
                <w:szCs w:val="18"/>
              </w:rPr>
              <w:t>评估结果</w:t>
            </w:r>
          </w:p>
        </w:tc>
        <w:tc>
          <w:tcPr>
            <w:tcW w:w="7818" w:type="dxa"/>
            <w:gridSpan w:val="5"/>
            <w:noWrap w:val="0"/>
            <w:vAlign w:val="center"/>
          </w:tcPr>
          <w:p w14:paraId="3BFEDEB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低出血风险，低血栓风险</w:t>
            </w:r>
          </w:p>
          <w:p w14:paraId="0BA9F0A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建议抗凝方案：________________________</w:t>
            </w:r>
          </w:p>
          <w:p w14:paraId="72D7BAF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 高出血风险</w:t>
            </w:r>
          </w:p>
          <w:p w14:paraId="7408A0C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 高血栓风险</w:t>
            </w:r>
          </w:p>
          <w:p w14:paraId="0654C71A">
            <w:pPr>
              <w:spacing w:line="24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其他：________________________</w:t>
            </w:r>
          </w:p>
          <w:p w14:paraId="7420AD53">
            <w:pPr>
              <w:spacing w:line="240" w:lineRule="auto"/>
              <w:jc w:val="left"/>
              <w:rPr>
                <w:rFonts w:hint="eastAsia" w:ascii="宋体" w:hAnsi="宋体" w:eastAsia="宋体" w:cs="宋体"/>
                <w:sz w:val="18"/>
                <w:szCs w:val="18"/>
              </w:rPr>
            </w:pPr>
          </w:p>
          <w:p w14:paraId="16109A93">
            <w:pPr>
              <w:spacing w:line="240"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医生签字：                           年   月   日    时   分</w:t>
            </w:r>
          </w:p>
          <w:p w14:paraId="344A9B7A">
            <w:pPr>
              <w:spacing w:line="240" w:lineRule="auto"/>
              <w:jc w:val="left"/>
              <w:rPr>
                <w:rFonts w:hint="eastAsia" w:ascii="宋体" w:hAnsi="宋体" w:eastAsia="宋体" w:cs="宋体"/>
                <w:sz w:val="18"/>
                <w:szCs w:val="18"/>
              </w:rPr>
            </w:pPr>
            <w:r>
              <w:rPr>
                <w:rFonts w:hint="eastAsia" w:ascii="宋体" w:hAnsi="宋体" w:cs="宋体"/>
                <w:sz w:val="18"/>
                <w:szCs w:val="18"/>
                <w:lang w:val="en-US" w:eastAsia="zh-CN"/>
              </w:rPr>
              <w:t>患者</w:t>
            </w:r>
            <w:r>
              <w:rPr>
                <w:rFonts w:hint="eastAsia" w:ascii="宋体" w:hAnsi="宋体" w:eastAsia="宋体" w:cs="宋体"/>
                <w:sz w:val="18"/>
                <w:szCs w:val="18"/>
              </w:rPr>
              <w:t>声明：</w:t>
            </w:r>
          </w:p>
          <w:p w14:paraId="43E1B156">
            <w:pPr>
              <w:spacing w:line="240"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本人对上述病史及检查信息确认，因隐瞒病史等情况而引发的后果由本人承担，同时本人已清楚我将要进行的诊疗方案，包括操作方式、此次操作中及操作后可能发生的并发症和风险，并且医生已充分的解答了我关于此次操作的相关问题。</w:t>
            </w:r>
          </w:p>
          <w:p w14:paraId="32BD536B">
            <w:pPr>
              <w:spacing w:line="240" w:lineRule="auto"/>
              <w:ind w:firstLine="360" w:firstLineChars="200"/>
              <w:jc w:val="left"/>
              <w:rPr>
                <w:rFonts w:hint="eastAsia" w:ascii="宋体" w:hAnsi="宋体" w:eastAsia="宋体" w:cs="宋体"/>
                <w:sz w:val="18"/>
                <w:szCs w:val="18"/>
              </w:rPr>
            </w:pPr>
            <w:r>
              <w:rPr>
                <w:rFonts w:hint="eastAsia" w:ascii="宋体" w:hAnsi="宋体" w:cs="宋体"/>
                <w:sz w:val="18"/>
                <w:szCs w:val="18"/>
                <w:lang w:eastAsia="zh-CN"/>
              </w:rPr>
              <w:t>患者</w:t>
            </w:r>
            <w:r>
              <w:rPr>
                <w:rFonts w:hint="eastAsia" w:ascii="宋体" w:hAnsi="宋体" w:eastAsia="宋体" w:cs="宋体"/>
                <w:sz w:val="18"/>
                <w:szCs w:val="18"/>
              </w:rPr>
              <w:t>签字：                            年    月    日   时    分</w:t>
            </w:r>
          </w:p>
          <w:p w14:paraId="2ECBDBCD">
            <w:pPr>
              <w:spacing w:line="24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患者/家属签名：_________ 与患者关系：______</w:t>
            </w:r>
          </w:p>
        </w:tc>
      </w:tr>
    </w:tbl>
    <w:p w14:paraId="6192CC19">
      <w:pPr>
        <w:pStyle w:val="12"/>
        <w:keepNext w:val="0"/>
        <w:keepLines w:val="0"/>
        <w:widowControl w:val="0"/>
        <w:suppressLineNumbers w:val="0"/>
        <w:adjustRightInd w:val="0"/>
        <w:spacing w:before="0" w:beforeAutospacing="0" w:after="0" w:afterAutospacing="0" w:line="240" w:lineRule="auto"/>
        <w:ind w:right="0"/>
        <w:jc w:val="both"/>
        <w:rPr>
          <w:rFonts w:hint="eastAsia" w:ascii="宋体" w:hAnsi="宋体" w:eastAsia="宋体" w:cs="宋体"/>
          <w:kern w:val="2"/>
          <w:sz w:val="21"/>
          <w:szCs w:val="21"/>
          <w:lang w:val="en-US" w:eastAsia="zh-CN" w:bidi="ar"/>
        </w:rPr>
      </w:pPr>
    </w:p>
    <w:p w14:paraId="46C6BD96">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spacing w:before="312" w:beforeLines="100" w:beforeAutospacing="0" w:after="312" w:afterLines="100" w:afterAutospacing="0" w:line="240" w:lineRule="auto"/>
        <w:ind w:left="0" w:right="0" w:firstLine="0"/>
        <w:jc w:val="left"/>
        <w:textAlignment w:val="auto"/>
        <w:outlineLvl w:val="2"/>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知情同意书</w:t>
      </w:r>
    </w:p>
    <w:p w14:paraId="0C3E6C33">
      <w:pPr>
        <w:ind w:firstLine="420" w:firstLineChars="200"/>
        <w:rPr>
          <w:rFonts w:hint="eastAsia" w:ascii="宋体" w:hAnsi="宋体" w:eastAsia="宋体" w:cs="宋体"/>
          <w:lang w:val="en-US" w:eastAsia="zh-CN"/>
        </w:rPr>
      </w:pPr>
      <w:r>
        <w:rPr>
          <w:rFonts w:hint="eastAsia" w:ascii="宋体" w:hAnsi="宋体" w:eastAsia="宋体" w:cs="宋体"/>
        </w:rPr>
        <w:t>全自动离心式血浆置换治疗知情同意书</w:t>
      </w:r>
      <w:r>
        <w:rPr>
          <w:rFonts w:hint="eastAsia" w:ascii="宋体" w:hAnsi="宋体" w:eastAsia="宋体" w:cs="宋体"/>
          <w:lang w:val="en-US" w:eastAsia="zh-CN"/>
        </w:rPr>
        <w:t>示例见表A.2。</w:t>
      </w:r>
    </w:p>
    <w:p w14:paraId="0892CF5D">
      <w:pPr>
        <w:keepNext w:val="0"/>
        <w:keepLines w:val="0"/>
        <w:pageBreakBefore w:val="0"/>
        <w:widowControl w:val="0"/>
        <w:kinsoku/>
        <w:wordWrap/>
        <w:overflowPunct/>
        <w:topLinePunct w:val="0"/>
        <w:autoSpaceDE/>
        <w:autoSpaceDN/>
        <w:bidi w:val="0"/>
        <w:adjustRightInd w:val="0"/>
        <w:snapToGrid/>
        <w:spacing w:before="157" w:beforeLines="50" w:after="157" w:afterLines="50" w:line="240" w:lineRule="auto"/>
        <w:jc w:val="center"/>
        <w:textAlignment w:val="auto"/>
        <w:rPr>
          <w:rFonts w:hint="eastAsia" w:ascii="黑体" w:hAnsi="宋体" w:eastAsia="黑体" w:cs="黑体"/>
          <w:kern w:val="0"/>
          <w:sz w:val="21"/>
          <w:szCs w:val="21"/>
          <w:shd w:val="clear" w:fill="auto"/>
          <w:lang w:val="en-US" w:eastAsia="zh-CN" w:bidi="ar"/>
        </w:rPr>
      </w:pPr>
      <w:r>
        <w:rPr>
          <w:rFonts w:hint="eastAsia" w:ascii="黑体" w:hAnsi="宋体" w:eastAsia="黑体" w:cs="黑体"/>
          <w:kern w:val="0"/>
          <w:sz w:val="21"/>
          <w:szCs w:val="21"/>
          <w:shd w:val="clear" w:fill="auto"/>
          <w:lang w:val="en-US" w:eastAsia="zh-CN" w:bidi="ar"/>
        </w:rPr>
        <w:t>表A.2　全自动离心式血浆置换治疗知情同意书</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3"/>
      </w:tblGrid>
      <w:tr w14:paraId="0B1D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tcPr>
          <w:p w14:paraId="4E7046C3">
            <w:pPr>
              <w:spacing w:line="240" w:lineRule="auto"/>
              <w:ind w:left="0" w:leftChars="0" w:firstLine="0" w:firstLineChars="0"/>
              <w:jc w:val="center"/>
              <w:rPr>
                <w:rFonts w:hint="eastAsia" w:ascii="宋体" w:hAnsi="宋体" w:eastAsia="宋体" w:cs="宋体"/>
                <w:b w:val="0"/>
                <w:bCs w:val="0"/>
                <w:sz w:val="15"/>
                <w:szCs w:val="15"/>
              </w:rPr>
            </w:pPr>
            <w:r>
              <w:rPr>
                <w:rFonts w:hint="eastAsia" w:ascii="黑体" w:hAnsi="宋体" w:eastAsia="黑体" w:cs="黑体"/>
                <w:kern w:val="0"/>
                <w:sz w:val="18"/>
                <w:szCs w:val="18"/>
                <w:shd w:val="clear" w:fill="auto"/>
                <w:lang w:val="en-US" w:eastAsia="zh-CN" w:bidi="ar"/>
              </w:rPr>
              <w:t>知情同意书</w:t>
            </w:r>
          </w:p>
          <w:p w14:paraId="3ECF51F2">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根据</w:t>
            </w:r>
            <w:r>
              <w:rPr>
                <w:rFonts w:hint="eastAsia" w:ascii="宋体" w:hAnsi="宋体" w:eastAsia="宋体" w:cs="宋体"/>
                <w:b w:val="0"/>
                <w:bCs w:val="0"/>
                <w:sz w:val="18"/>
                <w:szCs w:val="18"/>
                <w:lang w:eastAsia="zh-CN"/>
              </w:rPr>
              <w:t>患者</w:t>
            </w:r>
            <w:r>
              <w:rPr>
                <w:rFonts w:hint="eastAsia" w:ascii="宋体" w:hAnsi="宋体" w:eastAsia="宋体" w:cs="宋体"/>
                <w:b w:val="0"/>
                <w:bCs w:val="0"/>
                <w:sz w:val="18"/>
                <w:szCs w:val="18"/>
              </w:rPr>
              <w:t>目前的身体状况，需进行血浆置换。医师已针对</w:t>
            </w:r>
            <w:r>
              <w:rPr>
                <w:rFonts w:hint="eastAsia" w:ascii="宋体" w:hAnsi="宋体" w:eastAsia="宋体" w:cs="宋体"/>
                <w:b w:val="0"/>
                <w:bCs w:val="0"/>
                <w:sz w:val="18"/>
                <w:szCs w:val="18"/>
                <w:lang w:eastAsia="zh-CN"/>
              </w:rPr>
              <w:t>患者</w:t>
            </w:r>
            <w:r>
              <w:rPr>
                <w:rFonts w:hint="eastAsia" w:ascii="宋体" w:hAnsi="宋体" w:eastAsia="宋体" w:cs="宋体"/>
                <w:b w:val="0"/>
                <w:bCs w:val="0"/>
                <w:sz w:val="18"/>
                <w:szCs w:val="18"/>
              </w:rPr>
              <w:t>的身体状况，向本人/家属说明该治疗的必要性及优缺点，由于身体状况的关系及个体差异，在现有医学科学技术的条件下，实施该治疗可能出现无法预料或者不能防范的医疗风险和不良后果。</w:t>
            </w:r>
          </w:p>
          <w:p w14:paraId="6329DC1B">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一、方法及目的</w:t>
            </w:r>
          </w:p>
          <w:p w14:paraId="2AECCB43">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1、首先需要将</w:t>
            </w:r>
            <w:r>
              <w:rPr>
                <w:rFonts w:hint="eastAsia" w:ascii="宋体" w:hAnsi="宋体" w:eastAsia="宋体" w:cs="宋体"/>
                <w:b w:val="0"/>
                <w:bCs w:val="0"/>
                <w:sz w:val="18"/>
                <w:szCs w:val="18"/>
                <w:lang w:eastAsia="zh-CN"/>
              </w:rPr>
              <w:t>患者</w:t>
            </w:r>
            <w:r>
              <w:rPr>
                <w:rFonts w:hint="eastAsia" w:ascii="宋体" w:hAnsi="宋体" w:eastAsia="宋体" w:cs="宋体"/>
                <w:b w:val="0"/>
                <w:bCs w:val="0"/>
                <w:sz w:val="18"/>
                <w:szCs w:val="18"/>
              </w:rPr>
              <w:t>的血液引到体外，然后通过离心技术，清除血液的垃圾和毒素，经处理后的血液再回到患者体内。</w:t>
            </w:r>
          </w:p>
          <w:p w14:paraId="61C6A9A8">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2、能快速有效净化外源性血液污染、重金属、微聚体和颗粒物成分。有效去除部分甘油三酯，清除乳糜血脂，可降低高血粘度状态，畅通血流，疏通微循环，降低胰腺炎发生风险。可部分改善以下相关症状：头昏、痛、胀、失眠、健忘、耳鸣、倦怠、胸闷、肢体发麻、四肢乏力、唇齿发绀、瘀点瘀斑等。</w:t>
            </w:r>
          </w:p>
          <w:p w14:paraId="1229D656">
            <w:pPr>
              <w:spacing w:line="240" w:lineRule="auto"/>
              <w:ind w:left="0" w:leftChars="0" w:firstLine="419" w:firstLineChars="233"/>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rPr>
              <w:t>二、 治疗可能出现的并发症及不良后果列举如下</w:t>
            </w:r>
            <w:r>
              <w:rPr>
                <w:rFonts w:hint="eastAsia" w:ascii="宋体" w:hAnsi="宋体" w:cs="宋体"/>
                <w:b w:val="0"/>
                <w:bCs w:val="0"/>
                <w:sz w:val="18"/>
                <w:szCs w:val="18"/>
                <w:lang w:eastAsia="zh-CN"/>
              </w:rPr>
              <w:t>：</w:t>
            </w:r>
          </w:p>
          <w:p w14:paraId="23ACD081">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1、为防止血液在体外管路和离心杯发生凝固，需要在治疗过程中应用抗凝药物，具有发生出血事件的风险。如消化道出血、脑出血等。</w:t>
            </w:r>
          </w:p>
          <w:p w14:paraId="408A263D">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2、低血压、心力衰竭、心肌梗死、心律失常及脑血管意外等。</w:t>
            </w:r>
          </w:p>
          <w:p w14:paraId="68D88701">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3、空气栓塞。</w:t>
            </w:r>
          </w:p>
          <w:p w14:paraId="1E43448D">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4、溶血、发热。</w:t>
            </w:r>
          </w:p>
          <w:p w14:paraId="42717EF8">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5、肝功能异常。</w:t>
            </w:r>
          </w:p>
          <w:p w14:paraId="38EE9818">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6、过敏反应。</w:t>
            </w:r>
          </w:p>
          <w:p w14:paraId="3062BB13">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7、血管通路局部可能发生出血、血肿。</w:t>
            </w:r>
          </w:p>
          <w:p w14:paraId="27B3C84F">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8、因机体的特殊性，凝血功能的差异性，治疗过程中可能发生循环管路局部堵塞，导致治疗无法继续进行，需要更换管路。</w:t>
            </w:r>
          </w:p>
          <w:p w14:paraId="606FF233">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9、因血压过低，严重出血倾向，或过度衰弱，无法承担治疗时，需终止治疗。</w:t>
            </w:r>
          </w:p>
          <w:p w14:paraId="6FB5F4B2">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10、因不可抗拒因素（自然灾害、区域性供水电不足）导致治疗终止。</w:t>
            </w:r>
          </w:p>
          <w:p w14:paraId="29556CB9">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11、由于医学技术的特殊性以及个体差异，包括自身所患基础疾病等，尚有可能发生的其他难以预料的、危及患者生命的意外情况。</w:t>
            </w:r>
          </w:p>
          <w:p w14:paraId="4A088B0F">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12、一旦发生上述风险和意外，医生会采取相应救治措施积极应对。</w:t>
            </w:r>
          </w:p>
          <w:p w14:paraId="6FCE87EC">
            <w:pPr>
              <w:spacing w:line="240" w:lineRule="auto"/>
              <w:ind w:left="0" w:leftChars="0" w:firstLine="419" w:firstLineChars="233"/>
              <w:rPr>
                <w:rFonts w:hint="eastAsia" w:ascii="宋体" w:hAnsi="宋体" w:eastAsia="宋体" w:cs="宋体"/>
                <w:b w:val="0"/>
                <w:bCs w:val="0"/>
                <w:sz w:val="18"/>
                <w:szCs w:val="18"/>
              </w:rPr>
            </w:pPr>
            <w:r>
              <w:rPr>
                <w:rFonts w:hint="eastAsia" w:ascii="宋体" w:hAnsi="宋体" w:eastAsia="宋体" w:cs="宋体"/>
                <w:b w:val="0"/>
                <w:bCs w:val="0"/>
                <w:sz w:val="18"/>
                <w:szCs w:val="18"/>
              </w:rPr>
              <w:t>医师已充分向</w:t>
            </w:r>
            <w:r>
              <w:rPr>
                <w:rFonts w:hint="eastAsia" w:ascii="宋体" w:hAnsi="宋体" w:eastAsia="宋体" w:cs="宋体"/>
                <w:b w:val="0"/>
                <w:bCs w:val="0"/>
                <w:sz w:val="18"/>
                <w:szCs w:val="18"/>
                <w:lang w:eastAsia="zh-CN"/>
              </w:rPr>
              <w:t>患者</w:t>
            </w:r>
            <w:r>
              <w:rPr>
                <w:rFonts w:hint="eastAsia" w:ascii="宋体" w:hAnsi="宋体" w:eastAsia="宋体" w:cs="宋体"/>
                <w:b w:val="0"/>
                <w:bCs w:val="0"/>
                <w:sz w:val="18"/>
                <w:szCs w:val="18"/>
              </w:rPr>
              <w:t>本人(及</w:t>
            </w:r>
            <w:r>
              <w:rPr>
                <w:rFonts w:hint="eastAsia" w:ascii="宋体" w:hAnsi="宋体" w:eastAsia="宋体" w:cs="宋体"/>
                <w:b w:val="0"/>
                <w:bCs w:val="0"/>
                <w:sz w:val="18"/>
                <w:szCs w:val="18"/>
                <w:lang w:eastAsia="zh-CN"/>
              </w:rPr>
              <w:t>患者</w:t>
            </w:r>
            <w:r>
              <w:rPr>
                <w:rFonts w:hint="eastAsia" w:ascii="宋体" w:hAnsi="宋体" w:eastAsia="宋体" w:cs="宋体"/>
                <w:b w:val="0"/>
                <w:bCs w:val="0"/>
                <w:sz w:val="18"/>
                <w:szCs w:val="18"/>
              </w:rPr>
              <w:t>近亲属或代理人)交代将要进行的诊疗方案，包括操作方式、此次操作中及操作后可能发生的并发症和风险。若发生所述情况，医务人员将按医疗原则予以抢救，但仍可能产生不良后果，是否同意此项治疗_____________（请填写： 同意/不同意），请书面表明意愿并签字。</w:t>
            </w:r>
          </w:p>
          <w:p w14:paraId="7118FE96">
            <w:pPr>
              <w:spacing w:line="240" w:lineRule="auto"/>
              <w:ind w:left="0" w:leftChars="0" w:firstLine="419" w:firstLineChars="233"/>
              <w:rPr>
                <w:rFonts w:hint="eastAsia" w:ascii="宋体" w:hAnsi="宋体" w:eastAsia="宋体" w:cs="宋体"/>
                <w:b w:val="0"/>
                <w:bCs w:val="0"/>
                <w:sz w:val="18"/>
                <w:szCs w:val="18"/>
              </w:rPr>
            </w:pPr>
          </w:p>
        </w:tc>
      </w:tr>
      <w:tr w14:paraId="7A13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tcPr>
          <w:p w14:paraId="716AB7F4">
            <w:pPr>
              <w:spacing w:line="240" w:lineRule="auto"/>
              <w:rPr>
                <w:rFonts w:hint="eastAsia" w:ascii="宋体" w:hAnsi="宋体" w:eastAsia="宋体" w:cs="宋体"/>
                <w:sz w:val="18"/>
                <w:szCs w:val="18"/>
              </w:rPr>
            </w:pPr>
            <w:r>
              <w:rPr>
                <w:rFonts w:hint="eastAsia" w:ascii="宋体" w:hAnsi="宋体" w:eastAsia="宋体" w:cs="宋体"/>
                <w:sz w:val="18"/>
                <w:szCs w:val="18"/>
              </w:rPr>
              <w:t>患者/家属签名：_________ 与患者关系：______</w:t>
            </w:r>
          </w:p>
          <w:p w14:paraId="6435328D">
            <w:pPr>
              <w:spacing w:line="240" w:lineRule="auto"/>
              <w:rPr>
                <w:rFonts w:hint="eastAsia" w:ascii="宋体" w:hAnsi="宋体" w:eastAsia="宋体" w:cs="宋体"/>
                <w:sz w:val="18"/>
                <w:szCs w:val="18"/>
                <w:vertAlign w:val="baseline"/>
              </w:rPr>
            </w:pPr>
            <w:r>
              <w:rPr>
                <w:rFonts w:hint="eastAsia" w:ascii="宋体" w:hAnsi="宋体" w:eastAsia="宋体" w:cs="宋体"/>
                <w:sz w:val="18"/>
                <w:szCs w:val="18"/>
              </w:rPr>
              <w:t>医师签名：__________ 签名日期： ___年__月__日</w:t>
            </w:r>
          </w:p>
        </w:tc>
      </w:tr>
    </w:tbl>
    <w:p w14:paraId="2ED1A9F1">
      <w:pPr>
        <w:rPr>
          <w:rFonts w:hint="eastAsia"/>
        </w:rPr>
      </w:pPr>
    </w:p>
    <w:p w14:paraId="6CE90B57">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val="0"/>
        <w:spacing w:before="312" w:beforeLines="100" w:beforeAutospacing="0" w:after="312" w:afterLines="100" w:afterAutospacing="0" w:line="240" w:lineRule="auto"/>
        <w:ind w:left="0" w:right="0" w:firstLine="0"/>
        <w:jc w:val="left"/>
        <w:textAlignment w:val="auto"/>
        <w:outlineLvl w:val="2"/>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治疗记录单</w:t>
      </w:r>
    </w:p>
    <w:p w14:paraId="13A07FB1">
      <w:pPr>
        <w:keepLines w:val="0"/>
        <w:pageBreakBefore w:val="0"/>
        <w:kinsoku/>
        <w:wordWrap/>
        <w:overflowPunct/>
        <w:topLinePunct w:val="0"/>
        <w:autoSpaceDN/>
        <w:bidi w:val="0"/>
        <w:adjustRightInd w:val="0"/>
        <w:snapToGrid w:val="0"/>
        <w:ind w:firstLine="420" w:firstLineChars="200"/>
        <w:textAlignment w:val="auto"/>
        <w:rPr>
          <w:rFonts w:hint="eastAsia" w:ascii="宋体" w:hAnsi="宋体" w:eastAsia="宋体" w:cs="宋体"/>
          <w:lang w:val="en-US" w:eastAsia="zh-CN"/>
        </w:rPr>
      </w:pPr>
      <w:r>
        <w:rPr>
          <w:rFonts w:hint="eastAsia" w:ascii="宋体" w:hAnsi="宋体" w:eastAsia="宋体" w:cs="宋体"/>
        </w:rPr>
        <w:t>全自动离心式血浆置换治疗记录单</w:t>
      </w:r>
      <w:r>
        <w:rPr>
          <w:rFonts w:hint="eastAsia" w:ascii="宋体" w:hAnsi="宋体" w:eastAsia="宋体" w:cs="宋体"/>
          <w:lang w:val="en-US" w:eastAsia="zh-CN"/>
        </w:rPr>
        <w:t>示例见表A.3。</w:t>
      </w:r>
    </w:p>
    <w:p w14:paraId="3505FEC8">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黑体" w:hAnsi="宋体" w:eastAsia="黑体" w:cs="黑体"/>
          <w:kern w:val="0"/>
          <w:sz w:val="21"/>
          <w:szCs w:val="21"/>
          <w:shd w:val="clear" w:fill="auto"/>
          <w:lang w:val="en-US" w:eastAsia="zh-CN" w:bidi="ar"/>
        </w:rPr>
      </w:pPr>
      <w:r>
        <w:rPr>
          <w:rFonts w:hint="eastAsia" w:ascii="黑体" w:hAnsi="宋体" w:eastAsia="黑体" w:cs="黑体"/>
          <w:kern w:val="0"/>
          <w:sz w:val="21"/>
          <w:szCs w:val="21"/>
          <w:shd w:val="clear" w:fill="auto"/>
          <w:lang w:val="en-US" w:eastAsia="zh-CN" w:bidi="ar"/>
        </w:rPr>
        <w:t>表A.3　全自动离心式血浆置换治疗记录单</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18E0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386D7672">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left"/>
              <w:textAlignment w:val="auto"/>
              <w:rPr>
                <w:rFonts w:hint="eastAsia" w:ascii="宋体" w:hAnsi="宋体" w:eastAsia="宋体" w:cs="宋体"/>
                <w:kern w:val="0"/>
                <w:sz w:val="18"/>
                <w:szCs w:val="18"/>
                <w:shd w:val="clear" w:fill="auto"/>
                <w:vertAlign w:val="baseline"/>
                <w:lang w:val="en-US" w:eastAsia="zh-CN" w:bidi="ar"/>
              </w:rPr>
            </w:pPr>
            <w:r>
              <w:rPr>
                <w:rFonts w:hint="eastAsia" w:ascii="宋体" w:hAnsi="宋体" w:eastAsia="宋体" w:cs="宋体"/>
                <w:sz w:val="18"/>
                <w:szCs w:val="18"/>
              </w:rPr>
              <w:t>姓名：_________ 性别：_____ 年龄：_____ 病历号：______</w:t>
            </w:r>
          </w:p>
        </w:tc>
      </w:tr>
      <w:tr w14:paraId="45A1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40DDB1F1">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left"/>
              <w:textAlignment w:val="auto"/>
              <w:rPr>
                <w:rFonts w:hint="eastAsia" w:ascii="宋体" w:hAnsi="宋体" w:eastAsia="宋体" w:cs="宋体"/>
                <w:sz w:val="18"/>
                <w:szCs w:val="18"/>
              </w:rPr>
            </w:pPr>
            <w:r>
              <w:rPr>
                <w:rFonts w:hint="eastAsia" w:ascii="宋体" w:hAnsi="宋体" w:eastAsia="宋体" w:cs="宋体"/>
                <w:sz w:val="18"/>
                <w:szCs w:val="18"/>
              </w:rPr>
              <w:t>基本情况：血压     /     mmHg      脉搏     次/分</w:t>
            </w:r>
          </w:p>
          <w:p w14:paraId="0D81932E">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 xml:space="preserve">      呼吸     次/</w:t>
            </w:r>
            <w:r>
              <w:rPr>
                <w:rFonts w:hint="eastAsia" w:ascii="宋体" w:hAnsi="宋体" w:cs="宋体"/>
                <w:sz w:val="18"/>
                <w:szCs w:val="18"/>
                <w:lang w:val="en-US" w:eastAsia="zh-CN"/>
              </w:rPr>
              <w:t>分钟</w:t>
            </w:r>
            <w:r>
              <w:rPr>
                <w:rFonts w:hint="eastAsia" w:ascii="宋体" w:hAnsi="宋体" w:eastAsia="宋体" w:cs="宋体"/>
                <w:sz w:val="18"/>
                <w:szCs w:val="18"/>
              </w:rPr>
              <w:t xml:space="preserve">           体重      kg      身高       cm</w:t>
            </w:r>
          </w:p>
        </w:tc>
      </w:tr>
      <w:tr w14:paraId="13DA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3BB56FCF">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rPr>
              <w:t>一、</w:t>
            </w:r>
            <w:r>
              <w:rPr>
                <w:rFonts w:hint="eastAsia" w:ascii="宋体" w:hAnsi="宋体" w:eastAsia="宋体" w:cs="宋体"/>
                <w:b/>
                <w:bCs/>
                <w:sz w:val="18"/>
                <w:szCs w:val="18"/>
                <w:lang w:val="en-US" w:eastAsia="zh-CN"/>
              </w:rPr>
              <w:t>治疗参数</w:t>
            </w:r>
          </w:p>
          <w:p w14:paraId="2D156A0B">
            <w:pPr>
              <w:keepNext w:val="0"/>
              <w:keepLines w:val="0"/>
              <w:pageBreakBefore w:val="0"/>
              <w:numPr>
                <w:ilvl w:val="0"/>
                <w:numId w:val="23"/>
              </w:numPr>
              <w:kinsoku/>
              <w:wordWrap/>
              <w:overflowPunct/>
              <w:topLinePunct w:val="0"/>
              <w:autoSpaceDE/>
              <w:autoSpaceDN/>
              <w:bidi w:val="0"/>
              <w:adjustRightInd/>
              <w:snapToGrid/>
              <w:spacing w:line="240" w:lineRule="auto"/>
              <w:ind w:left="840" w:leftChars="0" w:hanging="425" w:firstLineChars="0"/>
              <w:textAlignment w:val="auto"/>
              <w:rPr>
                <w:rFonts w:hint="eastAsia" w:ascii="宋体" w:hAnsi="宋体" w:eastAsia="宋体" w:cs="宋体"/>
                <w:sz w:val="18"/>
                <w:szCs w:val="18"/>
              </w:rPr>
            </w:pPr>
            <w:r>
              <w:rPr>
                <w:rFonts w:hint="eastAsia" w:ascii="宋体" w:hAnsi="宋体" w:eastAsia="宋体" w:cs="宋体"/>
                <w:sz w:val="18"/>
                <w:szCs w:val="18"/>
              </w:rPr>
              <w:t xml:space="preserve">设备型号：______ </w:t>
            </w:r>
            <w:r>
              <w:rPr>
                <w:rFonts w:hint="eastAsia" w:ascii="宋体" w:hAnsi="宋体" w:cs="宋体"/>
                <w:sz w:val="18"/>
                <w:szCs w:val="18"/>
                <w:lang w:val="en-US" w:eastAsia="zh-CN"/>
              </w:rPr>
              <w:t xml:space="preserve">       </w:t>
            </w:r>
            <w:r>
              <w:rPr>
                <w:rFonts w:hint="eastAsia" w:ascii="宋体" w:hAnsi="宋体" w:eastAsia="宋体" w:cs="宋体"/>
                <w:sz w:val="18"/>
                <w:szCs w:val="18"/>
              </w:rPr>
              <w:t>管路/分离器型号：______</w:t>
            </w:r>
          </w:p>
          <w:p w14:paraId="0478174E">
            <w:pPr>
              <w:keepNext w:val="0"/>
              <w:keepLines w:val="0"/>
              <w:pageBreakBefore w:val="0"/>
              <w:numPr>
                <w:ilvl w:val="0"/>
                <w:numId w:val="23"/>
              </w:numPr>
              <w:kinsoku/>
              <w:wordWrap/>
              <w:overflowPunct/>
              <w:topLinePunct w:val="0"/>
              <w:autoSpaceDE/>
              <w:autoSpaceDN/>
              <w:bidi w:val="0"/>
              <w:adjustRightInd/>
              <w:snapToGrid/>
              <w:spacing w:line="240" w:lineRule="auto"/>
              <w:ind w:left="840" w:leftChars="0" w:hanging="425" w:firstLineChars="0"/>
              <w:textAlignment w:val="auto"/>
              <w:rPr>
                <w:rFonts w:hint="eastAsia" w:ascii="宋体" w:hAnsi="宋体" w:eastAsia="宋体" w:cs="宋体"/>
                <w:sz w:val="18"/>
                <w:szCs w:val="18"/>
              </w:rPr>
            </w:pPr>
            <w:r>
              <w:rPr>
                <w:rFonts w:hint="eastAsia" w:ascii="宋体" w:hAnsi="宋体" w:eastAsia="宋体" w:cs="宋体"/>
                <w:sz w:val="18"/>
                <w:szCs w:val="18"/>
              </w:rPr>
              <w:t xml:space="preserve">置换目标量：____ mL </w:t>
            </w:r>
            <w:r>
              <w:rPr>
                <w:rFonts w:hint="eastAsia" w:ascii="宋体" w:hAnsi="宋体" w:cs="宋体"/>
                <w:sz w:val="18"/>
                <w:szCs w:val="18"/>
                <w:lang w:val="en-US" w:eastAsia="zh-CN"/>
              </w:rPr>
              <w:t xml:space="preserve">    </w:t>
            </w:r>
            <w:r>
              <w:rPr>
                <w:rFonts w:hint="eastAsia" w:ascii="宋体" w:hAnsi="宋体" w:eastAsia="宋体" w:cs="宋体"/>
                <w:sz w:val="18"/>
                <w:szCs w:val="18"/>
              </w:rPr>
              <w:t>抗凝剂及比例：______</w:t>
            </w:r>
          </w:p>
          <w:p w14:paraId="7775FBFD">
            <w:pPr>
              <w:keepNext w:val="0"/>
              <w:keepLines w:val="0"/>
              <w:pageBreakBefore w:val="0"/>
              <w:numPr>
                <w:ilvl w:val="0"/>
                <w:numId w:val="23"/>
              </w:numPr>
              <w:kinsoku/>
              <w:wordWrap/>
              <w:overflowPunct/>
              <w:topLinePunct w:val="0"/>
              <w:autoSpaceDE/>
              <w:autoSpaceDN/>
              <w:bidi w:val="0"/>
              <w:adjustRightInd/>
              <w:snapToGrid/>
              <w:spacing w:line="240" w:lineRule="auto"/>
              <w:ind w:left="840" w:leftChars="0" w:hanging="425" w:firstLineChars="0"/>
              <w:textAlignment w:val="auto"/>
              <w:rPr>
                <w:rFonts w:hint="eastAsia" w:ascii="宋体" w:hAnsi="宋体" w:eastAsia="宋体" w:cs="宋体"/>
                <w:sz w:val="18"/>
                <w:szCs w:val="18"/>
              </w:rPr>
            </w:pPr>
            <w:r>
              <w:rPr>
                <w:rFonts w:hint="eastAsia" w:ascii="宋体" w:hAnsi="宋体" w:eastAsia="宋体" w:cs="宋体"/>
                <w:sz w:val="18"/>
                <w:szCs w:val="18"/>
              </w:rPr>
              <w:t>血管通路（静脉穿刺部位）：□肘正中静脉 □其他：_____</w:t>
            </w:r>
          </w:p>
          <w:p w14:paraId="1D81B5A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sz w:val="18"/>
                <w:szCs w:val="18"/>
              </w:rPr>
            </w:pPr>
            <w:r>
              <w:rPr>
                <w:rFonts w:hint="eastAsia" w:ascii="宋体" w:hAnsi="宋体" w:eastAsia="宋体" w:cs="宋体"/>
                <w:b/>
                <w:bCs/>
                <w:sz w:val="18"/>
                <w:szCs w:val="18"/>
              </w:rPr>
              <w:t>二、治疗过程记录</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4"/>
              <w:gridCol w:w="1375"/>
              <w:gridCol w:w="1374"/>
              <w:gridCol w:w="1375"/>
              <w:gridCol w:w="1375"/>
              <w:gridCol w:w="1375"/>
              <w:gridCol w:w="1375"/>
            </w:tblGrid>
            <w:tr w14:paraId="56AB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vAlign w:val="center"/>
                </w:tcPr>
                <w:p w14:paraId="32864E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vertAlign w:val="baseline"/>
                    </w:rPr>
                  </w:pPr>
                  <w:r>
                    <w:rPr>
                      <w:rFonts w:hint="eastAsia" w:ascii="宋体" w:hAnsi="宋体" w:eastAsia="宋体" w:cs="宋体"/>
                      <w:i w:val="0"/>
                      <w:iCs w:val="0"/>
                      <w:caps w:val="0"/>
                      <w:color w:val="0F1115"/>
                      <w:spacing w:val="0"/>
                      <w:kern w:val="0"/>
                      <w:sz w:val="18"/>
                      <w:szCs w:val="18"/>
                      <w:lang w:val="en-US" w:eastAsia="zh-CN" w:bidi="ar"/>
                    </w:rPr>
                    <w:t>时间</w:t>
                  </w:r>
                </w:p>
              </w:tc>
              <w:tc>
                <w:tcPr>
                  <w:tcW w:w="1375" w:type="dxa"/>
                  <w:vAlign w:val="center"/>
                </w:tcPr>
                <w:p w14:paraId="4528EF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vertAlign w:val="baseline"/>
                    </w:rPr>
                  </w:pPr>
                  <w:r>
                    <w:rPr>
                      <w:rFonts w:hint="eastAsia" w:ascii="宋体" w:hAnsi="宋体" w:eastAsia="宋体" w:cs="宋体"/>
                      <w:i w:val="0"/>
                      <w:iCs w:val="0"/>
                      <w:caps w:val="0"/>
                      <w:color w:val="0F1115"/>
                      <w:spacing w:val="0"/>
                      <w:kern w:val="0"/>
                      <w:sz w:val="18"/>
                      <w:szCs w:val="18"/>
                      <w:lang w:val="en-US" w:eastAsia="zh-CN" w:bidi="ar"/>
                    </w:rPr>
                    <w:t>血压 (mmHg)</w:t>
                  </w:r>
                </w:p>
              </w:tc>
              <w:tc>
                <w:tcPr>
                  <w:tcW w:w="1374" w:type="dxa"/>
                  <w:vAlign w:val="center"/>
                </w:tcPr>
                <w:p w14:paraId="1C2EA7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vertAlign w:val="baseline"/>
                    </w:rPr>
                  </w:pPr>
                  <w:r>
                    <w:rPr>
                      <w:rFonts w:hint="eastAsia" w:ascii="宋体" w:hAnsi="宋体" w:eastAsia="宋体" w:cs="宋体"/>
                      <w:i w:val="0"/>
                      <w:iCs w:val="0"/>
                      <w:caps w:val="0"/>
                      <w:color w:val="0F1115"/>
                      <w:spacing w:val="0"/>
                      <w:kern w:val="0"/>
                      <w:sz w:val="18"/>
                      <w:szCs w:val="18"/>
                      <w:lang w:val="en-US" w:eastAsia="zh-CN" w:bidi="ar"/>
                    </w:rPr>
                    <w:t>心率 (次/</w:t>
                  </w:r>
                  <w:r>
                    <w:rPr>
                      <w:rFonts w:hint="eastAsia" w:ascii="宋体" w:hAnsi="宋体" w:cs="宋体"/>
                      <w:i w:val="0"/>
                      <w:iCs w:val="0"/>
                      <w:caps w:val="0"/>
                      <w:color w:val="0F1115"/>
                      <w:spacing w:val="0"/>
                      <w:kern w:val="0"/>
                      <w:sz w:val="18"/>
                      <w:szCs w:val="18"/>
                      <w:lang w:val="en-US" w:eastAsia="zh-CN" w:bidi="ar"/>
                    </w:rPr>
                    <w:t>分钟</w:t>
                  </w:r>
                  <w:r>
                    <w:rPr>
                      <w:rFonts w:hint="eastAsia" w:ascii="宋体" w:hAnsi="宋体" w:eastAsia="宋体" w:cs="宋体"/>
                      <w:i w:val="0"/>
                      <w:iCs w:val="0"/>
                      <w:caps w:val="0"/>
                      <w:color w:val="0F1115"/>
                      <w:spacing w:val="0"/>
                      <w:kern w:val="0"/>
                      <w:sz w:val="18"/>
                      <w:szCs w:val="18"/>
                      <w:lang w:val="en-US" w:eastAsia="zh-CN" w:bidi="ar"/>
                    </w:rPr>
                    <w:t>)</w:t>
                  </w:r>
                </w:p>
              </w:tc>
              <w:tc>
                <w:tcPr>
                  <w:tcW w:w="1375" w:type="dxa"/>
                  <w:vAlign w:val="center"/>
                </w:tcPr>
                <w:p w14:paraId="21FD02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输出速度(mL/min)</w:t>
                  </w:r>
                </w:p>
              </w:tc>
              <w:tc>
                <w:tcPr>
                  <w:tcW w:w="1375" w:type="dxa"/>
                  <w:vAlign w:val="center"/>
                </w:tcPr>
                <w:p w14:paraId="2CEA41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vertAlign w:val="baseline"/>
                    </w:rPr>
                  </w:pPr>
                  <w:r>
                    <w:rPr>
                      <w:rFonts w:hint="eastAsia" w:ascii="宋体" w:hAnsi="宋体" w:cs="宋体"/>
                      <w:i w:val="0"/>
                      <w:iCs w:val="0"/>
                      <w:caps w:val="0"/>
                      <w:color w:val="0F1115"/>
                      <w:spacing w:val="0"/>
                      <w:kern w:val="0"/>
                      <w:sz w:val="18"/>
                      <w:szCs w:val="18"/>
                      <w:lang w:val="en-US" w:eastAsia="zh-CN" w:bidi="ar"/>
                    </w:rPr>
                    <w:t>回输速度</w:t>
                  </w:r>
                  <w:r>
                    <w:rPr>
                      <w:rFonts w:hint="eastAsia" w:ascii="宋体" w:hAnsi="宋体" w:eastAsia="宋体" w:cs="宋体"/>
                      <w:i w:val="0"/>
                      <w:iCs w:val="0"/>
                      <w:caps w:val="0"/>
                      <w:color w:val="0F1115"/>
                      <w:spacing w:val="0"/>
                      <w:kern w:val="0"/>
                      <w:sz w:val="18"/>
                      <w:szCs w:val="18"/>
                      <w:lang w:val="en-US" w:eastAsia="zh-CN" w:bidi="ar"/>
                    </w:rPr>
                    <w:t>(mL/min)</w:t>
                  </w:r>
                </w:p>
              </w:tc>
              <w:tc>
                <w:tcPr>
                  <w:tcW w:w="1375" w:type="dxa"/>
                  <w:vAlign w:val="center"/>
                </w:tcPr>
                <w:p w14:paraId="555410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vertAlign w:val="baseline"/>
                    </w:rPr>
                  </w:pPr>
                  <w:r>
                    <w:rPr>
                      <w:rFonts w:hint="eastAsia" w:ascii="宋体" w:hAnsi="宋体" w:eastAsia="宋体" w:cs="宋体"/>
                      <w:i w:val="0"/>
                      <w:iCs w:val="0"/>
                      <w:caps w:val="0"/>
                      <w:color w:val="0F1115"/>
                      <w:spacing w:val="0"/>
                      <w:kern w:val="0"/>
                      <w:sz w:val="18"/>
                      <w:szCs w:val="18"/>
                      <w:lang w:val="en-US" w:eastAsia="zh-CN" w:bidi="ar"/>
                    </w:rPr>
                    <w:t>处理血浆量(mL)</w:t>
                  </w:r>
                </w:p>
              </w:tc>
              <w:tc>
                <w:tcPr>
                  <w:tcW w:w="1375" w:type="dxa"/>
                  <w:vAlign w:val="center"/>
                </w:tcPr>
                <w:p w14:paraId="169A7C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vertAlign w:val="baseline"/>
                    </w:rPr>
                  </w:pPr>
                  <w:r>
                    <w:rPr>
                      <w:rFonts w:hint="eastAsia" w:ascii="宋体" w:hAnsi="宋体" w:eastAsia="宋体" w:cs="宋体"/>
                      <w:i w:val="0"/>
                      <w:iCs w:val="0"/>
                      <w:caps w:val="0"/>
                      <w:color w:val="0F1115"/>
                      <w:spacing w:val="0"/>
                      <w:kern w:val="0"/>
                      <w:sz w:val="18"/>
                      <w:szCs w:val="18"/>
                      <w:lang w:val="en-US" w:eastAsia="zh-CN" w:bidi="ar"/>
                    </w:rPr>
                    <w:t>主要情况与处理（并发症、用药等）</w:t>
                  </w:r>
                </w:p>
              </w:tc>
            </w:tr>
            <w:tr w14:paraId="3C98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tcPr>
                <w:p w14:paraId="38BEB283">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089DAE87">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4" w:type="dxa"/>
                </w:tcPr>
                <w:p w14:paraId="5DA539C6">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3BECA24">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50606B84">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41D8484">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1943909D">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r>
            <w:tr w14:paraId="4E2D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tcPr>
                <w:p w14:paraId="305D2668">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188A1E38">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4" w:type="dxa"/>
                </w:tcPr>
                <w:p w14:paraId="09923FD4">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7285393B">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6CAE45D1">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DB0AC38">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3C2BC2C">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r>
            <w:tr w14:paraId="7B56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tcPr>
                <w:p w14:paraId="463A3D7A">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5E65C09">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4" w:type="dxa"/>
                </w:tcPr>
                <w:p w14:paraId="14FBCA8F">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555B54F6">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B0B23CF">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1A990E1A">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4AD084DA">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r>
            <w:tr w14:paraId="2147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tcPr>
                <w:p w14:paraId="51FDF626">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6247B92A">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4" w:type="dxa"/>
                </w:tcPr>
                <w:p w14:paraId="7AB58F58">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6D74FDB5">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F0282A9">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0A644FF0">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59F1ADB3">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r>
            <w:tr w14:paraId="0459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4" w:type="dxa"/>
                </w:tcPr>
                <w:p w14:paraId="16BD1571">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累计血浆处理量</w:t>
                  </w:r>
                </w:p>
              </w:tc>
              <w:tc>
                <w:tcPr>
                  <w:tcW w:w="1375" w:type="dxa"/>
                </w:tcPr>
                <w:p w14:paraId="27F83B8C">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4" w:type="dxa"/>
                </w:tcPr>
                <w:p w14:paraId="6EF5E22C">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0C46CDD">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378AA2A">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7DF385A9">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c>
                <w:tcPr>
                  <w:tcW w:w="1375" w:type="dxa"/>
                </w:tcPr>
                <w:p w14:paraId="3E8B59B6">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vertAlign w:val="baseline"/>
                    </w:rPr>
                  </w:pPr>
                </w:p>
              </w:tc>
            </w:tr>
          </w:tbl>
          <w:p w14:paraId="5E6A4AA4">
            <w:pPr>
              <w:keepNext w:val="0"/>
              <w:keepLines w:val="0"/>
              <w:pageBreakBefore w:val="0"/>
              <w:numPr>
                <w:ilvl w:val="0"/>
                <w:numId w:val="0"/>
              </w:numPr>
              <w:kinsoku/>
              <w:wordWrap/>
              <w:overflowPunct/>
              <w:topLinePunct w:val="0"/>
              <w:autoSpaceDE/>
              <w:autoSpaceDN/>
              <w:bidi w:val="0"/>
              <w:adjustRightInd/>
              <w:snapToGrid/>
              <w:spacing w:line="240" w:lineRule="auto"/>
              <w:ind w:left="415" w:leftChars="0"/>
              <w:textAlignment w:val="auto"/>
              <w:rPr>
                <w:rFonts w:hint="eastAsia" w:ascii="宋体" w:hAnsi="宋体" w:eastAsia="宋体" w:cs="宋体"/>
                <w:sz w:val="18"/>
                <w:szCs w:val="18"/>
              </w:rPr>
            </w:pPr>
          </w:p>
          <w:p w14:paraId="41025D0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rPr>
              <w:t>三、</w:t>
            </w:r>
            <w:r>
              <w:rPr>
                <w:rFonts w:hint="eastAsia" w:ascii="宋体" w:hAnsi="宋体" w:eastAsia="宋体" w:cs="宋体"/>
                <w:b/>
                <w:bCs/>
                <w:sz w:val="18"/>
                <w:szCs w:val="18"/>
                <w:lang w:val="en-US" w:eastAsia="zh-CN"/>
              </w:rPr>
              <w:t>治疗小结</w:t>
            </w:r>
          </w:p>
          <w:p w14:paraId="5E6929AD">
            <w:pPr>
              <w:keepNext w:val="0"/>
              <w:keepLines w:val="0"/>
              <w:pageBreakBefore w:val="0"/>
              <w:numPr>
                <w:ilvl w:val="0"/>
                <w:numId w:val="24"/>
              </w:numPr>
              <w:kinsoku/>
              <w:wordWrap/>
              <w:overflowPunct/>
              <w:topLinePunct w:val="0"/>
              <w:autoSpaceDE/>
              <w:autoSpaceDN/>
              <w:bidi w:val="0"/>
              <w:adjustRightInd/>
              <w:snapToGrid/>
              <w:spacing w:line="240" w:lineRule="auto"/>
              <w:ind w:left="840" w:leftChars="0" w:hanging="425" w:firstLineChars="0"/>
              <w:textAlignment w:val="auto"/>
              <w:rPr>
                <w:rFonts w:hint="eastAsia" w:ascii="宋体" w:hAnsi="宋体" w:eastAsia="宋体" w:cs="宋体"/>
                <w:sz w:val="18"/>
                <w:szCs w:val="18"/>
              </w:rPr>
            </w:pPr>
            <w:r>
              <w:rPr>
                <w:rFonts w:hint="eastAsia" w:ascii="宋体" w:hAnsi="宋体" w:eastAsia="宋体" w:cs="宋体"/>
                <w:sz w:val="18"/>
                <w:szCs w:val="18"/>
              </w:rPr>
              <w:t>治疗总时长：____ 分钟</w:t>
            </w:r>
          </w:p>
          <w:p w14:paraId="08261BC1">
            <w:pPr>
              <w:keepNext w:val="0"/>
              <w:keepLines w:val="0"/>
              <w:pageBreakBefore w:val="0"/>
              <w:numPr>
                <w:ilvl w:val="0"/>
                <w:numId w:val="24"/>
              </w:numPr>
              <w:kinsoku/>
              <w:wordWrap/>
              <w:overflowPunct/>
              <w:topLinePunct w:val="0"/>
              <w:autoSpaceDE/>
              <w:autoSpaceDN/>
              <w:bidi w:val="0"/>
              <w:adjustRightInd/>
              <w:snapToGrid/>
              <w:spacing w:line="240" w:lineRule="auto"/>
              <w:ind w:left="840" w:leftChars="0" w:hanging="425" w:firstLineChars="0"/>
              <w:textAlignment w:val="auto"/>
              <w:rPr>
                <w:rFonts w:hint="eastAsia" w:ascii="宋体" w:hAnsi="宋体" w:eastAsia="宋体" w:cs="宋体"/>
                <w:sz w:val="18"/>
                <w:szCs w:val="18"/>
              </w:rPr>
            </w:pPr>
            <w:r>
              <w:rPr>
                <w:rFonts w:hint="eastAsia" w:ascii="宋体" w:hAnsi="宋体" w:eastAsia="宋体" w:cs="宋体"/>
                <w:sz w:val="18"/>
                <w:szCs w:val="18"/>
              </w:rPr>
              <w:t>是否完成目标置换量：□是 □否（原因：_____）</w:t>
            </w:r>
          </w:p>
          <w:p w14:paraId="71656271">
            <w:pPr>
              <w:keepNext w:val="0"/>
              <w:keepLines w:val="0"/>
              <w:pageBreakBefore w:val="0"/>
              <w:numPr>
                <w:ilvl w:val="0"/>
                <w:numId w:val="24"/>
              </w:numPr>
              <w:kinsoku/>
              <w:wordWrap/>
              <w:overflowPunct/>
              <w:topLinePunct w:val="0"/>
              <w:autoSpaceDE/>
              <w:autoSpaceDN/>
              <w:bidi w:val="0"/>
              <w:adjustRightInd/>
              <w:snapToGrid/>
              <w:spacing w:line="240" w:lineRule="auto"/>
              <w:ind w:left="840" w:leftChars="0" w:hanging="425" w:firstLineChars="0"/>
              <w:textAlignment w:val="auto"/>
              <w:rPr>
                <w:rFonts w:hint="eastAsia" w:ascii="宋体" w:hAnsi="宋体" w:eastAsia="宋体" w:cs="宋体"/>
                <w:sz w:val="18"/>
                <w:szCs w:val="18"/>
              </w:rPr>
            </w:pPr>
            <w:r>
              <w:rPr>
                <w:rFonts w:hint="eastAsia" w:ascii="宋体" w:hAnsi="宋体" w:eastAsia="宋体" w:cs="宋体"/>
                <w:sz w:val="18"/>
                <w:szCs w:val="18"/>
              </w:rPr>
              <w:t>回血方式：□密闭式 □其他</w:t>
            </w:r>
          </w:p>
          <w:p w14:paraId="105450FD">
            <w:pPr>
              <w:keepNext w:val="0"/>
              <w:keepLines w:val="0"/>
              <w:pageBreakBefore w:val="0"/>
              <w:numPr>
                <w:ilvl w:val="0"/>
                <w:numId w:val="24"/>
              </w:numPr>
              <w:kinsoku/>
              <w:wordWrap/>
              <w:overflowPunct/>
              <w:topLinePunct w:val="0"/>
              <w:autoSpaceDE/>
              <w:autoSpaceDN/>
              <w:bidi w:val="0"/>
              <w:adjustRightInd/>
              <w:snapToGrid/>
              <w:spacing w:line="240" w:lineRule="auto"/>
              <w:ind w:left="840" w:leftChars="0" w:hanging="425" w:firstLineChars="0"/>
              <w:textAlignment w:val="auto"/>
              <w:rPr>
                <w:rFonts w:hint="eastAsia" w:ascii="宋体" w:hAnsi="宋体" w:eastAsia="宋体" w:cs="宋体"/>
                <w:sz w:val="18"/>
                <w:szCs w:val="18"/>
              </w:rPr>
            </w:pPr>
            <w:r>
              <w:rPr>
                <w:rFonts w:hint="eastAsia" w:ascii="宋体" w:hAnsi="宋体" w:eastAsia="宋体" w:cs="宋体"/>
                <w:sz w:val="18"/>
                <w:szCs w:val="18"/>
              </w:rPr>
              <w:t>总体过程：□顺利 □基本顺利 □不顺利</w:t>
            </w:r>
          </w:p>
          <w:p w14:paraId="3A303517">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left"/>
              <w:textAlignment w:val="auto"/>
              <w:rPr>
                <w:rFonts w:hint="eastAsia" w:ascii="宋体" w:hAnsi="宋体" w:eastAsia="宋体" w:cs="宋体"/>
                <w:kern w:val="0"/>
                <w:sz w:val="18"/>
                <w:szCs w:val="18"/>
                <w:shd w:val="clear" w:fill="auto"/>
                <w:vertAlign w:val="baseline"/>
                <w:lang w:val="en-US" w:eastAsia="zh-CN" w:bidi="ar"/>
              </w:rPr>
            </w:pPr>
          </w:p>
        </w:tc>
      </w:tr>
      <w:tr w14:paraId="3096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58E9F5F5">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left"/>
              <w:textAlignment w:val="auto"/>
              <w:rPr>
                <w:rFonts w:hint="eastAsia" w:ascii="宋体" w:hAnsi="宋体" w:eastAsia="宋体" w:cs="宋体"/>
                <w:kern w:val="0"/>
                <w:sz w:val="18"/>
                <w:szCs w:val="18"/>
                <w:shd w:val="clear" w:fill="auto"/>
                <w:vertAlign w:val="baseline"/>
                <w:lang w:val="en-US" w:eastAsia="zh-CN" w:bidi="ar"/>
              </w:rPr>
            </w:pPr>
            <w:r>
              <w:rPr>
                <w:rFonts w:hint="eastAsia" w:ascii="宋体" w:hAnsi="宋体" w:eastAsia="宋体" w:cs="宋体"/>
                <w:b/>
                <w:bCs/>
                <w:sz w:val="18"/>
                <w:szCs w:val="18"/>
              </w:rPr>
              <w:t>医师签名：</w:t>
            </w:r>
            <w:r>
              <w:rPr>
                <w:rFonts w:hint="eastAsia" w:ascii="宋体" w:hAnsi="宋体" w:eastAsia="宋体" w:cs="宋体"/>
                <w:sz w:val="18"/>
                <w:szCs w:val="18"/>
              </w:rPr>
              <w:t xml:space="preserve">__________ </w:t>
            </w:r>
            <w:r>
              <w:rPr>
                <w:rFonts w:hint="eastAsia" w:ascii="宋体" w:hAnsi="宋体" w:eastAsia="宋体" w:cs="宋体"/>
                <w:b/>
                <w:bCs/>
                <w:sz w:val="18"/>
                <w:szCs w:val="18"/>
                <w:lang w:val="en-US" w:eastAsia="zh-CN"/>
              </w:rPr>
              <w:t>护士签名：</w:t>
            </w:r>
            <w:r>
              <w:rPr>
                <w:rFonts w:hint="eastAsia" w:ascii="宋体" w:hAnsi="宋体" w:eastAsia="宋体" w:cs="宋体"/>
                <w:sz w:val="18"/>
                <w:szCs w:val="18"/>
              </w:rPr>
              <w:t>______</w:t>
            </w:r>
            <w:r>
              <w:rPr>
                <w:rFonts w:hint="eastAsia" w:ascii="宋体" w:hAnsi="宋体" w:eastAsia="宋体" w:cs="宋体"/>
                <w:b/>
                <w:bCs/>
                <w:sz w:val="18"/>
                <w:szCs w:val="18"/>
              </w:rPr>
              <w:t xml:space="preserve">签名日期： </w:t>
            </w:r>
            <w:r>
              <w:rPr>
                <w:rFonts w:hint="eastAsia" w:ascii="宋体" w:hAnsi="宋体" w:eastAsia="宋体" w:cs="宋体"/>
                <w:sz w:val="18"/>
                <w:szCs w:val="18"/>
              </w:rPr>
              <w:t>___年__月__日</w:t>
            </w:r>
          </w:p>
        </w:tc>
      </w:tr>
    </w:tbl>
    <w:p w14:paraId="2241D0C8">
      <w:pPr>
        <w:pStyle w:val="12"/>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240" w:lineRule="auto"/>
        <w:ind w:right="0"/>
        <w:jc w:val="both"/>
        <w:textAlignment w:val="auto"/>
        <w:rPr>
          <w:rFonts w:hint="eastAsia" w:ascii="宋体" w:hAnsi="宋体" w:eastAsia="宋体" w:cs="宋体"/>
          <w:kern w:val="2"/>
          <w:sz w:val="21"/>
          <w:szCs w:val="21"/>
          <w:lang w:val="en-US" w:eastAsia="zh-CN" w:bidi="ar"/>
        </w:rPr>
      </w:pPr>
    </w:p>
    <w:p w14:paraId="37846A94">
      <w:pPr>
        <w:pStyle w:val="12"/>
        <w:keepNext w:val="0"/>
        <w:keepLines w:val="0"/>
        <w:widowControl w:val="0"/>
        <w:suppressLineNumbers w:val="0"/>
        <w:adjustRightInd w:val="0"/>
        <w:spacing w:before="0" w:beforeAutospacing="0" w:after="0" w:afterAutospacing="0" w:line="240" w:lineRule="auto"/>
        <w:ind w:right="0"/>
        <w:jc w:val="both"/>
        <w:rPr>
          <w:rFonts w:hint="eastAsia" w:ascii="宋体" w:hAnsi="宋体" w:eastAsia="宋体" w:cs="宋体"/>
          <w:kern w:val="2"/>
          <w:sz w:val="21"/>
          <w:szCs w:val="21"/>
          <w:lang w:val="en-US" w:eastAsia="zh-CN" w:bidi="ar"/>
        </w:rPr>
      </w:pPr>
    </w:p>
    <w:p w14:paraId="5DF66F9A">
      <w:pPr>
        <w:rPr>
          <w:rFonts w:hint="eastAsia" w:ascii="宋体" w:hAnsi="宋体" w:eastAsia="宋体" w:cs="Calibri"/>
          <w:kern w:val="2"/>
          <w:sz w:val="21"/>
          <w:szCs w:val="21"/>
        </w:rPr>
        <w:sectPr>
          <w:headerReference r:id="rId6" w:type="default"/>
          <w:footerReference r:id="rId8" w:type="default"/>
          <w:headerReference r:id="rId7" w:type="even"/>
          <w:footerReference r:id="rId9" w:type="even"/>
          <w:pgSz w:w="11906" w:h="16838"/>
          <w:pgMar w:top="1984" w:right="1134" w:bottom="1417" w:left="1134" w:header="1417" w:footer="1134" w:gutter="0"/>
          <w:pgNumType w:fmt="decimal" w:start="1"/>
          <w:cols w:space="425" w:num="1"/>
          <w:docGrid w:type="lines" w:linePitch="312" w:charSpace="0"/>
        </w:sectPr>
      </w:pPr>
    </w:p>
    <w:p w14:paraId="73F19BC0">
      <w:pPr>
        <w:pStyle w:val="12"/>
        <w:keepNext/>
        <w:keepLines w:val="0"/>
        <w:widowControl/>
        <w:numPr>
          <w:ilvl w:val="0"/>
          <w:numId w:val="22"/>
        </w:numPr>
        <w:suppressLineNumbers w:val="0"/>
        <w:shd w:val="clear" w:fill="FFFFFF"/>
        <w:tabs>
          <w:tab w:val="left" w:pos="360"/>
          <w:tab w:val="left" w:pos="6405"/>
        </w:tabs>
        <w:spacing w:before="640" w:beforeAutospacing="0" w:after="360" w:afterAutospacing="0" w:line="240" w:lineRule="auto"/>
        <w:ind w:left="0" w:right="0" w:firstLine="0"/>
        <w:jc w:val="center"/>
        <w:outlineLvl w:val="0"/>
        <w:rPr>
          <w:rFonts w:hint="eastAsia" w:ascii="黑体" w:hAnsi="Times New Roman" w:eastAsia="黑体" w:cs="Times New Roman"/>
          <w:kern w:val="0"/>
          <w:sz w:val="21"/>
          <w:szCs w:val="21"/>
          <w:shd w:val="clear" w:fill="auto"/>
          <w:lang w:val="en-US" w:eastAsia="zh-CN" w:bidi="ar"/>
        </w:rPr>
      </w:pPr>
      <w:bookmarkStart w:id="103" w:name="_Toc14008"/>
      <w:bookmarkStart w:id="104" w:name="_Toc7165"/>
      <w:bookmarkStart w:id="105" w:name="_Toc9457"/>
      <w:bookmarkStart w:id="106" w:name="_Toc13714"/>
      <w:r>
        <w:rPr>
          <w:rFonts w:hint="eastAsia" w:ascii="黑体" w:hAnsi="Times New Roman" w:eastAsia="黑体" w:cs="Times New Roman"/>
          <w:kern w:val="0"/>
          <w:sz w:val="21"/>
          <w:szCs w:val="21"/>
          <w:shd w:val="clear" w:fill="auto"/>
          <w:lang w:val="en-US" w:eastAsia="zh-CN" w:bidi="ar"/>
        </w:rPr>
        <w:br w:type="textWrapping"/>
      </w:r>
      <w:r>
        <w:rPr>
          <w:rFonts w:hint="eastAsia" w:ascii="黑体" w:hAnsi="Times New Roman" w:eastAsia="黑体" w:cs="Times New Roman"/>
          <w:kern w:val="0"/>
          <w:sz w:val="21"/>
          <w:szCs w:val="21"/>
          <w:shd w:val="clear" w:fill="auto"/>
          <w:lang w:val="en-US" w:eastAsia="zh-CN" w:bidi="ar"/>
        </w:rPr>
        <w:t>（资料性）</w:t>
      </w:r>
      <w:r>
        <w:rPr>
          <w:rFonts w:hint="eastAsia" w:ascii="黑体" w:hAnsi="Times New Roman" w:eastAsia="黑体" w:cs="Times New Roman"/>
          <w:kern w:val="0"/>
          <w:sz w:val="21"/>
          <w:szCs w:val="21"/>
          <w:shd w:val="clear" w:fill="auto"/>
          <w:lang w:val="en-US" w:eastAsia="zh-CN" w:bidi="ar"/>
        </w:rPr>
        <w:br w:type="textWrapping"/>
      </w:r>
      <w:r>
        <w:rPr>
          <w:rFonts w:hint="eastAsia" w:ascii="黑体" w:hAnsi="Times New Roman" w:eastAsia="黑体" w:cs="Times New Roman"/>
          <w:kern w:val="0"/>
          <w:sz w:val="21"/>
          <w:szCs w:val="21"/>
          <w:shd w:val="clear" w:fill="auto"/>
          <w:lang w:val="en-US" w:eastAsia="zh-CN" w:bidi="ar"/>
        </w:rPr>
        <w:t>血浆置换目标量计算方法</w:t>
      </w:r>
      <w:bookmarkEnd w:id="103"/>
    </w:p>
    <w:p w14:paraId="70B0C06F">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val="0"/>
        <w:spacing w:before="312" w:beforeLines="100" w:beforeAutospacing="0" w:after="312" w:afterLines="100" w:afterAutospacing="0" w:line="240" w:lineRule="auto"/>
        <w:ind w:left="0" w:right="0" w:firstLine="0"/>
        <w:jc w:val="left"/>
        <w:textAlignment w:val="auto"/>
        <w:outlineLvl w:val="2"/>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总则</w:t>
      </w:r>
    </w:p>
    <w:p w14:paraId="414694D8">
      <w:pPr>
        <w:pStyle w:val="12"/>
        <w:keepNext w:val="0"/>
        <w:keepLines w:val="0"/>
        <w:widowControl w:val="0"/>
        <w:suppressLineNumbers w:val="0"/>
        <w:adjustRightInd w:val="0"/>
        <w:spacing w:before="0" w:beforeAutospacing="0" w:after="0" w:afterAutospacing="0" w:line="240" w:lineRule="auto"/>
        <w:ind w:right="0"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临床医师根据患者具体情况，选择下述方法之一进行计算，并个体化确定最终处方量。</w:t>
      </w:r>
    </w:p>
    <w:p w14:paraId="6A661400">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val="0"/>
        <w:spacing w:before="312" w:beforeLines="100" w:beforeAutospacing="0" w:after="312" w:afterLines="100" w:afterAutospacing="0" w:line="240" w:lineRule="auto"/>
        <w:ind w:left="0" w:right="0" w:firstLine="0"/>
        <w:jc w:val="left"/>
        <w:textAlignment w:val="auto"/>
        <w:outlineLvl w:val="2"/>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PV计算法</w:t>
      </w:r>
    </w:p>
    <w:p w14:paraId="73D910D6">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val="0"/>
        <w:spacing w:beforeLines="0" w:beforeAutospacing="0" w:afterLines="0" w:afterAutospacing="0" w:line="240" w:lineRule="auto"/>
        <w:ind w:leftChars="0" w:right="0" w:rightChars="0" w:firstLine="420" w:firstLineChars="200"/>
        <w:jc w:val="left"/>
        <w:textAlignment w:val="auto"/>
        <w:outlineLvl w:val="2"/>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患者的PV可根据性别、Hct和体重，通过公式B.1进行计算：</w:t>
      </w:r>
    </w:p>
    <w:p w14:paraId="2F5FEDE0">
      <w:pPr>
        <w:pStyle w:val="12"/>
        <w:keepNext w:val="0"/>
        <w:keepLines w:val="0"/>
        <w:widowControl w:val="0"/>
        <w:suppressLineNumbers w:val="0"/>
        <w:adjustRightInd w:val="0"/>
        <w:spacing w:before="0" w:beforeAutospacing="0" w:after="0" w:afterAutospacing="0" w:line="240" w:lineRule="auto"/>
        <w:ind w:right="0"/>
        <w:jc w:val="righ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PV=(1</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Hct)×(b+c×</w:t>
      </w:r>
      <w:r>
        <w:rPr>
          <w:rFonts w:hint="eastAsia" w:ascii="宋体" w:hAnsi="宋体" w:cs="宋体"/>
          <w:i/>
          <w:iCs/>
          <w:sz w:val="21"/>
          <w:szCs w:val="21"/>
          <w:lang w:val="en-US" w:eastAsia="zh-CN"/>
        </w:rPr>
        <w:t>m</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...............................（B.1）</w:t>
      </w:r>
    </w:p>
    <w:p w14:paraId="5EFB3C39">
      <w:pPr>
        <w:pStyle w:val="12"/>
        <w:keepNext w:val="0"/>
        <w:keepLines w:val="0"/>
        <w:widowControl w:val="0"/>
        <w:suppressLineNumbers w:val="0"/>
        <w:adjustRightInd w:val="0"/>
        <w:spacing w:before="0" w:beforeAutospacing="0" w:after="0" w:afterAutospacing="0" w:line="240" w:lineRule="auto"/>
        <w:ind w:right="0" w:firstLine="420" w:firstLineChars="200"/>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式中</w:t>
      </w:r>
      <w:r>
        <w:rPr>
          <w:rFonts w:hint="eastAsia" w:ascii="宋体" w:hAnsi="宋体" w:eastAsia="宋体" w:cs="宋体"/>
          <w:sz w:val="21"/>
          <w:szCs w:val="21"/>
          <w:lang w:val="en-US" w:eastAsia="zh-CN"/>
        </w:rPr>
        <w:t>：</w:t>
      </w:r>
    </w:p>
    <w:p w14:paraId="5E27ED0D">
      <w:pPr>
        <w:pStyle w:val="12"/>
        <w:keepNext w:val="0"/>
        <w:keepLines w:val="0"/>
        <w:widowControl w:val="0"/>
        <w:suppressLineNumbers w:val="0"/>
        <w:adjustRightInd w:val="0"/>
        <w:spacing w:before="0" w:beforeAutospacing="0" w:after="0" w:afterAutospacing="0" w:line="240" w:lineRule="auto"/>
        <w:ind w:left="0" w:leftChars="0" w:right="0"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PV</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血浆容量，单位为毫升（mL）</w:t>
      </w:r>
      <w:r>
        <w:rPr>
          <w:rFonts w:hint="eastAsia" w:ascii="宋体" w:hAnsi="宋体" w:cs="宋体"/>
          <w:sz w:val="21"/>
          <w:szCs w:val="21"/>
          <w:lang w:val="en-US" w:eastAsia="zh-CN"/>
        </w:rPr>
        <w:t>；</w:t>
      </w:r>
    </w:p>
    <w:p w14:paraId="17470661">
      <w:pPr>
        <w:pStyle w:val="12"/>
        <w:keepNext w:val="0"/>
        <w:keepLines w:val="0"/>
        <w:widowControl w:val="0"/>
        <w:suppressLineNumbers w:val="0"/>
        <w:adjustRightInd w:val="0"/>
        <w:spacing w:before="0" w:beforeAutospacing="0" w:after="0" w:afterAutospacing="0" w:line="240" w:lineRule="auto"/>
        <w:ind w:left="0" w:leftChars="0" w:right="0" w:firstLine="420" w:firstLineChars="20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Hct</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血细胞比容，以小数表示</w:t>
      </w:r>
      <w:r>
        <w:rPr>
          <w:rFonts w:hint="eastAsia" w:ascii="宋体" w:hAnsi="宋体" w:cs="宋体"/>
          <w:sz w:val="21"/>
          <w:szCs w:val="21"/>
          <w:lang w:val="en-US" w:eastAsia="zh-CN"/>
        </w:rPr>
        <w:t>；</w:t>
      </w:r>
    </w:p>
    <w:p w14:paraId="227212D8">
      <w:pPr>
        <w:pStyle w:val="12"/>
        <w:keepNext w:val="0"/>
        <w:keepLines w:val="0"/>
        <w:widowControl w:val="0"/>
        <w:suppressLineNumbers w:val="0"/>
        <w:adjustRightInd w:val="0"/>
        <w:spacing w:before="0" w:beforeAutospacing="0" w:after="0" w:afterAutospacing="0" w:line="240" w:lineRule="auto"/>
        <w:ind w:left="0" w:leftChars="0" w:right="0" w:firstLine="420" w:firstLineChars="200"/>
        <w:jc w:val="both"/>
        <w:rPr>
          <w:rFonts w:hint="eastAsia" w:ascii="宋体" w:hAnsi="宋体" w:eastAsia="宋体" w:cs="宋体"/>
          <w:sz w:val="21"/>
          <w:szCs w:val="21"/>
          <w:lang w:val="en-US" w:eastAsia="zh-CN"/>
        </w:rPr>
      </w:pPr>
      <w:r>
        <w:rPr>
          <w:rFonts w:hint="eastAsia" w:ascii="宋体" w:hAnsi="宋体" w:cs="宋体"/>
          <w:i/>
          <w:iCs/>
          <w:sz w:val="21"/>
          <w:szCs w:val="21"/>
          <w:lang w:val="en-US" w:eastAsia="zh-CN"/>
        </w:rPr>
        <w:t>m</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患者的体重，单位为千克（kg）</w:t>
      </w:r>
      <w:r>
        <w:rPr>
          <w:rFonts w:hint="eastAsia" w:ascii="宋体" w:hAnsi="宋体" w:cs="宋体"/>
          <w:sz w:val="21"/>
          <w:szCs w:val="21"/>
          <w:lang w:val="en-US" w:eastAsia="zh-CN"/>
        </w:rPr>
        <w:t>；</w:t>
      </w:r>
    </w:p>
    <w:p w14:paraId="384E8595">
      <w:pPr>
        <w:pStyle w:val="12"/>
        <w:keepNext w:val="0"/>
        <w:keepLines w:val="0"/>
        <w:widowControl w:val="0"/>
        <w:suppressLineNumbers w:val="0"/>
        <w:adjustRightInd w:val="0"/>
        <w:spacing w:before="0" w:beforeAutospacing="0" w:after="0" w:afterAutospacing="0" w:line="240" w:lineRule="auto"/>
        <w:ind w:left="0" w:leftChars="0" w:right="0" w:firstLine="420" w:firstLineChars="200"/>
        <w:jc w:val="both"/>
        <w:rPr>
          <w:rFonts w:hint="eastAsia" w:ascii="宋体" w:hAnsi="宋体" w:cs="宋体"/>
          <w:sz w:val="21"/>
          <w:szCs w:val="21"/>
          <w:lang w:val="en-US" w:eastAsia="zh-CN"/>
        </w:rPr>
      </w:pPr>
      <w:r>
        <w:rPr>
          <w:rFonts w:hint="eastAsia" w:ascii="宋体" w:hAnsi="宋体" w:eastAsia="宋体" w:cs="宋体"/>
          <w:sz w:val="21"/>
          <w:szCs w:val="21"/>
          <w:lang w:val="en-US" w:eastAsia="zh-CN"/>
        </w:rPr>
        <w:t>b, c</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常数</w:t>
      </w:r>
      <w:r>
        <w:rPr>
          <w:rFonts w:hint="eastAsia" w:ascii="宋体" w:hAnsi="宋体" w:cs="宋体"/>
          <w:sz w:val="21"/>
          <w:szCs w:val="21"/>
          <w:lang w:val="en-US" w:eastAsia="zh-CN"/>
        </w:rPr>
        <w:t>。</w:t>
      </w:r>
    </w:p>
    <w:p w14:paraId="556F8535">
      <w:pPr>
        <w:pStyle w:val="12"/>
        <w:keepNext w:val="0"/>
        <w:keepLines w:val="0"/>
        <w:widowControl w:val="0"/>
        <w:suppressLineNumbers w:val="0"/>
        <w:adjustRightInd w:val="0"/>
        <w:spacing w:before="0" w:beforeAutospacing="0" w:after="0" w:afterAutospacing="0" w:line="240" w:lineRule="auto"/>
        <w:ind w:left="0" w:leftChars="0" w:right="0" w:firstLine="360" w:firstLineChars="200"/>
        <w:jc w:val="both"/>
        <w:rPr>
          <w:rFonts w:hint="eastAsia" w:ascii="宋体" w:hAnsi="宋体" w:eastAsia="宋体" w:cs="宋体"/>
          <w:sz w:val="18"/>
          <w:szCs w:val="18"/>
          <w:lang w:val="en-US" w:eastAsia="zh-CN"/>
        </w:rPr>
      </w:pPr>
      <w:r>
        <w:rPr>
          <w:rFonts w:hint="eastAsia" w:ascii="黑体" w:hAnsi="黑体" w:eastAsia="黑体" w:cs="黑体"/>
          <w:sz w:val="18"/>
          <w:szCs w:val="18"/>
          <w:lang w:val="en-US" w:eastAsia="zh-CN"/>
        </w:rPr>
        <w:t>注：</w:t>
      </w:r>
      <w:r>
        <w:rPr>
          <w:rFonts w:hint="eastAsia" w:ascii="宋体" w:hAnsi="宋体" w:eastAsia="宋体" w:cs="宋体"/>
          <w:sz w:val="18"/>
          <w:szCs w:val="18"/>
          <w:lang w:val="en-US" w:eastAsia="zh-CN"/>
        </w:rPr>
        <w:t>对于男性患者：b=1530，c=41.0</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对于女性患者：b=864，c=47.2</w:t>
      </w:r>
      <w:r>
        <w:rPr>
          <w:rFonts w:hint="eastAsia" w:ascii="宋体" w:hAnsi="宋体" w:cs="宋体"/>
          <w:sz w:val="18"/>
          <w:szCs w:val="18"/>
          <w:lang w:val="en-US" w:eastAsia="zh-CN"/>
        </w:rPr>
        <w:t>。</w:t>
      </w:r>
    </w:p>
    <w:p w14:paraId="1D333F48">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val="0"/>
        <w:spacing w:before="312" w:beforeLines="100" w:beforeAutospacing="0" w:after="312" w:afterLines="100" w:afterAutospacing="0" w:line="240" w:lineRule="auto"/>
        <w:ind w:left="0" w:right="0" w:firstLine="0"/>
        <w:jc w:val="left"/>
        <w:textAlignment w:val="auto"/>
        <w:outlineLvl w:val="2"/>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PV估算法</w:t>
      </w:r>
    </w:p>
    <w:p w14:paraId="07BFBDB9">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val="0"/>
        <w:spacing w:beforeLines="0" w:beforeAutospacing="0" w:afterLines="0" w:afterAutospacing="0" w:line="240" w:lineRule="auto"/>
        <w:ind w:leftChars="0" w:right="0" w:rightChars="0" w:firstLine="420" w:firstLineChars="200"/>
        <w:jc w:val="left"/>
        <w:textAlignment w:val="auto"/>
        <w:outlineLvl w:val="2"/>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若无血细胞比容数据或需快速估算，可采用经验公式</w:t>
      </w:r>
      <w:r>
        <w:rPr>
          <w:rFonts w:hint="eastAsia" w:ascii="宋体" w:hAnsi="宋体" w:cs="宋体"/>
          <w:sz w:val="21"/>
          <w:szCs w:val="21"/>
          <w:lang w:val="en-US" w:eastAsia="zh-CN"/>
        </w:rPr>
        <w:t>B.2估算</w:t>
      </w:r>
      <w:r>
        <w:rPr>
          <w:rFonts w:hint="eastAsia" w:ascii="宋体" w:hAnsi="宋体" w:eastAsia="宋体" w:cs="宋体"/>
          <w:sz w:val="21"/>
          <w:szCs w:val="21"/>
          <w:lang w:val="en-US" w:eastAsia="zh-CN"/>
        </w:rPr>
        <w:t>：</w:t>
      </w:r>
    </w:p>
    <w:p w14:paraId="218F94AE">
      <w:pPr>
        <w:pStyle w:val="12"/>
        <w:keepNext w:val="0"/>
        <w:keepLines w:val="0"/>
        <w:widowControl w:val="0"/>
        <w:suppressLineNumbers w:val="0"/>
        <w:adjustRightInd w:val="0"/>
        <w:spacing w:before="0" w:beforeAutospacing="0" w:after="0" w:afterAutospacing="0" w:line="240" w:lineRule="auto"/>
        <w:ind w:right="0"/>
        <w:jc w:val="right"/>
        <w:rPr>
          <w:rFonts w:hint="eastAsia" w:ascii="宋体" w:hAnsi="宋体" w:cs="宋体"/>
          <w:sz w:val="21"/>
          <w:szCs w:val="21"/>
          <w:lang w:val="en-US" w:eastAsia="zh-CN"/>
        </w:rPr>
      </w:pPr>
      <w:r>
        <w:rPr>
          <w:rFonts w:hint="eastAsia" w:ascii="宋体" w:hAnsi="宋体" w:eastAsia="宋体" w:cs="宋体"/>
          <w:sz w:val="21"/>
          <w:szCs w:val="21"/>
          <w:lang w:val="en-US" w:eastAsia="zh-CN"/>
        </w:rPr>
        <w:t>PV=</w:t>
      </w:r>
      <w:r>
        <w:rPr>
          <w:rFonts w:hint="eastAsia" w:ascii="宋体" w:hAnsi="宋体" w:cs="宋体"/>
          <w:i/>
          <w:iCs/>
          <w:sz w:val="21"/>
          <w:szCs w:val="21"/>
          <w:lang w:val="en-US" w:eastAsia="zh-CN"/>
        </w:rPr>
        <w:t>m</w:t>
      </w:r>
      <w:r>
        <w:rPr>
          <w:rFonts w:hint="eastAsia" w:ascii="宋体" w:hAnsi="宋体" w:eastAsia="宋体" w:cs="宋体"/>
          <w:sz w:val="21"/>
          <w:szCs w:val="21"/>
          <w:lang w:val="en-US" w:eastAsia="zh-CN"/>
        </w:rPr>
        <w:t>×40</w:t>
      </w:r>
      <w:r>
        <w:rPr>
          <w:rFonts w:hint="eastAsia" w:ascii="宋体" w:hAnsi="宋体" w:cs="宋体"/>
          <w:sz w:val="21"/>
          <w:szCs w:val="21"/>
          <w:lang w:val="en-US" w:eastAsia="zh-CN"/>
        </w:rPr>
        <w:t>...............................（B.2）</w:t>
      </w:r>
    </w:p>
    <w:p w14:paraId="4EC2B81C">
      <w:pPr>
        <w:pStyle w:val="12"/>
        <w:keepNext w:val="0"/>
        <w:keepLines w:val="0"/>
        <w:widowControl w:val="0"/>
        <w:suppressLineNumbers w:val="0"/>
        <w:adjustRightInd w:val="0"/>
        <w:spacing w:before="0" w:beforeAutospacing="0" w:after="0" w:afterAutospacing="0" w:line="240" w:lineRule="auto"/>
        <w:ind w:right="0" w:firstLine="420" w:firstLineChars="200"/>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式中</w:t>
      </w:r>
      <w:r>
        <w:rPr>
          <w:rFonts w:hint="eastAsia" w:ascii="宋体" w:hAnsi="宋体" w:eastAsia="宋体" w:cs="宋体"/>
          <w:sz w:val="21"/>
          <w:szCs w:val="21"/>
          <w:lang w:val="en-US" w:eastAsia="zh-CN"/>
        </w:rPr>
        <w:t>：</w:t>
      </w:r>
    </w:p>
    <w:p w14:paraId="158E2767">
      <w:pPr>
        <w:pStyle w:val="12"/>
        <w:keepNext w:val="0"/>
        <w:keepLines w:val="0"/>
        <w:widowControl w:val="0"/>
        <w:suppressLineNumbers w:val="0"/>
        <w:adjustRightInd w:val="0"/>
        <w:spacing w:before="0" w:beforeAutospacing="0" w:after="0" w:afterAutospacing="0" w:line="240" w:lineRule="auto"/>
        <w:ind w:left="0" w:leftChars="0" w:right="0"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PV</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血浆容量，单位为毫升（mL）</w:t>
      </w:r>
      <w:r>
        <w:rPr>
          <w:rFonts w:hint="eastAsia" w:ascii="宋体" w:hAnsi="宋体" w:cs="宋体"/>
          <w:sz w:val="21"/>
          <w:szCs w:val="21"/>
          <w:lang w:val="en-US" w:eastAsia="zh-CN"/>
        </w:rPr>
        <w:t>；</w:t>
      </w:r>
    </w:p>
    <w:p w14:paraId="55FE9889">
      <w:pPr>
        <w:pStyle w:val="12"/>
        <w:keepNext w:val="0"/>
        <w:keepLines w:val="0"/>
        <w:widowControl w:val="0"/>
        <w:suppressLineNumbers w:val="0"/>
        <w:adjustRightInd w:val="0"/>
        <w:spacing w:before="0" w:beforeAutospacing="0" w:after="0" w:afterAutospacing="0" w:line="240" w:lineRule="auto"/>
        <w:ind w:left="0" w:leftChars="0" w:right="0" w:firstLine="420" w:firstLineChars="200"/>
        <w:jc w:val="both"/>
        <w:rPr>
          <w:rFonts w:hint="eastAsia" w:ascii="宋体" w:hAnsi="宋体" w:eastAsia="宋体" w:cs="宋体"/>
          <w:sz w:val="21"/>
          <w:szCs w:val="21"/>
          <w:lang w:val="en-US" w:eastAsia="zh-CN"/>
        </w:rPr>
      </w:pPr>
      <w:r>
        <w:rPr>
          <w:rFonts w:hint="eastAsia" w:ascii="宋体" w:hAnsi="宋体" w:cs="宋体"/>
          <w:i/>
          <w:iCs/>
          <w:sz w:val="21"/>
          <w:szCs w:val="21"/>
          <w:lang w:val="en-US" w:eastAsia="zh-CN"/>
        </w:rPr>
        <w:t>m</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患者的体重，单位为千克（kg）</w:t>
      </w:r>
      <w:r>
        <w:rPr>
          <w:rFonts w:hint="eastAsia" w:ascii="宋体" w:hAnsi="宋体" w:cs="宋体"/>
          <w:sz w:val="21"/>
          <w:szCs w:val="21"/>
          <w:lang w:val="en-US" w:eastAsia="zh-CN"/>
        </w:rPr>
        <w:t>。</w:t>
      </w:r>
    </w:p>
    <w:p w14:paraId="44B1739A">
      <w:pPr>
        <w:pStyle w:val="12"/>
        <w:keepNext w:val="0"/>
        <w:keepLines w:val="0"/>
        <w:widowControl w:val="0"/>
        <w:suppressLineNumbers w:val="0"/>
        <w:adjustRightInd w:val="0"/>
        <w:spacing w:before="0" w:beforeAutospacing="0" w:after="0" w:afterAutospacing="0" w:line="240" w:lineRule="auto"/>
        <w:ind w:right="0" w:firstLine="360" w:firstLineChars="200"/>
        <w:jc w:val="both"/>
        <w:rPr>
          <w:rFonts w:hint="eastAsia" w:ascii="宋体" w:hAnsi="宋体" w:eastAsia="宋体" w:cs="宋体"/>
          <w:sz w:val="18"/>
          <w:szCs w:val="18"/>
          <w:lang w:val="en-US" w:eastAsia="zh-CN"/>
        </w:rPr>
      </w:pPr>
      <w:r>
        <w:rPr>
          <w:rFonts w:hint="eastAsia" w:ascii="黑体" w:hAnsi="黑体" w:eastAsia="黑体" w:cs="黑体"/>
          <w:sz w:val="18"/>
          <w:szCs w:val="18"/>
          <w:lang w:val="en-US" w:eastAsia="zh-CN"/>
        </w:rPr>
        <w:t>注：</w:t>
      </w:r>
      <w:r>
        <w:rPr>
          <w:rFonts w:hint="eastAsia" w:ascii="宋体" w:hAnsi="宋体" w:eastAsia="宋体" w:cs="宋体"/>
          <w:sz w:val="18"/>
          <w:szCs w:val="18"/>
          <w:lang w:val="en-US" w:eastAsia="zh-CN"/>
        </w:rPr>
        <w:t>此方法估算所得为近似值，适用于临床初步、快速的评估。</w:t>
      </w:r>
    </w:p>
    <w:p w14:paraId="75067CC6">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val="0"/>
        <w:spacing w:before="312" w:beforeLines="100" w:beforeAutospacing="0" w:after="312" w:afterLines="100" w:afterAutospacing="0" w:line="240" w:lineRule="auto"/>
        <w:ind w:left="0" w:right="0" w:firstLine="0"/>
        <w:jc w:val="left"/>
        <w:textAlignment w:val="auto"/>
        <w:outlineLvl w:val="2"/>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血浆置换目标量的确定</w:t>
      </w:r>
    </w:p>
    <w:p w14:paraId="1490AF22">
      <w:pPr>
        <w:pStyle w:val="12"/>
        <w:keepNext/>
        <w:keepLines w:val="0"/>
        <w:pageBreakBefore w:val="0"/>
        <w:widowControl/>
        <w:numPr>
          <w:ilvl w:val="2"/>
          <w:numId w:val="22"/>
        </w:numPr>
        <w:suppressLineNumbers w:val="0"/>
        <w:shd w:val="clear" w:fill="FFFFFF"/>
        <w:kinsoku/>
        <w:wordWrap/>
        <w:overflowPunct/>
        <w:topLinePunct w:val="0"/>
        <w:autoSpaceDE w:val="0"/>
        <w:autoSpaceDN/>
        <w:bidi w:val="0"/>
        <w:adjustRightInd w:val="0"/>
        <w:snapToGrid w:val="0"/>
        <w:spacing w:beforeLines="0" w:beforeAutospacing="0" w:afterLines="0" w:afterAutospacing="0" w:line="240" w:lineRule="auto"/>
        <w:ind w:left="0" w:leftChars="0" w:right="0" w:firstLine="0" w:firstLineChars="0"/>
        <w:jc w:val="left"/>
        <w:textAlignment w:val="auto"/>
        <w:outlineLvl w:val="2"/>
        <w:rPr>
          <w:rFonts w:hint="eastAsia" w:ascii="宋体" w:hAnsi="宋体" w:eastAsia="宋体" w:cs="宋体"/>
          <w:sz w:val="21"/>
          <w:szCs w:val="21"/>
          <w:lang w:val="en-US" w:eastAsia="zh-CN"/>
        </w:rPr>
      </w:pPr>
      <w:r>
        <w:rPr>
          <w:rFonts w:hint="eastAsia" w:ascii="宋体" w:hAnsi="宋体" w:cs="宋体"/>
          <w:sz w:val="21"/>
          <w:szCs w:val="21"/>
          <w:lang w:val="en-US" w:eastAsia="zh-CN"/>
        </w:rPr>
        <w:t>血浆</w:t>
      </w:r>
      <w:r>
        <w:rPr>
          <w:rFonts w:hint="eastAsia" w:ascii="宋体" w:hAnsi="宋体" w:eastAsia="宋体" w:cs="宋体"/>
          <w:sz w:val="21"/>
          <w:szCs w:val="21"/>
          <w:lang w:val="en-US" w:eastAsia="zh-CN"/>
        </w:rPr>
        <w:t>置换目标量确定流程</w:t>
      </w:r>
      <w:r>
        <w:rPr>
          <w:rFonts w:hint="eastAsia" w:ascii="宋体" w:hAnsi="宋体" w:cs="宋体"/>
          <w:sz w:val="21"/>
          <w:szCs w:val="21"/>
          <w:lang w:val="en-US" w:eastAsia="zh-CN"/>
        </w:rPr>
        <w:t>如下</w:t>
      </w:r>
      <w:r>
        <w:rPr>
          <w:rFonts w:hint="eastAsia" w:ascii="宋体" w:hAnsi="宋体" w:eastAsia="宋体" w:cs="宋体"/>
          <w:sz w:val="21"/>
          <w:szCs w:val="21"/>
          <w:lang w:val="en-US" w:eastAsia="zh-CN"/>
        </w:rPr>
        <w:t>：</w:t>
      </w:r>
    </w:p>
    <w:p w14:paraId="11DD7AA3">
      <w:pPr>
        <w:pStyle w:val="12"/>
        <w:keepNext w:val="0"/>
        <w:keepLines w:val="0"/>
        <w:pageBreakBefore w:val="0"/>
        <w:widowControl w:val="0"/>
        <w:numPr>
          <w:ilvl w:val="0"/>
          <w:numId w:val="25"/>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通过B.2或B.3的方法计算/估算患者PV；</w:t>
      </w:r>
    </w:p>
    <w:p w14:paraId="610D70F3">
      <w:pPr>
        <w:pStyle w:val="12"/>
        <w:keepNext w:val="0"/>
        <w:keepLines w:val="0"/>
        <w:pageBreakBefore w:val="0"/>
        <w:widowControl w:val="0"/>
        <w:numPr>
          <w:ilvl w:val="0"/>
          <w:numId w:val="25"/>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根据治疗目标、患者耐受程度及临床经验，在</w:t>
      </w:r>
      <w:r>
        <w:rPr>
          <w:rFonts w:hint="eastAsia" w:ascii="宋体" w:hAnsi="宋体" w:eastAsia="宋体" w:cs="宋体"/>
          <w:sz w:val="21"/>
          <w:szCs w:val="21"/>
          <w:lang w:val="en-US" w:eastAsia="zh-CN"/>
        </w:rPr>
        <w:t>1.0</w:t>
      </w:r>
      <w:r>
        <w:rPr>
          <w:rFonts w:hint="eastAsia" w:ascii="宋体" w:hAnsi="宋体" w:cs="宋体"/>
          <w:sz w:val="21"/>
          <w:szCs w:val="21"/>
          <w:lang w:val="en-US" w:eastAsia="zh-CN"/>
        </w:rPr>
        <w:t>倍～</w:t>
      </w:r>
      <w:r>
        <w:rPr>
          <w:rFonts w:hint="eastAsia" w:ascii="宋体" w:hAnsi="宋体" w:eastAsia="宋体" w:cs="宋体"/>
          <w:sz w:val="21"/>
          <w:szCs w:val="21"/>
          <w:lang w:val="en-US" w:eastAsia="zh-CN"/>
        </w:rPr>
        <w:t>1.5倍</w:t>
      </w:r>
      <w:r>
        <w:rPr>
          <w:rFonts w:hint="eastAsia" w:ascii="宋体" w:hAnsi="宋体" w:cs="宋体"/>
          <w:sz w:val="21"/>
          <w:szCs w:val="21"/>
          <w:lang w:val="en-US" w:eastAsia="zh-CN"/>
        </w:rPr>
        <w:t>PV</w:t>
      </w:r>
      <w:r>
        <w:rPr>
          <w:rFonts w:hint="eastAsia" w:ascii="宋体" w:hAnsi="宋体" w:cs="宋体"/>
          <w:kern w:val="0"/>
          <w:sz w:val="21"/>
          <w:szCs w:val="21"/>
          <w:lang w:val="en-US" w:eastAsia="zh-CN" w:bidi="ar"/>
        </w:rPr>
        <w:t>范围内确定本次置换目标量；</w:t>
      </w:r>
    </w:p>
    <w:p w14:paraId="34D3D665">
      <w:pPr>
        <w:pStyle w:val="12"/>
        <w:keepNext w:val="0"/>
        <w:keepLines w:val="0"/>
        <w:pageBreakBefore w:val="0"/>
        <w:widowControl w:val="0"/>
        <w:numPr>
          <w:ilvl w:val="0"/>
          <w:numId w:val="25"/>
        </w:numPr>
        <w:suppressLineNumbers w:val="0"/>
        <w:kinsoku/>
        <w:wordWrap/>
        <w:overflowPunct/>
        <w:topLinePunct w:val="0"/>
        <w:autoSpaceDE/>
        <w:autoSpaceDN/>
        <w:bidi w:val="0"/>
        <w:adjustRightInd/>
        <w:snapToGrid/>
        <w:spacing w:beforeLines="0" w:beforeAutospacing="0" w:afterLines="0" w:afterAutospacing="0" w:line="240" w:lineRule="auto"/>
        <w:ind w:left="782" w:right="0" w:hanging="363" w:firstLineChars="0"/>
        <w:jc w:val="left"/>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将确定的置换目标量写入治疗处方。</w:t>
      </w:r>
    </w:p>
    <w:p w14:paraId="511B5259">
      <w:pPr>
        <w:pStyle w:val="12"/>
        <w:keepNext/>
        <w:keepLines w:val="0"/>
        <w:pageBreakBefore w:val="0"/>
        <w:widowControl/>
        <w:numPr>
          <w:ilvl w:val="2"/>
          <w:numId w:val="22"/>
        </w:numPr>
        <w:suppressLineNumbers w:val="0"/>
        <w:shd w:val="clear" w:fill="FFFFFF"/>
        <w:kinsoku/>
        <w:wordWrap/>
        <w:overflowPunct/>
        <w:topLinePunct w:val="0"/>
        <w:autoSpaceDE w:val="0"/>
        <w:autoSpaceDN/>
        <w:bidi w:val="0"/>
        <w:adjustRightInd w:val="0"/>
        <w:snapToGrid w:val="0"/>
        <w:spacing w:beforeLines="0" w:beforeAutospacing="0" w:afterLines="0" w:afterAutospacing="0" w:line="240" w:lineRule="auto"/>
        <w:ind w:left="0" w:leftChars="0" w:right="0" w:firstLine="0" w:firstLineChars="0"/>
        <w:jc w:val="left"/>
        <w:textAlignment w:val="auto"/>
        <w:outlineLvl w:val="2"/>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单次</w:t>
      </w:r>
      <w:r>
        <w:rPr>
          <w:rFonts w:hint="eastAsia" w:ascii="宋体" w:hAnsi="宋体" w:cs="宋体"/>
          <w:sz w:val="21"/>
          <w:szCs w:val="21"/>
          <w:lang w:val="en-US" w:eastAsia="zh-CN"/>
        </w:rPr>
        <w:t>血浆</w:t>
      </w:r>
      <w:r>
        <w:rPr>
          <w:rFonts w:hint="eastAsia" w:ascii="宋体" w:hAnsi="宋体" w:eastAsia="宋体" w:cs="宋体"/>
          <w:sz w:val="21"/>
          <w:szCs w:val="21"/>
          <w:lang w:val="en-US" w:eastAsia="zh-CN"/>
        </w:rPr>
        <w:t>置换量</w:t>
      </w:r>
      <w:r>
        <w:rPr>
          <w:rFonts w:hint="eastAsia" w:ascii="宋体" w:hAnsi="宋体" w:cs="宋体"/>
          <w:sz w:val="21"/>
          <w:szCs w:val="21"/>
          <w:lang w:val="en-US" w:eastAsia="zh-CN"/>
        </w:rPr>
        <w:t>不宜</w:t>
      </w:r>
      <w:r>
        <w:rPr>
          <w:rFonts w:hint="eastAsia" w:ascii="宋体" w:hAnsi="宋体" w:eastAsia="宋体" w:cs="宋体"/>
          <w:sz w:val="21"/>
          <w:szCs w:val="21"/>
          <w:lang w:val="en-US" w:eastAsia="zh-CN"/>
        </w:rPr>
        <w:t>超过患者</w:t>
      </w:r>
      <w:r>
        <w:rPr>
          <w:rFonts w:hint="eastAsia" w:ascii="宋体" w:hAnsi="宋体" w:cs="宋体"/>
          <w:sz w:val="21"/>
          <w:szCs w:val="21"/>
          <w:lang w:val="en-US" w:eastAsia="zh-CN"/>
        </w:rPr>
        <w:t>PV</w:t>
      </w:r>
      <w:r>
        <w:rPr>
          <w:rFonts w:hint="eastAsia" w:ascii="宋体" w:hAnsi="宋体" w:eastAsia="宋体" w:cs="宋体"/>
          <w:sz w:val="21"/>
          <w:szCs w:val="21"/>
          <w:lang w:val="en-US" w:eastAsia="zh-CN"/>
        </w:rPr>
        <w:t>的2.0倍。</w:t>
      </w:r>
    </w:p>
    <w:p w14:paraId="49A5B408">
      <w:pPr>
        <w:pStyle w:val="12"/>
        <w:keepNext/>
        <w:keepLines w:val="0"/>
        <w:pageBreakBefore w:val="0"/>
        <w:widowControl/>
        <w:numPr>
          <w:ilvl w:val="2"/>
          <w:numId w:val="22"/>
        </w:numPr>
        <w:suppressLineNumbers w:val="0"/>
        <w:shd w:val="clear" w:fill="FFFFFF"/>
        <w:kinsoku/>
        <w:wordWrap/>
        <w:overflowPunct/>
        <w:topLinePunct w:val="0"/>
        <w:autoSpaceDE w:val="0"/>
        <w:autoSpaceDN/>
        <w:bidi w:val="0"/>
        <w:adjustRightInd w:val="0"/>
        <w:snapToGrid w:val="0"/>
        <w:spacing w:beforeLines="0" w:beforeAutospacing="0" w:afterLines="0" w:afterAutospacing="0" w:line="240" w:lineRule="auto"/>
        <w:ind w:left="0" w:leftChars="0" w:right="0" w:firstLine="0" w:firstLineChars="0"/>
        <w:jc w:val="left"/>
        <w:textAlignment w:val="auto"/>
        <w:outlineLvl w:val="2"/>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对于特殊治疗模式（如微量血浆置换），</w:t>
      </w:r>
      <w:r>
        <w:rPr>
          <w:rFonts w:hint="eastAsia" w:ascii="宋体" w:hAnsi="宋体" w:cs="宋体"/>
          <w:sz w:val="21"/>
          <w:szCs w:val="21"/>
          <w:lang w:val="en-US" w:eastAsia="zh-CN"/>
        </w:rPr>
        <w:t>血浆</w:t>
      </w:r>
      <w:r>
        <w:rPr>
          <w:rFonts w:hint="eastAsia" w:ascii="宋体" w:hAnsi="宋体" w:eastAsia="宋体" w:cs="宋体"/>
          <w:sz w:val="21"/>
          <w:szCs w:val="21"/>
          <w:lang w:val="en-US" w:eastAsia="zh-CN"/>
        </w:rPr>
        <w:t>置换量可酌情减少，通常小于1000 mL或患者</w:t>
      </w:r>
      <w:r>
        <w:rPr>
          <w:rFonts w:hint="eastAsia" w:ascii="宋体" w:hAnsi="宋体" w:cs="宋体"/>
          <w:sz w:val="21"/>
          <w:szCs w:val="21"/>
          <w:lang w:val="en-US" w:eastAsia="zh-CN"/>
        </w:rPr>
        <w:t>PV</w:t>
      </w:r>
      <w:r>
        <w:rPr>
          <w:rFonts w:hint="eastAsia" w:ascii="宋体" w:hAnsi="宋体" w:eastAsia="宋体" w:cs="宋体"/>
          <w:sz w:val="21"/>
          <w:szCs w:val="21"/>
          <w:lang w:val="en-US" w:eastAsia="zh-CN"/>
        </w:rPr>
        <w:t>的1/3。</w:t>
      </w:r>
    </w:p>
    <w:p w14:paraId="0FD01CDC">
      <w:pPr>
        <w:pStyle w:val="12"/>
        <w:keepNext w:val="0"/>
        <w:keepLines w:val="0"/>
        <w:widowControl w:val="0"/>
        <w:suppressLineNumbers w:val="0"/>
        <w:adjustRightInd w:val="0"/>
        <w:spacing w:before="0" w:beforeAutospacing="0" w:after="0" w:afterAutospacing="0" w:line="240" w:lineRule="auto"/>
        <w:ind w:right="0"/>
        <w:jc w:val="both"/>
        <w:rPr>
          <w:rFonts w:hint="eastAsia" w:ascii="宋体" w:hAnsi="宋体" w:eastAsia="宋体" w:cs="宋体"/>
          <w:sz w:val="21"/>
          <w:szCs w:val="21"/>
          <w:lang w:val="en-US" w:eastAsia="zh-CN"/>
        </w:rPr>
      </w:pPr>
    </w:p>
    <w:p w14:paraId="7339B0CA">
      <w:pPr>
        <w:pStyle w:val="12"/>
        <w:keepNext w:val="0"/>
        <w:keepLines w:val="0"/>
        <w:widowControl w:val="0"/>
        <w:suppressLineNumbers w:val="0"/>
        <w:adjustRightInd w:val="0"/>
        <w:spacing w:before="0" w:beforeAutospacing="0" w:after="0" w:afterAutospacing="0" w:line="240" w:lineRule="auto"/>
        <w:ind w:right="0"/>
        <w:jc w:val="both"/>
        <w:rPr>
          <w:rFonts w:hint="eastAsia" w:ascii="宋体" w:hAnsi="宋体" w:eastAsia="宋体" w:cs="宋体"/>
          <w:sz w:val="21"/>
          <w:szCs w:val="21"/>
          <w:lang w:val="en-US" w:eastAsia="zh-CN"/>
        </w:rPr>
        <w:sectPr>
          <w:pgSz w:w="11906" w:h="16838"/>
          <w:pgMar w:top="1984" w:right="1134" w:bottom="1134" w:left="1134" w:header="1417" w:footer="1134" w:gutter="0"/>
          <w:pgNumType w:fmt="decimal"/>
          <w:cols w:space="425" w:num="1"/>
          <w:docGrid w:type="lines" w:linePitch="312" w:charSpace="0"/>
        </w:sectPr>
      </w:pPr>
    </w:p>
    <w:p w14:paraId="286741BE">
      <w:pPr>
        <w:pStyle w:val="12"/>
        <w:keepNext/>
        <w:keepLines w:val="0"/>
        <w:pageBreakBefore w:val="0"/>
        <w:widowControl/>
        <w:numPr>
          <w:ilvl w:val="0"/>
          <w:numId w:val="22"/>
        </w:numPr>
        <w:suppressLineNumbers w:val="0"/>
        <w:shd w:val="clear" w:fill="FFFFFF"/>
        <w:tabs>
          <w:tab w:val="left" w:pos="360"/>
          <w:tab w:val="left" w:pos="6405"/>
        </w:tabs>
        <w:kinsoku/>
        <w:wordWrap/>
        <w:overflowPunct/>
        <w:topLinePunct w:val="0"/>
        <w:autoSpaceDE/>
        <w:autoSpaceDN/>
        <w:bidi w:val="0"/>
        <w:adjustRightInd w:val="0"/>
        <w:snapToGrid/>
        <w:spacing w:before="640" w:beforeAutospacing="0" w:after="360" w:afterAutospacing="0" w:line="240" w:lineRule="auto"/>
        <w:ind w:left="0" w:right="0" w:firstLine="0"/>
        <w:jc w:val="center"/>
        <w:textAlignment w:val="auto"/>
        <w:outlineLvl w:val="0"/>
        <w:rPr>
          <w:rFonts w:hint="eastAsia" w:ascii="黑体" w:hAnsi="Times New Roman" w:eastAsia="黑体" w:cs="Times New Roman"/>
          <w:kern w:val="0"/>
          <w:sz w:val="21"/>
          <w:szCs w:val="21"/>
          <w:shd w:val="clear" w:fill="auto"/>
          <w:lang w:val="en-US" w:eastAsia="zh-CN" w:bidi="ar"/>
        </w:rPr>
      </w:pPr>
      <w:bookmarkStart w:id="107" w:name="_Toc7443"/>
      <w:r>
        <w:rPr>
          <w:rFonts w:hint="eastAsia" w:ascii="黑体" w:hAnsi="Times New Roman" w:eastAsia="黑体" w:cs="Times New Roman"/>
          <w:kern w:val="0"/>
          <w:sz w:val="21"/>
          <w:szCs w:val="21"/>
          <w:shd w:val="clear" w:fill="auto"/>
          <w:lang w:val="en-US" w:eastAsia="zh-CN" w:bidi="ar"/>
        </w:rPr>
        <w:br w:type="textWrapping"/>
      </w:r>
      <w:r>
        <w:rPr>
          <w:rFonts w:hint="eastAsia" w:ascii="黑体" w:hAnsi="Times New Roman" w:eastAsia="黑体" w:cs="Times New Roman"/>
          <w:kern w:val="0"/>
          <w:sz w:val="21"/>
          <w:szCs w:val="21"/>
          <w:shd w:val="clear" w:fill="auto"/>
          <w:lang w:val="en-US" w:eastAsia="zh-CN" w:bidi="ar"/>
        </w:rPr>
        <w:t>（资料性）</w:t>
      </w:r>
      <w:r>
        <w:rPr>
          <w:rFonts w:hint="eastAsia" w:ascii="黑体" w:hAnsi="Times New Roman" w:eastAsia="黑体" w:cs="Times New Roman"/>
          <w:kern w:val="0"/>
          <w:sz w:val="21"/>
          <w:szCs w:val="21"/>
          <w:shd w:val="clear" w:fill="auto"/>
          <w:lang w:val="en-US" w:eastAsia="zh-CN" w:bidi="ar"/>
        </w:rPr>
        <w:br w:type="textWrapping"/>
      </w:r>
      <w:r>
        <w:rPr>
          <w:rFonts w:hint="eastAsia" w:ascii="黑体" w:hAnsi="Times New Roman" w:eastAsia="黑体" w:cs="Times New Roman"/>
          <w:kern w:val="0"/>
          <w:sz w:val="21"/>
          <w:szCs w:val="21"/>
          <w:shd w:val="clear" w:fill="auto"/>
          <w:lang w:val="en-US" w:eastAsia="zh-CN" w:bidi="ar"/>
        </w:rPr>
        <w:t>置换液种类与抗凝方案选择</w:t>
      </w:r>
      <w:bookmarkEnd w:id="107"/>
    </w:p>
    <w:p w14:paraId="10165A2B">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spacing w:before="312" w:beforeLines="100" w:beforeAutospacing="0" w:after="312" w:afterLines="100" w:afterAutospacing="0" w:line="240" w:lineRule="auto"/>
        <w:ind w:left="0" w:right="0" w:firstLine="0"/>
        <w:jc w:val="left"/>
        <w:textAlignment w:val="auto"/>
        <w:outlineLvl w:val="2"/>
        <w:rPr>
          <w:rFonts w:hint="eastAsia" w:ascii="宋体" w:hAnsi="宋体" w:eastAsia="宋体" w:cs="宋体"/>
          <w:kern w:val="2"/>
          <w:sz w:val="21"/>
          <w:szCs w:val="21"/>
          <w:lang w:val="en-US" w:eastAsia="zh-CN" w:bidi="ar"/>
        </w:rPr>
      </w:pPr>
      <w:r>
        <w:rPr>
          <w:rFonts w:hint="eastAsia" w:ascii="黑体" w:hAnsi="黑体" w:eastAsia="黑体" w:cs="黑体"/>
          <w:sz w:val="21"/>
          <w:szCs w:val="21"/>
          <w:lang w:val="en-US" w:eastAsia="zh-CN"/>
        </w:rPr>
        <w:t>置换液种类</w:t>
      </w:r>
    </w:p>
    <w:p w14:paraId="683DDC1D">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leftChars="0" w:right="0" w:rightChars="0" w:firstLine="420" w:firstLineChars="0"/>
        <w:jc w:val="left"/>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置换液种类与特性对照</w:t>
      </w:r>
      <w:r>
        <w:rPr>
          <w:rFonts w:hint="eastAsia" w:ascii="宋体" w:hAnsi="宋体" w:eastAsia="宋体" w:cs="宋体"/>
          <w:sz w:val="21"/>
          <w:szCs w:val="21"/>
          <w:lang w:val="en-US" w:eastAsia="zh-CN"/>
        </w:rPr>
        <w:t>见表</w:t>
      </w:r>
      <w:r>
        <w:rPr>
          <w:rFonts w:hint="eastAsia" w:ascii="宋体" w:hAnsi="宋体" w:cs="宋体"/>
          <w:sz w:val="21"/>
          <w:szCs w:val="21"/>
          <w:lang w:val="en-US" w:eastAsia="zh-CN"/>
        </w:rPr>
        <w:t>C</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w:t>
      </w:r>
    </w:p>
    <w:p w14:paraId="2FD7D84C">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157" w:beforeLines="50" w:beforeAutospacing="0" w:after="157" w:afterLines="50" w:afterAutospacing="0" w:line="240" w:lineRule="auto"/>
        <w:ind w:leftChars="0" w:right="0" w:rightChars="0"/>
        <w:jc w:val="center"/>
        <w:textAlignment w:val="auto"/>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表C.1　置换液种类与特性对照表</w:t>
      </w:r>
    </w:p>
    <w:tbl>
      <w:tblPr>
        <w:tblStyle w:val="15"/>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999"/>
        <w:gridCol w:w="2140"/>
        <w:gridCol w:w="2140"/>
        <w:gridCol w:w="2140"/>
      </w:tblGrid>
      <w:tr w14:paraId="4762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32"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4093AD21">
            <w:pPr>
              <w:keepNext w:val="0"/>
              <w:keepLines w:val="0"/>
              <w:widowControl/>
              <w:suppressLineNumbers w:val="0"/>
              <w:spacing w:line="240" w:lineRule="auto"/>
              <w:jc w:val="center"/>
              <w:rPr>
                <w:rFonts w:hint="eastAsia" w:ascii="宋体" w:hAnsi="宋体" w:eastAsia="宋体" w:cs="宋体"/>
                <w:b/>
                <w:bCs/>
                <w:color w:val="000000"/>
                <w:sz w:val="18"/>
                <w:szCs w:val="18"/>
                <w:vertAlign w:val="baseline"/>
                <w:lang w:val="en-US" w:eastAsia="zh-CN"/>
              </w:rPr>
            </w:pPr>
            <w:r>
              <w:rPr>
                <w:rFonts w:hint="eastAsia" w:ascii="宋体" w:hAnsi="宋体" w:eastAsia="宋体" w:cs="宋体"/>
                <w:b/>
                <w:bCs/>
                <w:color w:val="auto"/>
                <w:kern w:val="0"/>
                <w:sz w:val="18"/>
                <w:szCs w:val="18"/>
                <w:lang w:val="en-US" w:eastAsia="zh-CN" w:bidi="ar"/>
              </w:rPr>
              <w:t>种类</w:t>
            </w:r>
          </w:p>
        </w:tc>
        <w:tc>
          <w:tcPr>
            <w:tcW w:w="1999"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13F1E73C">
            <w:pPr>
              <w:keepNext w:val="0"/>
              <w:keepLines w:val="0"/>
              <w:widowControl/>
              <w:suppressLineNumbers w:val="0"/>
              <w:spacing w:line="240" w:lineRule="auto"/>
              <w:jc w:val="center"/>
              <w:rPr>
                <w:rFonts w:hint="eastAsia" w:ascii="宋体" w:hAnsi="宋体" w:eastAsia="宋体" w:cs="宋体"/>
                <w:b/>
                <w:bCs/>
                <w:color w:val="000000"/>
                <w:sz w:val="18"/>
                <w:szCs w:val="18"/>
                <w:vertAlign w:val="baseline"/>
                <w:lang w:val="en-US" w:eastAsia="zh-CN"/>
              </w:rPr>
            </w:pPr>
            <w:r>
              <w:rPr>
                <w:rFonts w:hint="eastAsia" w:ascii="宋体" w:hAnsi="宋体" w:eastAsia="宋体" w:cs="宋体"/>
                <w:b/>
                <w:bCs/>
                <w:color w:val="auto"/>
                <w:kern w:val="0"/>
                <w:sz w:val="18"/>
                <w:szCs w:val="18"/>
                <w:lang w:val="en-US" w:eastAsia="zh-CN" w:bidi="ar"/>
              </w:rPr>
              <w:t>主要成分/示例</w:t>
            </w:r>
          </w:p>
        </w:tc>
        <w:tc>
          <w:tcPr>
            <w:tcW w:w="2140"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46C7F969">
            <w:pPr>
              <w:keepNext w:val="0"/>
              <w:keepLines w:val="0"/>
              <w:widowControl/>
              <w:suppressLineNumbers w:val="0"/>
              <w:spacing w:line="240" w:lineRule="auto"/>
              <w:jc w:val="center"/>
              <w:rPr>
                <w:rFonts w:hint="eastAsia" w:ascii="宋体" w:hAnsi="宋体" w:eastAsia="宋体" w:cs="宋体"/>
                <w:b/>
                <w:bCs/>
                <w:color w:val="000000"/>
                <w:sz w:val="18"/>
                <w:szCs w:val="18"/>
                <w:vertAlign w:val="baseline"/>
                <w:lang w:val="en-US" w:eastAsia="zh-CN"/>
              </w:rPr>
            </w:pPr>
            <w:r>
              <w:rPr>
                <w:rFonts w:hint="eastAsia" w:ascii="宋体" w:hAnsi="宋体" w:eastAsia="宋体" w:cs="宋体"/>
                <w:b/>
                <w:bCs/>
                <w:color w:val="auto"/>
                <w:kern w:val="0"/>
                <w:sz w:val="18"/>
                <w:szCs w:val="18"/>
                <w:lang w:val="en-US" w:eastAsia="zh-CN" w:bidi="ar"/>
              </w:rPr>
              <w:t>主要作用与特点</w:t>
            </w:r>
          </w:p>
        </w:tc>
        <w:tc>
          <w:tcPr>
            <w:tcW w:w="2140"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705CDC78">
            <w:pPr>
              <w:keepNext w:val="0"/>
              <w:keepLines w:val="0"/>
              <w:widowControl/>
              <w:suppressLineNumbers w:val="0"/>
              <w:spacing w:line="240" w:lineRule="auto"/>
              <w:jc w:val="center"/>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适用人群/情况</w:t>
            </w:r>
          </w:p>
        </w:tc>
        <w:tc>
          <w:tcPr>
            <w:tcW w:w="2140"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293888F4">
            <w:pPr>
              <w:keepNext w:val="0"/>
              <w:keepLines w:val="0"/>
              <w:widowControl/>
              <w:suppressLineNumbers w:val="0"/>
              <w:spacing w:line="240" w:lineRule="auto"/>
              <w:jc w:val="center"/>
              <w:rPr>
                <w:rFonts w:hint="eastAsia" w:ascii="宋体" w:hAnsi="宋体" w:eastAsia="宋体" w:cs="宋体"/>
                <w:b/>
                <w:bCs/>
                <w:color w:val="000000"/>
                <w:sz w:val="18"/>
                <w:szCs w:val="18"/>
                <w:vertAlign w:val="baseline"/>
                <w:lang w:val="en-US" w:eastAsia="zh-CN"/>
              </w:rPr>
            </w:pPr>
            <w:r>
              <w:rPr>
                <w:rFonts w:hint="eastAsia" w:ascii="宋体" w:hAnsi="宋体" w:eastAsia="宋体" w:cs="宋体"/>
                <w:b/>
                <w:bCs/>
                <w:color w:val="auto"/>
                <w:kern w:val="0"/>
                <w:sz w:val="18"/>
                <w:szCs w:val="18"/>
                <w:lang w:val="en-US" w:eastAsia="zh-CN" w:bidi="ar"/>
              </w:rPr>
              <w:t>缺点与注意事项</w:t>
            </w:r>
          </w:p>
        </w:tc>
      </w:tr>
      <w:tr w14:paraId="7FBD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32"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42EFE833">
            <w:pPr>
              <w:keepNext w:val="0"/>
              <w:keepLines w:val="0"/>
              <w:widowControl/>
              <w:suppressLineNumbers w:val="0"/>
              <w:spacing w:line="240" w:lineRule="auto"/>
              <w:jc w:val="center"/>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晶体液</w:t>
            </w:r>
          </w:p>
        </w:tc>
        <w:tc>
          <w:tcPr>
            <w:tcW w:w="1999"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74C1626A">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生理盐水、葡萄糖生理盐水、林格液</w:t>
            </w:r>
          </w:p>
        </w:tc>
        <w:tc>
          <w:tcPr>
            <w:tcW w:w="2140"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0BE3C691">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补充血浆电解质丢失；</w:t>
            </w:r>
            <w:r>
              <w:rPr>
                <w:rFonts w:hint="eastAsia" w:ascii="宋体" w:hAnsi="宋体" w:eastAsia="宋体" w:cs="宋体"/>
                <w:b w:val="0"/>
                <w:bCs w:val="0"/>
                <w:color w:val="auto"/>
                <w:kern w:val="0"/>
                <w:sz w:val="18"/>
                <w:szCs w:val="18"/>
                <w:lang w:val="en-US" w:eastAsia="zh-CN" w:bidi="ar"/>
              </w:rPr>
              <w:br w:type="textWrapping"/>
            </w:r>
            <w:r>
              <w:rPr>
                <w:rFonts w:hint="eastAsia" w:ascii="宋体" w:hAnsi="宋体" w:eastAsia="宋体" w:cs="宋体"/>
                <w:b w:val="0"/>
                <w:bCs w:val="0"/>
                <w:color w:val="auto"/>
                <w:kern w:val="0"/>
                <w:sz w:val="18"/>
                <w:szCs w:val="18"/>
                <w:lang w:val="en-US" w:eastAsia="zh-CN" w:bidi="ar"/>
              </w:rPr>
              <w:t>通常补充量为丢失血浆的</w:t>
            </w:r>
            <w:r>
              <w:rPr>
                <w:rStyle w:val="17"/>
                <w:rFonts w:hint="eastAsia" w:ascii="宋体" w:hAnsi="宋体" w:eastAsia="宋体" w:cs="宋体"/>
                <w:b w:val="0"/>
                <w:bCs w:val="0"/>
                <w:color w:val="auto"/>
                <w:kern w:val="0"/>
                <w:sz w:val="18"/>
                <w:szCs w:val="18"/>
                <w:lang w:val="en-US" w:eastAsia="zh-CN" w:bidi="ar"/>
              </w:rPr>
              <w:t>1/3～1/2</w:t>
            </w:r>
            <w:r>
              <w:rPr>
                <w:rFonts w:hint="eastAsia" w:ascii="宋体" w:hAnsi="宋体" w:eastAsia="宋体" w:cs="宋体"/>
                <w:b w:val="0"/>
                <w:bCs w:val="0"/>
                <w:color w:val="auto"/>
                <w:kern w:val="0"/>
                <w:sz w:val="18"/>
                <w:szCs w:val="18"/>
                <w:lang w:val="en-US" w:eastAsia="zh-CN" w:bidi="ar"/>
              </w:rPr>
              <w:t>(约500 mL～1000 mL)</w:t>
            </w:r>
          </w:p>
        </w:tc>
        <w:tc>
          <w:tcPr>
            <w:tcW w:w="2140"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1900A66D">
            <w:pPr>
              <w:keepNext w:val="0"/>
              <w:keepLines w:val="0"/>
              <w:widowControl/>
              <w:suppressLineNumbers w:val="0"/>
              <w:spacing w:line="240" w:lineRule="auto"/>
              <w:jc w:val="both"/>
              <w:rPr>
                <w:rFonts w:hint="eastAsia" w:ascii="宋体" w:hAnsi="宋体" w:eastAsia="宋体" w:cs="宋体"/>
                <w:b w:val="0"/>
                <w:bCs w:val="0"/>
                <w:color w:val="auto"/>
                <w:kern w:val="0"/>
                <w:sz w:val="18"/>
                <w:szCs w:val="18"/>
                <w:lang w:val="en-US" w:eastAsia="zh-CN" w:bidi="ar"/>
              </w:rPr>
            </w:pPr>
            <w:r>
              <w:rPr>
                <w:rFonts w:hint="eastAsia" w:ascii="宋体" w:hAnsi="宋体" w:eastAsia="宋体" w:cs="宋体"/>
                <w:b w:val="0"/>
                <w:bCs w:val="0"/>
                <w:color w:val="auto"/>
                <w:kern w:val="0"/>
                <w:sz w:val="18"/>
                <w:szCs w:val="18"/>
                <w:lang w:val="en-US" w:eastAsia="zh-CN" w:bidi="ar"/>
              </w:rPr>
              <w:t>主要用于预冲和回血，不作为主要置换液</w:t>
            </w:r>
          </w:p>
        </w:tc>
        <w:tc>
          <w:tcPr>
            <w:tcW w:w="2140"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5D9DAF8B">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无胶体渗透压，扩容效果短暂，过量使用可能导致组织水肿</w:t>
            </w:r>
          </w:p>
        </w:tc>
      </w:tr>
      <w:tr w14:paraId="0E8F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32"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0C05D913">
            <w:pPr>
              <w:keepNext w:val="0"/>
              <w:keepLines w:val="0"/>
              <w:widowControl/>
              <w:suppressLineNumbers w:val="0"/>
              <w:spacing w:line="240" w:lineRule="auto"/>
              <w:jc w:val="center"/>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新鲜血浆</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459A3">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新鲜冰冻血浆(FFP)</w:t>
            </w:r>
          </w:p>
        </w:tc>
        <w:tc>
          <w:tcPr>
            <w:tcW w:w="2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0DC69">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最符合生理的置换液，含有凝血因子、补体、白蛋白、免疫球蛋白等。</w:t>
            </w:r>
          </w:p>
        </w:tc>
        <w:tc>
          <w:tcPr>
            <w:tcW w:w="2140"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38C42915">
            <w:pPr>
              <w:keepNext w:val="0"/>
              <w:keepLines w:val="0"/>
              <w:widowControl/>
              <w:suppressLineNumbers w:val="0"/>
              <w:spacing w:line="240" w:lineRule="auto"/>
              <w:jc w:val="both"/>
              <w:rPr>
                <w:rFonts w:hint="eastAsia" w:ascii="宋体" w:hAnsi="宋体" w:eastAsia="宋体" w:cs="宋体"/>
                <w:b w:val="0"/>
                <w:bCs w:val="0"/>
                <w:color w:val="auto"/>
                <w:kern w:val="0"/>
                <w:sz w:val="18"/>
                <w:szCs w:val="18"/>
                <w:lang w:val="en-US" w:eastAsia="zh-CN" w:bidi="ar"/>
              </w:rPr>
            </w:pPr>
            <w:r>
              <w:rPr>
                <w:rFonts w:hint="eastAsia" w:ascii="宋体" w:hAnsi="宋体" w:eastAsia="宋体" w:cs="宋体"/>
                <w:b w:val="0"/>
                <w:bCs w:val="0"/>
                <w:color w:val="auto"/>
                <w:kern w:val="0"/>
                <w:sz w:val="18"/>
                <w:szCs w:val="18"/>
                <w:lang w:val="en-US" w:eastAsia="zh-CN" w:bidi="ar"/>
              </w:rPr>
              <w:t>适用于凝血因子缺乏、或其他血浆蛋白（如免疫球蛋白、补体）缺乏的患者</w:t>
            </w:r>
          </w:p>
        </w:tc>
        <w:tc>
          <w:tcPr>
            <w:tcW w:w="2140"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5379F450">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缺点</w:t>
            </w:r>
            <w:r>
              <w:rPr>
                <w:rFonts w:hint="eastAsia" w:ascii="宋体" w:hAnsi="宋体" w:eastAsia="宋体" w:cs="宋体"/>
                <w:b w:val="0"/>
                <w:bCs w:val="0"/>
                <w:color w:val="auto"/>
                <w:kern w:val="0"/>
                <w:sz w:val="18"/>
                <w:szCs w:val="18"/>
                <w:lang w:val="en-US" w:eastAsia="zh-CN" w:bidi="ar"/>
              </w:rPr>
              <w:t>：有导致病毒感染和变态反应的风险。</w:t>
            </w:r>
            <w:r>
              <w:rPr>
                <w:rFonts w:hint="eastAsia" w:ascii="宋体" w:hAnsi="宋体" w:eastAsia="宋体" w:cs="宋体"/>
                <w:b w:val="0"/>
                <w:bCs w:val="0"/>
                <w:color w:val="auto"/>
                <w:kern w:val="0"/>
                <w:sz w:val="18"/>
                <w:szCs w:val="18"/>
                <w:lang w:val="en-US" w:eastAsia="zh-CN" w:bidi="ar"/>
              </w:rPr>
              <w:br w:type="textWrapping"/>
            </w:r>
            <w:r>
              <w:rPr>
                <w:rStyle w:val="17"/>
                <w:rFonts w:hint="eastAsia" w:ascii="宋体" w:hAnsi="宋体" w:eastAsia="宋体" w:cs="宋体"/>
                <w:b w:val="0"/>
                <w:bCs w:val="0"/>
                <w:color w:val="auto"/>
                <w:kern w:val="0"/>
                <w:sz w:val="18"/>
                <w:szCs w:val="18"/>
                <w:lang w:val="en-US" w:eastAsia="zh-CN" w:bidi="ar"/>
              </w:rPr>
              <w:t>注意</w:t>
            </w:r>
            <w:r>
              <w:rPr>
                <w:rFonts w:hint="eastAsia" w:ascii="宋体" w:hAnsi="宋体" w:eastAsia="宋体" w:cs="宋体"/>
                <w:b w:val="0"/>
                <w:bCs w:val="0"/>
                <w:color w:val="auto"/>
                <w:kern w:val="0"/>
                <w:sz w:val="18"/>
                <w:szCs w:val="18"/>
                <w:lang w:val="en-US" w:eastAsia="zh-CN" w:bidi="ar"/>
              </w:rPr>
              <w:t>：血型匹配才能使用。</w:t>
            </w:r>
          </w:p>
        </w:tc>
      </w:tr>
      <w:tr w14:paraId="666A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32"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613D6120">
            <w:pPr>
              <w:keepNext w:val="0"/>
              <w:keepLines w:val="0"/>
              <w:widowControl/>
              <w:suppressLineNumbers w:val="0"/>
              <w:spacing w:line="240" w:lineRule="auto"/>
              <w:jc w:val="center"/>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人白蛋白注射液</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69BA2">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4%～5%人白蛋白溶液</w:t>
            </w:r>
          </w:p>
        </w:tc>
        <w:tc>
          <w:tcPr>
            <w:tcW w:w="2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1433C">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提供胶体渗透压；</w:t>
            </w:r>
            <w:r>
              <w:rPr>
                <w:rFonts w:hint="eastAsia" w:ascii="宋体" w:hAnsi="宋体" w:eastAsia="宋体" w:cs="宋体"/>
                <w:b w:val="0"/>
                <w:bCs w:val="0"/>
                <w:color w:val="auto"/>
                <w:kern w:val="0"/>
                <w:sz w:val="18"/>
                <w:szCs w:val="18"/>
                <w:lang w:val="en-US" w:eastAsia="zh-CN" w:bidi="ar"/>
              </w:rPr>
              <w:br w:type="textWrapping"/>
            </w:r>
            <w:r>
              <w:rPr>
                <w:rStyle w:val="17"/>
                <w:rFonts w:hint="eastAsia" w:ascii="宋体" w:hAnsi="宋体" w:eastAsia="宋体" w:cs="宋体"/>
                <w:b w:val="0"/>
                <w:bCs w:val="0"/>
                <w:color w:val="auto"/>
                <w:kern w:val="0"/>
                <w:sz w:val="18"/>
                <w:szCs w:val="18"/>
                <w:lang w:val="en-US" w:eastAsia="zh-CN" w:bidi="ar"/>
              </w:rPr>
              <w:t>优点</w:t>
            </w:r>
            <w:r>
              <w:rPr>
                <w:rFonts w:hint="eastAsia" w:ascii="宋体" w:hAnsi="宋体" w:eastAsia="宋体" w:cs="宋体"/>
                <w:b w:val="0"/>
                <w:bCs w:val="0"/>
                <w:color w:val="auto"/>
                <w:kern w:val="0"/>
                <w:sz w:val="18"/>
                <w:szCs w:val="18"/>
                <w:lang w:val="en-US" w:eastAsia="zh-CN" w:bidi="ar"/>
              </w:rPr>
              <w:t>：不易导致病毒感染和变态反应。</w:t>
            </w:r>
          </w:p>
        </w:tc>
        <w:tc>
          <w:tcPr>
            <w:tcW w:w="2140"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6CFFFE94">
            <w:pPr>
              <w:keepNext w:val="0"/>
              <w:keepLines w:val="0"/>
              <w:widowControl/>
              <w:suppressLineNumbers w:val="0"/>
              <w:spacing w:line="240" w:lineRule="auto"/>
              <w:jc w:val="both"/>
              <w:rPr>
                <w:rStyle w:val="17"/>
                <w:rFonts w:hint="eastAsia" w:ascii="宋体" w:hAnsi="宋体" w:eastAsia="宋体" w:cs="宋体"/>
                <w:b w:val="0"/>
                <w:bCs w:val="0"/>
                <w:color w:val="auto"/>
                <w:kern w:val="0"/>
                <w:sz w:val="18"/>
                <w:szCs w:val="18"/>
                <w:lang w:val="en-US" w:eastAsia="zh-CN" w:bidi="ar"/>
              </w:rPr>
            </w:pPr>
            <w:r>
              <w:rPr>
                <w:rFonts w:hint="eastAsia" w:ascii="宋体" w:hAnsi="宋体" w:eastAsia="宋体" w:cs="宋体"/>
                <w:b w:val="0"/>
                <w:bCs w:val="0"/>
                <w:color w:val="auto"/>
                <w:kern w:val="0"/>
                <w:sz w:val="18"/>
                <w:szCs w:val="18"/>
                <w:lang w:val="en-US" w:eastAsia="zh-CN" w:bidi="ar"/>
              </w:rPr>
              <w:t>需要维持胶体渗透压而又希望避免血浆相关风险的患者</w:t>
            </w:r>
          </w:p>
        </w:tc>
        <w:tc>
          <w:tcPr>
            <w:tcW w:w="2140"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113ADABA">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缺点</w:t>
            </w:r>
            <w:r>
              <w:rPr>
                <w:rFonts w:hint="eastAsia" w:ascii="宋体" w:hAnsi="宋体" w:eastAsia="宋体" w:cs="宋体"/>
                <w:b w:val="0"/>
                <w:bCs w:val="0"/>
                <w:color w:val="auto"/>
                <w:kern w:val="0"/>
                <w:sz w:val="18"/>
                <w:szCs w:val="18"/>
                <w:lang w:val="en-US" w:eastAsia="zh-CN" w:bidi="ar"/>
              </w:rPr>
              <w:t>：不含凝血因子和免疫球蛋白，剂量过大易引发出血或感染。</w:t>
            </w:r>
            <w:r>
              <w:rPr>
                <w:rFonts w:hint="eastAsia" w:ascii="宋体" w:hAnsi="宋体" w:eastAsia="宋体" w:cs="宋体"/>
                <w:b w:val="0"/>
                <w:bCs w:val="0"/>
                <w:color w:val="auto"/>
                <w:kern w:val="0"/>
                <w:sz w:val="18"/>
                <w:szCs w:val="18"/>
                <w:lang w:val="en-US" w:eastAsia="zh-CN" w:bidi="ar"/>
              </w:rPr>
              <w:br w:type="textWrapping"/>
            </w:r>
            <w:r>
              <w:rPr>
                <w:rStyle w:val="17"/>
                <w:rFonts w:hint="eastAsia" w:ascii="宋体" w:hAnsi="宋体" w:eastAsia="宋体" w:cs="宋体"/>
                <w:b w:val="0"/>
                <w:bCs w:val="0"/>
                <w:color w:val="auto"/>
                <w:kern w:val="0"/>
                <w:sz w:val="18"/>
                <w:szCs w:val="18"/>
                <w:lang w:val="en-US" w:eastAsia="zh-CN" w:bidi="ar"/>
              </w:rPr>
              <w:t>注意</w:t>
            </w:r>
            <w:r>
              <w:rPr>
                <w:rFonts w:hint="eastAsia" w:ascii="宋体" w:hAnsi="宋体" w:eastAsia="宋体" w:cs="宋体"/>
                <w:b w:val="0"/>
                <w:bCs w:val="0"/>
                <w:color w:val="auto"/>
                <w:kern w:val="0"/>
                <w:sz w:val="18"/>
                <w:szCs w:val="18"/>
                <w:lang w:val="en-US" w:eastAsia="zh-CN" w:bidi="ar"/>
              </w:rPr>
              <w:t>：溶液中钾、钙、镁浓度低，需注意监测和补充，防止低钾或低钙血症</w:t>
            </w:r>
          </w:p>
        </w:tc>
      </w:tr>
      <w:tr w14:paraId="102D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32" w:type="dxa"/>
            <w:tcBorders>
              <w:top w:val="single" w:color="000000" w:sz="4" w:space="0"/>
              <w:left w:val="single" w:color="000000" w:sz="12" w:space="0"/>
              <w:bottom w:val="single" w:color="000000" w:sz="12" w:space="0"/>
              <w:right w:val="single" w:color="000000" w:sz="4" w:space="0"/>
            </w:tcBorders>
            <w:shd w:val="clear" w:color="auto" w:fill="FFFFFF"/>
            <w:vAlign w:val="center"/>
          </w:tcPr>
          <w:p w14:paraId="2A061B46">
            <w:pPr>
              <w:keepNext w:val="0"/>
              <w:keepLines w:val="0"/>
              <w:widowControl/>
              <w:suppressLineNumbers w:val="0"/>
              <w:spacing w:line="240" w:lineRule="auto"/>
              <w:jc w:val="center"/>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其他合成胶体</w:t>
            </w:r>
          </w:p>
        </w:tc>
        <w:tc>
          <w:tcPr>
            <w:tcW w:w="1999"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6A76DBC4">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低分子右旋糖酐等</w:t>
            </w:r>
          </w:p>
        </w:tc>
        <w:tc>
          <w:tcPr>
            <w:tcW w:w="2140"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E534CFC">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降低治疗费用；暂时维持胶体渗透压。</w:t>
            </w:r>
          </w:p>
        </w:tc>
        <w:tc>
          <w:tcPr>
            <w:tcW w:w="2140" w:type="dxa"/>
            <w:tcBorders>
              <w:top w:val="single" w:color="000000" w:sz="4" w:space="0"/>
              <w:left w:val="single" w:color="000000" w:sz="4" w:space="0"/>
              <w:bottom w:val="single" w:color="000000" w:sz="12" w:space="0"/>
              <w:right w:val="single" w:color="000000" w:sz="12" w:space="0"/>
            </w:tcBorders>
            <w:shd w:val="clear" w:color="auto" w:fill="FFFFFF"/>
            <w:vAlign w:val="center"/>
          </w:tcPr>
          <w:p w14:paraId="6E49621A">
            <w:pPr>
              <w:keepNext w:val="0"/>
              <w:keepLines w:val="0"/>
              <w:widowControl/>
              <w:suppressLineNumbers w:val="0"/>
              <w:spacing w:line="240" w:lineRule="auto"/>
              <w:jc w:val="both"/>
              <w:rPr>
                <w:rFonts w:hint="eastAsia" w:ascii="宋体" w:hAnsi="宋体" w:eastAsia="宋体" w:cs="宋体"/>
                <w:b w:val="0"/>
                <w:bCs w:val="0"/>
                <w:color w:val="auto"/>
                <w:kern w:val="0"/>
                <w:sz w:val="18"/>
                <w:szCs w:val="18"/>
                <w:lang w:val="en-US" w:eastAsia="zh-CN" w:bidi="ar"/>
              </w:rPr>
            </w:pPr>
            <w:r>
              <w:rPr>
                <w:rFonts w:hint="eastAsia" w:ascii="宋体" w:hAnsi="宋体" w:eastAsia="宋体" w:cs="宋体"/>
                <w:b w:val="0"/>
                <w:bCs w:val="0"/>
                <w:color w:val="auto"/>
                <w:kern w:val="0"/>
                <w:sz w:val="18"/>
                <w:szCs w:val="18"/>
                <w:lang w:val="en-US" w:eastAsia="zh-CN" w:bidi="ar"/>
              </w:rPr>
              <w:t>尤其适用于高黏滞综合征；常在治疗起始阶段使用</w:t>
            </w:r>
          </w:p>
        </w:tc>
        <w:tc>
          <w:tcPr>
            <w:tcW w:w="2140" w:type="dxa"/>
            <w:tcBorders>
              <w:top w:val="single" w:color="000000" w:sz="4" w:space="0"/>
              <w:left w:val="single" w:color="000000" w:sz="4" w:space="0"/>
              <w:bottom w:val="single" w:color="000000" w:sz="12" w:space="0"/>
              <w:right w:val="single" w:color="000000" w:sz="12" w:space="0"/>
            </w:tcBorders>
            <w:shd w:val="clear" w:color="auto" w:fill="FFFFFF"/>
            <w:vAlign w:val="center"/>
          </w:tcPr>
          <w:p w14:paraId="14A09770">
            <w:pPr>
              <w:keepNext w:val="0"/>
              <w:keepLines w:val="0"/>
              <w:widowControl/>
              <w:suppressLineNumbers w:val="0"/>
              <w:spacing w:line="240" w:lineRule="auto"/>
              <w:jc w:val="both"/>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半衰期短</w:t>
            </w:r>
            <w:r>
              <w:rPr>
                <w:rFonts w:hint="eastAsia" w:ascii="宋体" w:hAnsi="宋体" w:eastAsia="宋体" w:cs="宋体"/>
                <w:b w:val="0"/>
                <w:bCs w:val="0"/>
                <w:color w:val="auto"/>
                <w:kern w:val="0"/>
                <w:sz w:val="18"/>
                <w:szCs w:val="18"/>
                <w:lang w:val="en-US" w:eastAsia="zh-CN" w:bidi="ar"/>
              </w:rPr>
              <w:t>（仅数小时）。</w:t>
            </w:r>
            <w:r>
              <w:rPr>
                <w:rFonts w:hint="eastAsia" w:ascii="宋体" w:hAnsi="宋体" w:eastAsia="宋体" w:cs="宋体"/>
                <w:b w:val="0"/>
                <w:bCs w:val="0"/>
                <w:color w:val="auto"/>
                <w:kern w:val="0"/>
                <w:sz w:val="18"/>
                <w:szCs w:val="18"/>
                <w:lang w:val="en-US" w:eastAsia="zh-CN" w:bidi="ar"/>
              </w:rPr>
              <w:br w:type="textWrapping"/>
            </w:r>
            <w:r>
              <w:rPr>
                <w:rStyle w:val="17"/>
                <w:rFonts w:hint="eastAsia" w:ascii="宋体" w:hAnsi="宋体" w:eastAsia="宋体" w:cs="宋体"/>
                <w:b w:val="0"/>
                <w:bCs w:val="0"/>
                <w:color w:val="auto"/>
                <w:kern w:val="0"/>
                <w:sz w:val="18"/>
                <w:szCs w:val="18"/>
                <w:lang w:val="en-US" w:eastAsia="zh-CN" w:bidi="ar"/>
              </w:rPr>
              <w:t>注意</w:t>
            </w:r>
            <w:r>
              <w:rPr>
                <w:rFonts w:hint="eastAsia" w:ascii="宋体" w:hAnsi="宋体" w:eastAsia="宋体" w:cs="宋体"/>
                <w:b w:val="0"/>
                <w:bCs w:val="0"/>
                <w:color w:val="auto"/>
                <w:kern w:val="0"/>
                <w:sz w:val="18"/>
                <w:szCs w:val="18"/>
                <w:lang w:val="en-US" w:eastAsia="zh-CN" w:bidi="ar"/>
              </w:rPr>
              <w:t>：总量</w:t>
            </w:r>
            <w:r>
              <w:rPr>
                <w:rStyle w:val="17"/>
                <w:rFonts w:hint="eastAsia" w:ascii="宋体" w:hAnsi="宋体" w:eastAsia="宋体" w:cs="宋体"/>
                <w:b w:val="0"/>
                <w:bCs w:val="0"/>
                <w:color w:val="auto"/>
                <w:kern w:val="0"/>
                <w:sz w:val="18"/>
                <w:szCs w:val="18"/>
                <w:lang w:val="en-US" w:eastAsia="zh-CN" w:bidi="ar"/>
              </w:rPr>
              <w:t>不能超过</w:t>
            </w:r>
            <w:r>
              <w:rPr>
                <w:rFonts w:hint="eastAsia" w:ascii="宋体" w:hAnsi="宋体" w:eastAsia="宋体" w:cs="宋体"/>
                <w:b w:val="0"/>
                <w:bCs w:val="0"/>
                <w:color w:val="auto"/>
                <w:kern w:val="0"/>
                <w:sz w:val="18"/>
                <w:szCs w:val="18"/>
                <w:lang w:val="en-US" w:eastAsia="zh-CN" w:bidi="ar"/>
              </w:rPr>
              <w:t>总置换量的</w:t>
            </w:r>
            <w:r>
              <w:rPr>
                <w:rStyle w:val="17"/>
                <w:rFonts w:hint="eastAsia" w:ascii="宋体" w:hAnsi="宋体" w:eastAsia="宋体" w:cs="宋体"/>
                <w:b w:val="0"/>
                <w:bCs w:val="0"/>
                <w:color w:val="auto"/>
                <w:kern w:val="0"/>
                <w:sz w:val="18"/>
                <w:szCs w:val="18"/>
                <w:lang w:val="en-US" w:eastAsia="zh-CN" w:bidi="ar"/>
              </w:rPr>
              <w:t>20%</w:t>
            </w:r>
          </w:p>
        </w:tc>
      </w:tr>
    </w:tbl>
    <w:p w14:paraId="3EE6E97C">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leftChars="0" w:right="0" w:rightChars="0"/>
        <w:jc w:val="center"/>
        <w:textAlignment w:val="auto"/>
        <w:outlineLvl w:val="9"/>
        <w:rPr>
          <w:rFonts w:hint="eastAsia" w:ascii="黑体" w:hAnsi="黑体" w:eastAsia="黑体" w:cs="黑体"/>
          <w:sz w:val="21"/>
          <w:szCs w:val="21"/>
          <w:lang w:val="en-US" w:eastAsia="zh-CN"/>
        </w:rPr>
      </w:pPr>
    </w:p>
    <w:p w14:paraId="1CEAF6BA">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spacing w:before="312" w:beforeLines="100" w:beforeAutospacing="0" w:after="312" w:afterLines="100" w:afterAutospacing="0" w:line="240" w:lineRule="auto"/>
        <w:ind w:left="0" w:right="0" w:firstLine="0"/>
        <w:jc w:val="left"/>
        <w:textAlignment w:val="auto"/>
        <w:outlineLvl w:val="2"/>
        <w:rPr>
          <w:rFonts w:hint="eastAsia" w:ascii="宋体" w:hAnsi="宋体" w:eastAsia="宋体" w:cs="宋体"/>
          <w:kern w:val="2"/>
          <w:sz w:val="21"/>
          <w:szCs w:val="21"/>
          <w:lang w:val="en-US" w:eastAsia="zh-CN" w:bidi="ar"/>
        </w:rPr>
      </w:pPr>
      <w:r>
        <w:rPr>
          <w:rFonts w:hint="eastAsia" w:ascii="黑体" w:hAnsi="黑体" w:eastAsia="黑体" w:cs="黑体"/>
          <w:sz w:val="21"/>
          <w:szCs w:val="21"/>
          <w:lang w:val="en-US" w:eastAsia="zh-CN"/>
        </w:rPr>
        <w:t>抗凝剂选择流程</w:t>
      </w:r>
    </w:p>
    <w:p w14:paraId="469632CC">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leftChars="0" w:right="0" w:rightChars="0" w:firstLine="42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抗凝剂选择流程见</w:t>
      </w:r>
      <w:r>
        <w:rPr>
          <w:rFonts w:hint="eastAsia" w:ascii="宋体" w:hAnsi="宋体" w:cs="宋体"/>
          <w:sz w:val="21"/>
          <w:szCs w:val="21"/>
          <w:lang w:val="en-US" w:eastAsia="zh-CN"/>
        </w:rPr>
        <w:t>图C</w:t>
      </w:r>
      <w:r>
        <w:rPr>
          <w:rFonts w:hint="eastAsia" w:ascii="宋体" w:hAnsi="宋体" w:eastAsia="宋体" w:cs="宋体"/>
          <w:sz w:val="21"/>
          <w:szCs w:val="21"/>
          <w:lang w:val="en-US" w:eastAsia="zh-CN"/>
        </w:rPr>
        <w:t>.1。</w:t>
      </w:r>
    </w:p>
    <w:p w14:paraId="1257AF7F">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leftChars="0" w:right="0" w:rightChars="0" w:firstLine="420" w:firstLineChars="0"/>
        <w:jc w:val="left"/>
        <w:textAlignment w:val="auto"/>
        <w:outlineLvl w:val="9"/>
        <w:rPr>
          <w:rFonts w:hint="eastAsia" w:ascii="宋体" w:hAnsi="宋体" w:eastAsia="宋体" w:cs="宋体"/>
          <w:sz w:val="21"/>
          <w:szCs w:val="21"/>
          <w:lang w:val="en-US" w:eastAsia="zh-CN"/>
        </w:rPr>
      </w:pPr>
    </w:p>
    <w:p w14:paraId="317E6132">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157" w:beforeLines="50" w:beforeAutospacing="0" w:after="157" w:afterLines="50" w:afterAutospacing="0" w:line="240" w:lineRule="auto"/>
        <w:ind w:leftChars="0" w:right="0" w:rightChars="0"/>
        <w:jc w:val="center"/>
        <w:textAlignment w:val="auto"/>
        <w:outlineLvl w:val="9"/>
        <w:rPr>
          <w:rFonts w:hint="eastAsia" w:eastAsia="黑体"/>
          <w:lang w:eastAsia="zh-CN"/>
        </w:rPr>
      </w:pPr>
      <w:r>
        <w:rPr>
          <w:rFonts w:hint="eastAsia" w:eastAsia="黑体"/>
          <w:lang w:eastAsia="zh-CN"/>
        </w:rPr>
        <w:drawing>
          <wp:inline distT="0" distB="0" distL="114300" distR="114300">
            <wp:extent cx="3239135" cy="5672455"/>
            <wp:effectExtent l="0" t="0" r="18415" b="4445"/>
            <wp:docPr id="7" name="图片 7" descr="deepseek_mermaid_20250928_393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eepseek_mermaid_20250928_3930e0"/>
                    <pic:cNvPicPr>
                      <a:picLocks noChangeAspect="1"/>
                    </pic:cNvPicPr>
                  </pic:nvPicPr>
                  <pic:blipFill>
                    <a:blip r:embed="rId11"/>
                    <a:srcRect l="11246" t="51" r="47288" b="58640"/>
                    <a:stretch>
                      <a:fillRect/>
                    </a:stretch>
                  </pic:blipFill>
                  <pic:spPr>
                    <a:xfrm>
                      <a:off x="0" y="0"/>
                      <a:ext cx="3239135" cy="5672455"/>
                    </a:xfrm>
                    <a:prstGeom prst="rect">
                      <a:avLst/>
                    </a:prstGeom>
                  </pic:spPr>
                </pic:pic>
              </a:graphicData>
            </a:graphic>
          </wp:inline>
        </w:drawing>
      </w:r>
    </w:p>
    <w:p w14:paraId="1ECC0543">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157" w:beforeLines="50" w:beforeAutospacing="0" w:after="157" w:afterLines="50" w:afterAutospacing="0" w:line="240" w:lineRule="auto"/>
        <w:ind w:leftChars="0" w:right="0" w:rightChars="0"/>
        <w:jc w:val="center"/>
        <w:textAlignment w:val="auto"/>
        <w:outlineLvl w:val="9"/>
        <w:rPr>
          <w:rFonts w:hint="default" w:ascii="黑体" w:hAnsi="黑体" w:eastAsia="黑体" w:cs="黑体"/>
          <w:sz w:val="21"/>
          <w:szCs w:val="18"/>
          <w:lang w:val="en-US" w:eastAsia="zh-CN"/>
        </w:rPr>
      </w:pPr>
      <w:r>
        <w:rPr>
          <w:rFonts w:hint="eastAsia" w:ascii="黑体" w:hAnsi="黑体" w:eastAsia="黑体" w:cs="黑体"/>
          <w:sz w:val="21"/>
          <w:szCs w:val="18"/>
          <w:lang w:val="en-US" w:eastAsia="zh-CN"/>
        </w:rPr>
        <w:t>图C.1  抗凝剂选择流程</w:t>
      </w:r>
    </w:p>
    <w:p w14:paraId="7100FEA5">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spacing w:before="312" w:beforeLines="100" w:beforeAutospacing="0" w:after="312" w:afterLines="100" w:afterAutospacing="0" w:line="240" w:lineRule="auto"/>
        <w:ind w:left="0" w:right="0" w:firstLine="0"/>
        <w:jc w:val="left"/>
        <w:textAlignment w:val="auto"/>
        <w:outlineLvl w:val="2"/>
        <w:rPr>
          <w:rFonts w:hint="eastAsia" w:ascii="宋体" w:hAnsi="宋体" w:eastAsia="宋体" w:cs="宋体"/>
          <w:kern w:val="2"/>
          <w:sz w:val="21"/>
          <w:szCs w:val="21"/>
          <w:lang w:val="en-US" w:eastAsia="zh-CN" w:bidi="ar"/>
        </w:rPr>
      </w:pPr>
      <w:r>
        <w:rPr>
          <w:rFonts w:hint="eastAsia" w:ascii="黑体" w:hAnsi="黑体" w:eastAsia="黑体" w:cs="黑体"/>
          <w:sz w:val="21"/>
          <w:szCs w:val="21"/>
          <w:lang w:val="en-US" w:eastAsia="zh-CN"/>
        </w:rPr>
        <w:t>抗凝剂剂量参考与监测要点</w:t>
      </w:r>
    </w:p>
    <w:p w14:paraId="6B67A7BD">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leftChars="0" w:right="0" w:rightChars="0" w:firstLine="420" w:firstLineChars="0"/>
        <w:jc w:val="left"/>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抗凝剂剂量参考与监测要点</w:t>
      </w:r>
      <w:r>
        <w:rPr>
          <w:rFonts w:hint="eastAsia" w:ascii="宋体" w:hAnsi="宋体" w:eastAsia="宋体" w:cs="宋体"/>
          <w:sz w:val="21"/>
          <w:szCs w:val="21"/>
          <w:lang w:val="en-US" w:eastAsia="zh-CN"/>
        </w:rPr>
        <w:t>见表</w:t>
      </w:r>
      <w:r>
        <w:rPr>
          <w:rFonts w:hint="eastAsia" w:ascii="宋体" w:hAnsi="宋体" w:cs="宋体"/>
          <w:sz w:val="21"/>
          <w:szCs w:val="21"/>
          <w:lang w:val="en-US" w:eastAsia="zh-CN"/>
        </w:rPr>
        <w:t>C</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w:t>
      </w:r>
    </w:p>
    <w:p w14:paraId="052A80D5">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157" w:beforeLines="50" w:beforeAutospacing="0" w:after="157" w:afterLines="50" w:afterAutospacing="0" w:line="240" w:lineRule="auto"/>
        <w:ind w:leftChars="0" w:right="0" w:rightChars="0"/>
        <w:jc w:val="center"/>
        <w:textAlignment w:val="auto"/>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表C.2　常用抗凝剂剂量与监测要点</w:t>
      </w:r>
    </w:p>
    <w:tbl>
      <w:tblPr>
        <w:tblStyle w:val="15"/>
        <w:tblW w:w="9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3524"/>
        <w:gridCol w:w="1800"/>
        <w:gridCol w:w="2954"/>
      </w:tblGrid>
      <w:tr w14:paraId="033E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0"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645AC068">
            <w:pPr>
              <w:keepNext w:val="0"/>
              <w:keepLines w:val="0"/>
              <w:widowControl/>
              <w:suppressLineNumbers w:val="0"/>
              <w:spacing w:line="240" w:lineRule="auto"/>
              <w:jc w:val="center"/>
              <w:rPr>
                <w:rFonts w:hint="eastAsia" w:ascii="宋体" w:hAnsi="宋体" w:eastAsia="宋体" w:cs="宋体"/>
                <w:b/>
                <w:bCs/>
                <w:color w:val="000000"/>
                <w:sz w:val="18"/>
                <w:szCs w:val="18"/>
                <w:vertAlign w:val="baseline"/>
                <w:lang w:val="en-US" w:eastAsia="zh-CN"/>
              </w:rPr>
            </w:pPr>
            <w:r>
              <w:rPr>
                <w:rFonts w:hint="eastAsia" w:ascii="宋体" w:hAnsi="宋体" w:eastAsia="宋体" w:cs="宋体"/>
                <w:b/>
                <w:bCs/>
                <w:color w:val="auto"/>
                <w:kern w:val="0"/>
                <w:sz w:val="18"/>
                <w:szCs w:val="18"/>
                <w:lang w:val="en-US" w:eastAsia="zh-CN" w:bidi="ar"/>
              </w:rPr>
              <w:t>抗凝剂种类</w:t>
            </w:r>
          </w:p>
        </w:tc>
        <w:tc>
          <w:tcPr>
            <w:tcW w:w="3524"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647D9CA0">
            <w:pPr>
              <w:keepNext w:val="0"/>
              <w:keepLines w:val="0"/>
              <w:widowControl/>
              <w:suppressLineNumbers w:val="0"/>
              <w:spacing w:line="240" w:lineRule="auto"/>
              <w:jc w:val="center"/>
              <w:rPr>
                <w:rFonts w:hint="eastAsia" w:ascii="宋体" w:hAnsi="宋体" w:eastAsia="宋体" w:cs="宋体"/>
                <w:b/>
                <w:bCs/>
                <w:color w:val="000000"/>
                <w:sz w:val="18"/>
                <w:szCs w:val="18"/>
                <w:vertAlign w:val="baseline"/>
                <w:lang w:val="en-US" w:eastAsia="zh-CN"/>
              </w:rPr>
            </w:pPr>
            <w:r>
              <w:rPr>
                <w:rFonts w:hint="eastAsia" w:ascii="宋体" w:hAnsi="宋体" w:eastAsia="宋体" w:cs="宋体"/>
                <w:b/>
                <w:bCs/>
                <w:color w:val="auto"/>
                <w:kern w:val="0"/>
                <w:sz w:val="18"/>
                <w:szCs w:val="18"/>
                <w:lang w:val="en-US" w:eastAsia="zh-CN" w:bidi="ar"/>
              </w:rPr>
              <w:t>常用剂量参考</w:t>
            </w:r>
          </w:p>
        </w:tc>
        <w:tc>
          <w:tcPr>
            <w:tcW w:w="1800"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286DB6D4">
            <w:pPr>
              <w:keepNext w:val="0"/>
              <w:keepLines w:val="0"/>
              <w:widowControl/>
              <w:suppressLineNumbers w:val="0"/>
              <w:spacing w:line="240" w:lineRule="auto"/>
              <w:jc w:val="center"/>
              <w:rPr>
                <w:rFonts w:hint="eastAsia" w:ascii="宋体" w:hAnsi="宋体" w:eastAsia="宋体" w:cs="宋体"/>
                <w:b/>
                <w:bCs/>
                <w:color w:val="000000"/>
                <w:sz w:val="18"/>
                <w:szCs w:val="18"/>
                <w:vertAlign w:val="baseline"/>
                <w:lang w:val="en-US" w:eastAsia="zh-CN"/>
              </w:rPr>
            </w:pPr>
            <w:r>
              <w:rPr>
                <w:rFonts w:hint="eastAsia" w:ascii="宋体" w:hAnsi="宋体" w:eastAsia="宋体" w:cs="宋体"/>
                <w:b/>
                <w:bCs/>
                <w:color w:val="auto"/>
                <w:kern w:val="0"/>
                <w:sz w:val="18"/>
                <w:szCs w:val="18"/>
                <w:lang w:val="en-US" w:eastAsia="zh-CN" w:bidi="ar"/>
              </w:rPr>
              <w:t>监测指标</w:t>
            </w:r>
          </w:p>
        </w:tc>
        <w:tc>
          <w:tcPr>
            <w:tcW w:w="2954"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4826BB58">
            <w:pPr>
              <w:keepNext w:val="0"/>
              <w:keepLines w:val="0"/>
              <w:widowControl/>
              <w:suppressLineNumbers w:val="0"/>
              <w:spacing w:line="240" w:lineRule="auto"/>
              <w:jc w:val="center"/>
              <w:rPr>
                <w:rFonts w:hint="eastAsia" w:ascii="宋体" w:hAnsi="宋体" w:eastAsia="宋体" w:cs="宋体"/>
                <w:b/>
                <w:bCs/>
                <w:color w:val="000000"/>
                <w:sz w:val="18"/>
                <w:szCs w:val="18"/>
                <w:vertAlign w:val="baseline"/>
                <w:lang w:val="en-US" w:eastAsia="zh-CN"/>
              </w:rPr>
            </w:pPr>
            <w:r>
              <w:rPr>
                <w:rFonts w:hint="eastAsia" w:ascii="宋体" w:hAnsi="宋体" w:eastAsia="宋体" w:cs="宋体"/>
                <w:b/>
                <w:bCs/>
                <w:color w:val="auto"/>
                <w:kern w:val="0"/>
                <w:sz w:val="18"/>
                <w:szCs w:val="18"/>
                <w:lang w:val="en-US" w:eastAsia="zh-CN" w:bidi="ar"/>
              </w:rPr>
              <w:t>监测目标</w:t>
            </w:r>
          </w:p>
        </w:tc>
      </w:tr>
      <w:tr w14:paraId="6A77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0"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01125493">
            <w:pPr>
              <w:keepNext w:val="0"/>
              <w:keepLines w:val="0"/>
              <w:widowControl/>
              <w:suppressLineNumbers w:val="0"/>
              <w:spacing w:line="240" w:lineRule="auto"/>
              <w:jc w:val="center"/>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普通肝素</w:t>
            </w:r>
          </w:p>
        </w:tc>
        <w:tc>
          <w:tcPr>
            <w:tcW w:w="3524"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343D6CBD">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首剂</w:t>
            </w:r>
            <w:r>
              <w:rPr>
                <w:rFonts w:hint="eastAsia" w:ascii="宋体" w:hAnsi="宋体" w:eastAsia="宋体" w:cs="宋体"/>
                <w:b w:val="0"/>
                <w:bCs w:val="0"/>
                <w:color w:val="auto"/>
                <w:kern w:val="0"/>
                <w:sz w:val="18"/>
                <w:szCs w:val="18"/>
                <w:lang w:val="en-US" w:eastAsia="zh-CN" w:bidi="ar"/>
              </w:rPr>
              <w:t>：62.5 U/h</w:t>
            </w:r>
            <w:r>
              <w:rPr>
                <w:rFonts w:hint="eastAsia" w:ascii="宋体" w:hAnsi="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t>125 U/kg (0.50 mg/kg</w:t>
            </w:r>
            <w:r>
              <w:rPr>
                <w:rFonts w:hint="eastAsia" w:ascii="宋体" w:hAnsi="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t>1.0 mg/kg)</w:t>
            </w:r>
            <w:r>
              <w:rPr>
                <w:rFonts w:hint="eastAsia" w:ascii="宋体" w:hAnsi="宋体" w:eastAsia="宋体" w:cs="宋体"/>
                <w:b w:val="0"/>
                <w:bCs w:val="0"/>
                <w:color w:val="auto"/>
                <w:kern w:val="0"/>
                <w:sz w:val="18"/>
                <w:szCs w:val="18"/>
                <w:lang w:val="en-US" w:eastAsia="zh-CN" w:bidi="ar"/>
              </w:rPr>
              <w:br w:type="textWrapping"/>
            </w:r>
            <w:r>
              <w:rPr>
                <w:rStyle w:val="17"/>
                <w:rFonts w:hint="eastAsia" w:ascii="宋体" w:hAnsi="宋体" w:eastAsia="宋体" w:cs="宋体"/>
                <w:b w:val="0"/>
                <w:bCs w:val="0"/>
                <w:color w:val="auto"/>
                <w:kern w:val="0"/>
                <w:sz w:val="18"/>
                <w:szCs w:val="18"/>
                <w:lang w:val="en-US" w:eastAsia="zh-CN" w:bidi="ar"/>
              </w:rPr>
              <w:t>追加</w:t>
            </w:r>
            <w:r>
              <w:rPr>
                <w:rFonts w:hint="eastAsia" w:ascii="宋体" w:hAnsi="宋体" w:eastAsia="宋体" w:cs="宋体"/>
                <w:b w:val="0"/>
                <w:bCs w:val="0"/>
                <w:color w:val="auto"/>
                <w:kern w:val="0"/>
                <w:sz w:val="18"/>
                <w:szCs w:val="18"/>
                <w:lang w:val="en-US" w:eastAsia="zh-CN" w:bidi="ar"/>
              </w:rPr>
              <w:t>：1250 U/h</w:t>
            </w:r>
            <w:r>
              <w:rPr>
                <w:rFonts w:hint="eastAsia" w:ascii="宋体" w:hAnsi="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t>2500 U/h (10 mg/h</w:t>
            </w:r>
            <w:r>
              <w:rPr>
                <w:rFonts w:hint="eastAsia" w:ascii="宋体" w:hAnsi="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t>20 mg/h)</w:t>
            </w:r>
          </w:p>
        </w:tc>
        <w:tc>
          <w:tcPr>
            <w:tcW w:w="1800"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3C402A14">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ACT</w:t>
            </w:r>
            <w:r>
              <w:rPr>
                <w:rFonts w:hint="eastAsia" w:ascii="宋体" w:hAnsi="宋体" w:cs="宋体"/>
                <w:b w:val="0"/>
                <w:bCs w:val="0"/>
                <w:color w:val="auto"/>
                <w:kern w:val="0"/>
                <w:sz w:val="18"/>
                <w:szCs w:val="18"/>
                <w:lang w:val="en-US" w:eastAsia="zh-CN" w:bidi="ar"/>
              </w:rPr>
              <w:t>或</w:t>
            </w:r>
            <w:r>
              <w:rPr>
                <w:rFonts w:hint="eastAsia" w:ascii="宋体" w:hAnsi="宋体" w:eastAsia="宋体" w:cs="宋体"/>
                <w:b w:val="0"/>
                <w:bCs w:val="0"/>
                <w:color w:val="auto"/>
                <w:kern w:val="0"/>
                <w:sz w:val="18"/>
                <w:szCs w:val="18"/>
                <w:lang w:val="en-US" w:eastAsia="zh-CN" w:bidi="ar"/>
              </w:rPr>
              <w:t>APTT</w:t>
            </w:r>
          </w:p>
        </w:tc>
        <w:tc>
          <w:tcPr>
            <w:tcW w:w="2954"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1F6936D6">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管路静脉端ACT/APTT</w:t>
            </w:r>
            <w:r>
              <w:rPr>
                <w:rFonts w:hint="eastAsia" w:ascii="宋体" w:hAnsi="宋体" w:eastAsia="宋体" w:cs="宋体"/>
                <w:b w:val="0"/>
                <w:bCs w:val="0"/>
                <w:color w:val="auto"/>
                <w:kern w:val="0"/>
                <w:sz w:val="18"/>
                <w:szCs w:val="18"/>
                <w:lang w:val="en-US" w:eastAsia="zh-CN" w:bidi="ar"/>
              </w:rPr>
              <w:t>值维持在</w:t>
            </w:r>
            <w:r>
              <w:rPr>
                <w:rStyle w:val="17"/>
                <w:rFonts w:hint="eastAsia" w:ascii="宋体" w:hAnsi="宋体" w:eastAsia="宋体" w:cs="宋体"/>
                <w:b w:val="0"/>
                <w:bCs w:val="0"/>
                <w:color w:val="auto"/>
                <w:kern w:val="0"/>
                <w:sz w:val="18"/>
                <w:szCs w:val="18"/>
                <w:lang w:val="en-US" w:eastAsia="zh-CN" w:bidi="ar"/>
              </w:rPr>
              <w:t>治疗前基础的1.5倍</w:t>
            </w:r>
            <w:r>
              <w:rPr>
                <w:rStyle w:val="17"/>
                <w:rFonts w:hint="eastAsia" w:ascii="宋体" w:hAnsi="宋体" w:cs="宋体"/>
                <w:b w:val="0"/>
                <w:bCs w:val="0"/>
                <w:color w:val="auto"/>
                <w:kern w:val="0"/>
                <w:sz w:val="18"/>
                <w:szCs w:val="18"/>
                <w:lang w:val="en-US" w:eastAsia="zh-CN" w:bidi="ar"/>
              </w:rPr>
              <w:t>～</w:t>
            </w:r>
            <w:r>
              <w:rPr>
                <w:rStyle w:val="17"/>
                <w:rFonts w:hint="eastAsia" w:ascii="宋体" w:hAnsi="宋体" w:eastAsia="宋体" w:cs="宋体"/>
                <w:b w:val="0"/>
                <w:bCs w:val="0"/>
                <w:color w:val="auto"/>
                <w:kern w:val="0"/>
                <w:sz w:val="18"/>
                <w:szCs w:val="18"/>
                <w:lang w:val="en-US" w:eastAsia="zh-CN" w:bidi="ar"/>
              </w:rPr>
              <w:t>2.5倍</w:t>
            </w:r>
          </w:p>
        </w:tc>
      </w:tr>
      <w:tr w14:paraId="5CF6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0"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10E23B01">
            <w:pPr>
              <w:keepNext w:val="0"/>
              <w:keepLines w:val="0"/>
              <w:widowControl/>
              <w:suppressLineNumbers w:val="0"/>
              <w:spacing w:line="240" w:lineRule="auto"/>
              <w:jc w:val="center"/>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低分子肝素</w:t>
            </w:r>
          </w:p>
        </w:tc>
        <w:tc>
          <w:tcPr>
            <w:tcW w:w="35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0BC0D">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单次静脉注射</w:t>
            </w:r>
            <w:r>
              <w:rPr>
                <w:rFonts w:hint="eastAsia" w:ascii="宋体" w:hAnsi="宋体" w:eastAsia="宋体" w:cs="宋体"/>
                <w:b w:val="0"/>
                <w:bCs w:val="0"/>
                <w:color w:val="auto"/>
                <w:kern w:val="0"/>
                <w:sz w:val="18"/>
                <w:szCs w:val="18"/>
                <w:lang w:val="en-US" w:eastAsia="zh-CN" w:bidi="ar"/>
              </w:rPr>
              <w:t>：60 IU/kg</w:t>
            </w:r>
            <w:r>
              <w:rPr>
                <w:rFonts w:hint="eastAsia" w:ascii="宋体" w:hAnsi="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t>80 IU/kg</w:t>
            </w:r>
            <w:r>
              <w:rPr>
                <w:rFonts w:hint="eastAsia" w:ascii="宋体" w:hAnsi="宋体" w:eastAsia="宋体" w:cs="宋体"/>
                <w:b w:val="0"/>
                <w:bCs w:val="0"/>
                <w:color w:val="auto"/>
                <w:kern w:val="0"/>
                <w:sz w:val="18"/>
                <w:szCs w:val="18"/>
                <w:lang w:val="en-US" w:eastAsia="zh-CN" w:bidi="ar"/>
              </w:rPr>
              <w:br w:type="textWrapping"/>
            </w:r>
            <w:r>
              <w:rPr>
                <w:rFonts w:hint="eastAsia" w:ascii="宋体" w:hAnsi="宋体" w:eastAsia="宋体" w:cs="宋体"/>
                <w:b w:val="0"/>
                <w:bCs w:val="0"/>
                <w:color w:val="auto"/>
                <w:kern w:val="0"/>
                <w:sz w:val="18"/>
                <w:szCs w:val="18"/>
                <w:lang w:val="en-US" w:eastAsia="zh-CN" w:bidi="ar"/>
              </w:rPr>
              <w:t>(治疗期间通常无需追加)</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1C285">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抗凝血因子Xa活性</w:t>
            </w:r>
          </w:p>
        </w:tc>
        <w:tc>
          <w:tcPr>
            <w:tcW w:w="295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4FCE23EF">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无出血倾向</w:t>
            </w:r>
            <w:r>
              <w:rPr>
                <w:rFonts w:hint="eastAsia" w:ascii="宋体" w:hAnsi="宋体" w:eastAsia="宋体" w:cs="宋体"/>
                <w:b w:val="0"/>
                <w:bCs w:val="0"/>
                <w:color w:val="auto"/>
                <w:kern w:val="0"/>
                <w:sz w:val="18"/>
                <w:szCs w:val="18"/>
                <w:lang w:val="en-US" w:eastAsia="zh-CN" w:bidi="ar"/>
              </w:rPr>
              <w:t>：Xa活性维持</w:t>
            </w:r>
            <w:r>
              <w:rPr>
                <w:rFonts w:hint="eastAsia" w:ascii="宋体" w:hAnsi="宋体" w:cs="宋体"/>
                <w:b w:val="0"/>
                <w:bCs w:val="0"/>
                <w:color w:val="auto"/>
                <w:kern w:val="0"/>
                <w:sz w:val="18"/>
                <w:szCs w:val="18"/>
                <w:lang w:val="en-US" w:eastAsia="zh-CN" w:bidi="ar"/>
              </w:rPr>
              <w:t>在</w:t>
            </w:r>
            <w:r>
              <w:rPr>
                <w:rFonts w:hint="eastAsia" w:ascii="宋体" w:hAnsi="宋体" w:eastAsia="宋体" w:cs="宋体"/>
                <w:b w:val="0"/>
                <w:bCs w:val="0"/>
                <w:color w:val="auto"/>
                <w:kern w:val="0"/>
                <w:sz w:val="18"/>
                <w:szCs w:val="18"/>
                <w:lang w:val="en-US" w:eastAsia="zh-CN" w:bidi="ar"/>
              </w:rPr>
              <w:t>500 U/L</w:t>
            </w:r>
            <w:r>
              <w:rPr>
                <w:rFonts w:hint="eastAsia" w:ascii="宋体" w:hAnsi="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t>1000 U/L</w:t>
            </w:r>
            <w:r>
              <w:rPr>
                <w:rFonts w:hint="eastAsia" w:ascii="宋体" w:hAnsi="宋体" w:eastAsia="宋体" w:cs="宋体"/>
                <w:b w:val="0"/>
                <w:bCs w:val="0"/>
                <w:color w:val="auto"/>
                <w:kern w:val="0"/>
                <w:sz w:val="18"/>
                <w:szCs w:val="18"/>
                <w:lang w:val="en-US" w:eastAsia="zh-CN" w:bidi="ar"/>
              </w:rPr>
              <w:br w:type="textWrapping"/>
            </w:r>
            <w:r>
              <w:rPr>
                <w:rStyle w:val="17"/>
                <w:rFonts w:hint="eastAsia" w:ascii="宋体" w:hAnsi="宋体" w:eastAsia="宋体" w:cs="宋体"/>
                <w:b w:val="0"/>
                <w:bCs w:val="0"/>
                <w:color w:val="auto"/>
                <w:kern w:val="0"/>
                <w:sz w:val="18"/>
                <w:szCs w:val="18"/>
                <w:lang w:val="en-US" w:eastAsia="zh-CN" w:bidi="ar"/>
              </w:rPr>
              <w:t>有出血倾向</w:t>
            </w:r>
            <w:r>
              <w:rPr>
                <w:rFonts w:hint="eastAsia" w:ascii="宋体" w:hAnsi="宋体" w:eastAsia="宋体" w:cs="宋体"/>
                <w:b w:val="0"/>
                <w:bCs w:val="0"/>
                <w:color w:val="auto"/>
                <w:kern w:val="0"/>
                <w:sz w:val="18"/>
                <w:szCs w:val="18"/>
                <w:lang w:val="en-US" w:eastAsia="zh-CN" w:bidi="ar"/>
              </w:rPr>
              <w:t>：Xa活性维持</w:t>
            </w:r>
            <w:r>
              <w:rPr>
                <w:rFonts w:hint="eastAsia" w:ascii="宋体" w:hAnsi="宋体" w:cs="宋体"/>
                <w:b w:val="0"/>
                <w:bCs w:val="0"/>
                <w:color w:val="auto"/>
                <w:kern w:val="0"/>
                <w:sz w:val="18"/>
                <w:szCs w:val="18"/>
                <w:lang w:val="en-US" w:eastAsia="zh-CN" w:bidi="ar"/>
              </w:rPr>
              <w:t>在</w:t>
            </w:r>
            <w:r>
              <w:rPr>
                <w:rFonts w:hint="eastAsia" w:ascii="宋体" w:hAnsi="宋体" w:eastAsia="宋体" w:cs="宋体"/>
                <w:b w:val="0"/>
                <w:bCs w:val="0"/>
                <w:color w:val="auto"/>
                <w:kern w:val="0"/>
                <w:sz w:val="18"/>
                <w:szCs w:val="18"/>
                <w:lang w:val="en-US" w:eastAsia="zh-CN" w:bidi="ar"/>
              </w:rPr>
              <w:t>200 U/L</w:t>
            </w:r>
            <w:r>
              <w:rPr>
                <w:rFonts w:hint="eastAsia" w:ascii="宋体" w:hAnsi="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t>400 U/L</w:t>
            </w:r>
          </w:p>
        </w:tc>
      </w:tr>
      <w:tr w14:paraId="52C5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0"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75B89323">
            <w:pPr>
              <w:keepNext w:val="0"/>
              <w:keepLines w:val="0"/>
              <w:widowControl/>
              <w:suppressLineNumbers w:val="0"/>
              <w:spacing w:line="240" w:lineRule="auto"/>
              <w:jc w:val="center"/>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枸橼酸钠</w:t>
            </w:r>
          </w:p>
        </w:tc>
        <w:tc>
          <w:tcPr>
            <w:tcW w:w="35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A85E4">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常用浓度</w:t>
            </w:r>
            <w:r>
              <w:rPr>
                <w:rFonts w:hint="eastAsia" w:ascii="宋体" w:hAnsi="宋体" w:eastAsia="宋体" w:cs="宋体"/>
                <w:b w:val="0"/>
                <w:bCs w:val="0"/>
                <w:color w:val="auto"/>
                <w:kern w:val="0"/>
                <w:sz w:val="18"/>
                <w:szCs w:val="18"/>
                <w:lang w:val="en-US" w:eastAsia="zh-CN" w:bidi="ar"/>
              </w:rPr>
              <w:t>：4%</w:t>
            </w:r>
            <w:r>
              <w:rPr>
                <w:rFonts w:hint="eastAsia" w:ascii="宋体" w:hAnsi="宋体" w:eastAsia="宋体" w:cs="宋体"/>
                <w:b w:val="0"/>
                <w:bCs w:val="0"/>
                <w:color w:val="auto"/>
                <w:kern w:val="0"/>
                <w:sz w:val="18"/>
                <w:szCs w:val="18"/>
                <w:lang w:val="en-US" w:eastAsia="zh-CN" w:bidi="ar"/>
              </w:rPr>
              <w:br w:type="textWrapping"/>
            </w:r>
            <w:r>
              <w:rPr>
                <w:rStyle w:val="17"/>
                <w:rFonts w:hint="eastAsia" w:ascii="宋体" w:hAnsi="宋体" w:eastAsia="宋体" w:cs="宋体"/>
                <w:b w:val="0"/>
                <w:bCs w:val="0"/>
                <w:color w:val="auto"/>
                <w:kern w:val="0"/>
                <w:sz w:val="18"/>
                <w:szCs w:val="18"/>
                <w:lang w:val="en-US" w:eastAsia="zh-CN" w:bidi="ar"/>
              </w:rPr>
              <w:t>输注比例</w:t>
            </w:r>
            <w:r>
              <w:rPr>
                <w:rFonts w:hint="eastAsia" w:ascii="宋体" w:hAnsi="宋体" w:eastAsia="宋体" w:cs="宋体"/>
                <w:b w:val="0"/>
                <w:bCs w:val="0"/>
                <w:color w:val="auto"/>
                <w:kern w:val="0"/>
                <w:sz w:val="18"/>
                <w:szCs w:val="18"/>
                <w:lang w:val="en-US" w:eastAsia="zh-CN" w:bidi="ar"/>
              </w:rPr>
              <w:t>：与全血流速比为</w:t>
            </w:r>
            <w:r>
              <w:rPr>
                <w:rStyle w:val="17"/>
                <w:rFonts w:hint="eastAsia" w:ascii="宋体" w:hAnsi="宋体" w:eastAsia="宋体" w:cs="宋体"/>
                <w:b w:val="0"/>
                <w:bCs w:val="0"/>
                <w:color w:val="auto"/>
                <w:kern w:val="0"/>
                <w:sz w:val="18"/>
                <w:szCs w:val="18"/>
                <w:lang w:val="en-US" w:eastAsia="zh-CN" w:bidi="ar"/>
              </w:rPr>
              <w:t>1</w:t>
            </w:r>
            <w:r>
              <w:rPr>
                <w:rStyle w:val="17"/>
                <w:rFonts w:hint="eastAsia" w:ascii="宋体" w:hAnsi="宋体" w:cs="宋体"/>
                <w:b w:val="0"/>
                <w:bCs w:val="0"/>
                <w:color w:val="auto"/>
                <w:kern w:val="0"/>
                <w:sz w:val="18"/>
                <w:szCs w:val="18"/>
                <w:lang w:val="en-US" w:eastAsia="zh-CN" w:bidi="ar"/>
              </w:rPr>
              <w:t>：</w:t>
            </w:r>
            <w:r>
              <w:rPr>
                <w:rStyle w:val="17"/>
                <w:rFonts w:hint="eastAsia" w:ascii="宋体" w:hAnsi="宋体" w:eastAsia="宋体" w:cs="宋体"/>
                <w:b w:val="0"/>
                <w:bCs w:val="0"/>
                <w:color w:val="auto"/>
                <w:kern w:val="0"/>
                <w:sz w:val="18"/>
                <w:szCs w:val="18"/>
                <w:lang w:val="en-US" w:eastAsia="zh-CN" w:bidi="ar"/>
              </w:rPr>
              <w:t>8</w:t>
            </w:r>
            <w:r>
              <w:rPr>
                <w:rStyle w:val="17"/>
                <w:rFonts w:hint="eastAsia" w:ascii="宋体" w:hAnsi="宋体" w:cs="宋体"/>
                <w:b w:val="0"/>
                <w:bCs w:val="0"/>
                <w:color w:val="auto"/>
                <w:kern w:val="0"/>
                <w:sz w:val="18"/>
                <w:szCs w:val="18"/>
                <w:lang w:val="en-US" w:eastAsia="zh-CN" w:bidi="ar"/>
              </w:rPr>
              <w:t>～</w:t>
            </w:r>
            <w:r>
              <w:rPr>
                <w:rStyle w:val="17"/>
                <w:rFonts w:hint="eastAsia" w:ascii="宋体" w:hAnsi="宋体" w:eastAsia="宋体" w:cs="宋体"/>
                <w:b w:val="0"/>
                <w:bCs w:val="0"/>
                <w:color w:val="auto"/>
                <w:kern w:val="0"/>
                <w:sz w:val="18"/>
                <w:szCs w:val="18"/>
                <w:lang w:val="en-US" w:eastAsia="zh-CN" w:bidi="ar"/>
              </w:rPr>
              <w:t>1</w:t>
            </w:r>
            <w:r>
              <w:rPr>
                <w:rStyle w:val="17"/>
                <w:rFonts w:hint="eastAsia" w:ascii="宋体" w:hAnsi="宋体" w:cs="宋体"/>
                <w:b w:val="0"/>
                <w:bCs w:val="0"/>
                <w:color w:val="auto"/>
                <w:kern w:val="0"/>
                <w:sz w:val="18"/>
                <w:szCs w:val="18"/>
                <w:lang w:val="en-US" w:eastAsia="zh-CN" w:bidi="ar"/>
              </w:rPr>
              <w:t>：</w:t>
            </w:r>
            <w:r>
              <w:rPr>
                <w:rStyle w:val="17"/>
                <w:rFonts w:hint="eastAsia" w:ascii="宋体" w:hAnsi="宋体" w:eastAsia="宋体" w:cs="宋体"/>
                <w:b w:val="0"/>
                <w:bCs w:val="0"/>
                <w:color w:val="auto"/>
                <w:kern w:val="0"/>
                <w:sz w:val="18"/>
                <w:szCs w:val="18"/>
                <w:lang w:val="en-US" w:eastAsia="zh-CN" w:bidi="ar"/>
              </w:rPr>
              <w:t>16</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E7000">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离子钙(iCa²⁺)</w:t>
            </w:r>
          </w:p>
        </w:tc>
        <w:tc>
          <w:tcPr>
            <w:tcW w:w="295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5FA999F8">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滤器后</w:t>
            </w:r>
            <w:r>
              <w:rPr>
                <w:rFonts w:hint="eastAsia" w:ascii="宋体" w:hAnsi="宋体" w:eastAsia="宋体" w:cs="宋体"/>
                <w:b w:val="0"/>
                <w:bCs w:val="0"/>
                <w:color w:val="auto"/>
                <w:kern w:val="0"/>
                <w:sz w:val="18"/>
                <w:szCs w:val="18"/>
                <w:lang w:val="en-US" w:eastAsia="zh-CN" w:bidi="ar"/>
              </w:rPr>
              <w:t>：</w:t>
            </w:r>
            <w:r>
              <w:rPr>
                <w:rStyle w:val="17"/>
                <w:rFonts w:hint="eastAsia" w:ascii="宋体" w:hAnsi="宋体" w:eastAsia="宋体" w:cs="宋体"/>
                <w:b w:val="0"/>
                <w:bCs w:val="0"/>
                <w:color w:val="auto"/>
                <w:kern w:val="0"/>
                <w:sz w:val="18"/>
                <w:szCs w:val="18"/>
                <w:lang w:val="en-US" w:eastAsia="zh-CN" w:bidi="ar"/>
              </w:rPr>
              <w:t>iCa²⁺</w:t>
            </w:r>
            <w:r>
              <w:rPr>
                <w:rFonts w:hint="eastAsia" w:ascii="宋体" w:hAnsi="宋体" w:eastAsia="宋体" w:cs="宋体"/>
                <w:b w:val="0"/>
                <w:bCs w:val="0"/>
                <w:color w:val="auto"/>
                <w:kern w:val="0"/>
                <w:sz w:val="18"/>
                <w:szCs w:val="18"/>
                <w:lang w:val="en-US" w:eastAsia="zh-CN" w:bidi="ar"/>
              </w:rPr>
              <w:t>浓度</w:t>
            </w:r>
            <w:r>
              <w:rPr>
                <w:rFonts w:hint="eastAsia" w:ascii="宋体" w:hAnsi="宋体" w:cs="宋体"/>
                <w:b w:val="0"/>
                <w:bCs w:val="0"/>
                <w:color w:val="auto"/>
                <w:kern w:val="0"/>
                <w:sz w:val="18"/>
                <w:szCs w:val="18"/>
                <w:lang w:val="en-US" w:eastAsia="zh-CN" w:bidi="ar"/>
              </w:rPr>
              <w:t>为</w:t>
            </w:r>
            <w:r>
              <w:rPr>
                <w:rFonts w:hint="eastAsia" w:ascii="宋体" w:hAnsi="宋体" w:eastAsia="宋体" w:cs="宋体"/>
                <w:b w:val="0"/>
                <w:bCs w:val="0"/>
                <w:color w:val="auto"/>
                <w:kern w:val="0"/>
                <w:sz w:val="18"/>
                <w:szCs w:val="18"/>
                <w:lang w:val="en-US" w:eastAsia="zh-CN" w:bidi="ar"/>
              </w:rPr>
              <w:t>0.25 mmol/L</w:t>
            </w:r>
            <w:r>
              <w:rPr>
                <w:rFonts w:hint="eastAsia" w:ascii="宋体" w:hAnsi="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t>0.35 mmol/L</w:t>
            </w:r>
            <w:r>
              <w:rPr>
                <w:rFonts w:hint="eastAsia" w:ascii="宋体" w:hAnsi="宋体" w:eastAsia="宋体" w:cs="宋体"/>
                <w:b w:val="0"/>
                <w:bCs w:val="0"/>
                <w:color w:val="auto"/>
                <w:kern w:val="0"/>
                <w:sz w:val="18"/>
                <w:szCs w:val="18"/>
                <w:lang w:val="en-US" w:eastAsia="zh-CN" w:bidi="ar"/>
              </w:rPr>
              <w:br w:type="textWrapping"/>
            </w:r>
            <w:r>
              <w:rPr>
                <w:rStyle w:val="17"/>
                <w:rFonts w:hint="eastAsia" w:ascii="宋体" w:hAnsi="宋体" w:eastAsia="宋体" w:cs="宋体"/>
                <w:b w:val="0"/>
                <w:bCs w:val="0"/>
                <w:color w:val="auto"/>
                <w:kern w:val="0"/>
                <w:sz w:val="18"/>
                <w:szCs w:val="18"/>
                <w:lang w:val="en-US" w:eastAsia="zh-CN" w:bidi="ar"/>
              </w:rPr>
              <w:t>患者体内</w:t>
            </w:r>
            <w:r>
              <w:rPr>
                <w:rFonts w:hint="eastAsia" w:ascii="宋体" w:hAnsi="宋体" w:eastAsia="宋体" w:cs="宋体"/>
                <w:b w:val="0"/>
                <w:bCs w:val="0"/>
                <w:color w:val="auto"/>
                <w:kern w:val="0"/>
                <w:sz w:val="18"/>
                <w:szCs w:val="18"/>
                <w:lang w:val="en-US" w:eastAsia="zh-CN" w:bidi="ar"/>
              </w:rPr>
              <w:t>：</w:t>
            </w:r>
            <w:r>
              <w:rPr>
                <w:rStyle w:val="17"/>
                <w:rFonts w:hint="eastAsia" w:ascii="宋体" w:hAnsi="宋体" w:eastAsia="宋体" w:cs="宋体"/>
                <w:b w:val="0"/>
                <w:bCs w:val="0"/>
                <w:color w:val="auto"/>
                <w:kern w:val="0"/>
                <w:sz w:val="18"/>
                <w:szCs w:val="18"/>
                <w:lang w:val="en-US" w:eastAsia="zh-CN" w:bidi="ar"/>
              </w:rPr>
              <w:t>iCa²⁺</w:t>
            </w:r>
            <w:r>
              <w:rPr>
                <w:rFonts w:hint="eastAsia" w:ascii="宋体" w:hAnsi="宋体" w:eastAsia="宋体" w:cs="宋体"/>
                <w:b w:val="0"/>
                <w:bCs w:val="0"/>
                <w:color w:val="auto"/>
                <w:kern w:val="0"/>
                <w:sz w:val="18"/>
                <w:szCs w:val="18"/>
                <w:lang w:val="en-US" w:eastAsia="zh-CN" w:bidi="ar"/>
              </w:rPr>
              <w:t>浓度</w:t>
            </w:r>
            <w:r>
              <w:rPr>
                <w:rFonts w:hint="eastAsia" w:ascii="宋体" w:hAnsi="宋体" w:cs="宋体"/>
                <w:b w:val="0"/>
                <w:bCs w:val="0"/>
                <w:color w:val="auto"/>
                <w:kern w:val="0"/>
                <w:sz w:val="18"/>
                <w:szCs w:val="18"/>
                <w:lang w:val="en-US" w:eastAsia="zh-CN" w:bidi="ar"/>
              </w:rPr>
              <w:t>为</w:t>
            </w:r>
            <w:r>
              <w:rPr>
                <w:rFonts w:hint="eastAsia" w:ascii="宋体" w:hAnsi="宋体" w:eastAsia="宋体" w:cs="宋体"/>
                <w:b w:val="0"/>
                <w:bCs w:val="0"/>
                <w:color w:val="auto"/>
                <w:kern w:val="0"/>
                <w:sz w:val="18"/>
                <w:szCs w:val="18"/>
                <w:lang w:val="en-US" w:eastAsia="zh-CN" w:bidi="ar"/>
              </w:rPr>
              <w:t>1.0 mmol/L</w:t>
            </w:r>
            <w:r>
              <w:rPr>
                <w:rFonts w:hint="eastAsia" w:ascii="宋体" w:hAnsi="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t>1.35 mmol/L</w:t>
            </w:r>
          </w:p>
        </w:tc>
      </w:tr>
      <w:tr w14:paraId="0E7E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0" w:type="dxa"/>
            <w:tcBorders>
              <w:top w:val="single" w:color="000000" w:sz="4" w:space="0"/>
              <w:left w:val="single" w:color="000000" w:sz="12" w:space="0"/>
              <w:bottom w:val="single" w:color="000000" w:sz="12" w:space="0"/>
              <w:right w:val="single" w:color="000000" w:sz="4" w:space="0"/>
            </w:tcBorders>
            <w:shd w:val="clear" w:color="auto" w:fill="FFFFFF"/>
            <w:vAlign w:val="center"/>
          </w:tcPr>
          <w:p w14:paraId="42FEAA62">
            <w:pPr>
              <w:keepNext w:val="0"/>
              <w:keepLines w:val="0"/>
              <w:widowControl/>
              <w:suppressLineNumbers w:val="0"/>
              <w:spacing w:line="240" w:lineRule="auto"/>
              <w:jc w:val="center"/>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阿加曲班</w:t>
            </w:r>
          </w:p>
        </w:tc>
        <w:tc>
          <w:tcPr>
            <w:tcW w:w="352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4D77767A">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剂量需高度个体化</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val="en-US" w:eastAsia="zh-CN" w:bidi="ar"/>
              </w:rPr>
              <w:br w:type="textWrapping"/>
            </w:r>
            <w:r>
              <w:rPr>
                <w:rFonts w:hint="eastAsia" w:ascii="宋体" w:hAnsi="宋体" w:eastAsia="宋体" w:cs="宋体"/>
                <w:b w:val="0"/>
                <w:bCs w:val="0"/>
                <w:color w:val="auto"/>
                <w:kern w:val="0"/>
                <w:sz w:val="18"/>
                <w:szCs w:val="18"/>
                <w:lang w:val="en-US" w:eastAsia="zh-CN" w:bidi="ar"/>
              </w:rPr>
              <w:t>依据说明书及APTT调整</w:t>
            </w:r>
          </w:p>
        </w:tc>
        <w:tc>
          <w:tcPr>
            <w:tcW w:w="1800"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760B1F7A">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auto"/>
                <w:kern w:val="0"/>
                <w:sz w:val="18"/>
                <w:szCs w:val="18"/>
                <w:lang w:val="en-US" w:eastAsia="zh-CN" w:bidi="ar"/>
              </w:rPr>
              <w:t>APTT</w:t>
            </w:r>
          </w:p>
        </w:tc>
        <w:tc>
          <w:tcPr>
            <w:tcW w:w="2954" w:type="dxa"/>
            <w:tcBorders>
              <w:top w:val="single" w:color="000000" w:sz="4" w:space="0"/>
              <w:left w:val="single" w:color="000000" w:sz="4" w:space="0"/>
              <w:bottom w:val="single" w:color="000000" w:sz="12" w:space="0"/>
              <w:right w:val="single" w:color="000000" w:sz="12" w:space="0"/>
            </w:tcBorders>
            <w:shd w:val="clear" w:color="auto" w:fill="FFFFFF"/>
            <w:vAlign w:val="center"/>
          </w:tcPr>
          <w:p w14:paraId="09BC5A97">
            <w:pPr>
              <w:keepNext w:val="0"/>
              <w:keepLines w:val="0"/>
              <w:widowControl/>
              <w:suppressLineNumbers w:val="0"/>
              <w:spacing w:line="240" w:lineRule="auto"/>
              <w:jc w:val="left"/>
              <w:rPr>
                <w:rFonts w:hint="eastAsia" w:ascii="宋体" w:hAnsi="宋体" w:eastAsia="宋体" w:cs="宋体"/>
                <w:b w:val="0"/>
                <w:bCs w:val="0"/>
                <w:color w:val="000000"/>
                <w:sz w:val="18"/>
                <w:szCs w:val="18"/>
                <w:vertAlign w:val="baseline"/>
                <w:lang w:val="en-US" w:eastAsia="zh-CN"/>
              </w:rPr>
            </w:pPr>
            <w:r>
              <w:rPr>
                <w:rStyle w:val="17"/>
                <w:rFonts w:hint="eastAsia" w:ascii="宋体" w:hAnsi="宋体" w:eastAsia="宋体" w:cs="宋体"/>
                <w:b w:val="0"/>
                <w:bCs w:val="0"/>
                <w:color w:val="auto"/>
                <w:kern w:val="0"/>
                <w:sz w:val="18"/>
                <w:szCs w:val="18"/>
                <w:lang w:val="en-US" w:eastAsia="zh-CN" w:bidi="ar"/>
              </w:rPr>
              <w:t>管路静脉端ACT/APTT</w:t>
            </w:r>
            <w:r>
              <w:rPr>
                <w:rFonts w:hint="eastAsia" w:ascii="宋体" w:hAnsi="宋体" w:eastAsia="宋体" w:cs="宋体"/>
                <w:b w:val="0"/>
                <w:bCs w:val="0"/>
                <w:color w:val="auto"/>
                <w:kern w:val="0"/>
                <w:sz w:val="18"/>
                <w:szCs w:val="18"/>
                <w:lang w:val="en-US" w:eastAsia="zh-CN" w:bidi="ar"/>
              </w:rPr>
              <w:t>值维持在</w:t>
            </w:r>
            <w:r>
              <w:rPr>
                <w:rStyle w:val="17"/>
                <w:rFonts w:hint="eastAsia" w:ascii="宋体" w:hAnsi="宋体" w:eastAsia="宋体" w:cs="宋体"/>
                <w:b w:val="0"/>
                <w:bCs w:val="0"/>
                <w:color w:val="auto"/>
                <w:kern w:val="0"/>
                <w:sz w:val="18"/>
                <w:szCs w:val="18"/>
                <w:lang w:val="en-US" w:eastAsia="zh-CN" w:bidi="ar"/>
              </w:rPr>
              <w:t>治疗前基础的1.5倍</w:t>
            </w:r>
            <w:r>
              <w:rPr>
                <w:rStyle w:val="17"/>
                <w:rFonts w:hint="eastAsia" w:ascii="宋体" w:hAnsi="宋体" w:cs="宋体"/>
                <w:b w:val="0"/>
                <w:bCs w:val="0"/>
                <w:color w:val="auto"/>
                <w:kern w:val="0"/>
                <w:sz w:val="18"/>
                <w:szCs w:val="18"/>
                <w:lang w:val="en-US" w:eastAsia="zh-CN" w:bidi="ar"/>
              </w:rPr>
              <w:t>～</w:t>
            </w:r>
            <w:r>
              <w:rPr>
                <w:rStyle w:val="17"/>
                <w:rFonts w:hint="eastAsia" w:ascii="宋体" w:hAnsi="宋体" w:eastAsia="宋体" w:cs="宋体"/>
                <w:b w:val="0"/>
                <w:bCs w:val="0"/>
                <w:color w:val="auto"/>
                <w:kern w:val="0"/>
                <w:sz w:val="18"/>
                <w:szCs w:val="18"/>
                <w:lang w:val="en-US" w:eastAsia="zh-CN" w:bidi="ar"/>
              </w:rPr>
              <w:t>2.5倍</w:t>
            </w:r>
          </w:p>
        </w:tc>
      </w:tr>
    </w:tbl>
    <w:p w14:paraId="5E50CF1F">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leftChars="0" w:right="0" w:rightChars="0"/>
        <w:jc w:val="center"/>
        <w:textAlignment w:val="auto"/>
        <w:outlineLvl w:val="9"/>
        <w:rPr>
          <w:rFonts w:hint="eastAsia" w:ascii="黑体" w:hAnsi="黑体" w:eastAsia="黑体" w:cs="黑体"/>
          <w:sz w:val="21"/>
          <w:szCs w:val="21"/>
          <w:lang w:val="en-US" w:eastAsia="zh-CN"/>
        </w:rPr>
      </w:pPr>
    </w:p>
    <w:p w14:paraId="2F92FF68">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14:paraId="65018C4A">
      <w:pPr>
        <w:pStyle w:val="12"/>
        <w:keepNext/>
        <w:keepLines w:val="0"/>
        <w:pageBreakBefore w:val="0"/>
        <w:widowControl/>
        <w:numPr>
          <w:ilvl w:val="0"/>
          <w:numId w:val="22"/>
        </w:numPr>
        <w:suppressLineNumbers w:val="0"/>
        <w:shd w:val="clear" w:fill="FFFFFF"/>
        <w:tabs>
          <w:tab w:val="left" w:pos="360"/>
          <w:tab w:val="left" w:pos="6405"/>
        </w:tabs>
        <w:kinsoku/>
        <w:wordWrap/>
        <w:overflowPunct/>
        <w:topLinePunct w:val="0"/>
        <w:autoSpaceDE/>
        <w:autoSpaceDN/>
        <w:bidi w:val="0"/>
        <w:adjustRightInd w:val="0"/>
        <w:snapToGrid/>
        <w:spacing w:before="640" w:beforeAutospacing="0" w:after="360" w:afterAutospacing="0" w:line="240" w:lineRule="auto"/>
        <w:ind w:left="0" w:right="0" w:firstLine="0"/>
        <w:jc w:val="center"/>
        <w:textAlignment w:val="auto"/>
        <w:outlineLvl w:val="0"/>
        <w:rPr>
          <w:rFonts w:hint="eastAsia" w:ascii="黑体" w:hAnsi="Times New Roman" w:eastAsia="黑体" w:cs="Times New Roman"/>
          <w:kern w:val="0"/>
          <w:sz w:val="21"/>
          <w:szCs w:val="21"/>
          <w:shd w:val="clear" w:fill="auto"/>
          <w:lang w:val="en-US" w:eastAsia="zh-CN" w:bidi="ar"/>
        </w:rPr>
      </w:pPr>
      <w:bookmarkStart w:id="108" w:name="_Toc13550"/>
      <w:r>
        <w:rPr>
          <w:rFonts w:hint="eastAsia" w:ascii="黑体" w:hAnsi="Times New Roman" w:eastAsia="黑体" w:cs="Times New Roman"/>
          <w:kern w:val="0"/>
          <w:sz w:val="21"/>
          <w:szCs w:val="21"/>
          <w:shd w:val="clear" w:fill="auto"/>
          <w:lang w:val="en-US" w:eastAsia="zh-CN" w:bidi="ar"/>
        </w:rPr>
        <w:br w:type="textWrapping"/>
      </w:r>
      <w:r>
        <w:rPr>
          <w:rFonts w:hint="eastAsia" w:ascii="黑体" w:hAnsi="Times New Roman" w:eastAsia="黑体" w:cs="Times New Roman"/>
          <w:kern w:val="0"/>
          <w:sz w:val="21"/>
          <w:szCs w:val="21"/>
          <w:shd w:val="clear" w:fill="auto"/>
          <w:lang w:val="en-US" w:eastAsia="zh-CN" w:bidi="ar"/>
        </w:rPr>
        <w:t>（资料性）</w:t>
      </w:r>
      <w:r>
        <w:rPr>
          <w:rFonts w:hint="eastAsia" w:ascii="黑体" w:hAnsi="Times New Roman" w:eastAsia="黑体" w:cs="Times New Roman"/>
          <w:kern w:val="0"/>
          <w:sz w:val="21"/>
          <w:szCs w:val="21"/>
          <w:shd w:val="clear" w:fill="auto"/>
          <w:lang w:val="en-US" w:eastAsia="zh-CN" w:bidi="ar"/>
        </w:rPr>
        <w:br w:type="textWrapping"/>
      </w:r>
      <w:r>
        <w:rPr>
          <w:rFonts w:hint="eastAsia" w:ascii="黑体" w:hAnsi="Times New Roman" w:eastAsia="黑体" w:cs="Times New Roman"/>
          <w:kern w:val="0"/>
          <w:sz w:val="21"/>
          <w:szCs w:val="21"/>
          <w:shd w:val="clear" w:fill="auto"/>
          <w:lang w:val="en-US" w:eastAsia="zh-CN" w:bidi="ar"/>
        </w:rPr>
        <w:t>并发症预防与处理</w:t>
      </w:r>
      <w:bookmarkEnd w:id="108"/>
    </w:p>
    <w:p w14:paraId="630793D6">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spacing w:before="312" w:beforeLines="100" w:beforeAutospacing="0" w:after="312" w:afterLines="100" w:afterAutospacing="0" w:line="240" w:lineRule="auto"/>
        <w:ind w:left="0" w:right="0" w:firstLine="0"/>
        <w:jc w:val="left"/>
        <w:textAlignment w:val="auto"/>
        <w:outlineLvl w:val="2"/>
        <w:rPr>
          <w:rFonts w:hint="eastAsia" w:ascii="黑体" w:hAnsi="黑体" w:eastAsia="黑体" w:cs="黑体"/>
          <w:kern w:val="2"/>
          <w:sz w:val="21"/>
          <w:szCs w:val="21"/>
          <w:lang w:val="en-US" w:eastAsia="zh-CN" w:bidi="ar"/>
        </w:rPr>
      </w:pPr>
      <w:r>
        <w:rPr>
          <w:rFonts w:hint="eastAsia" w:ascii="黑体" w:hAnsi="黑体" w:eastAsia="黑体" w:cs="黑体"/>
          <w:kern w:val="2"/>
          <w:sz w:val="21"/>
          <w:szCs w:val="21"/>
          <w:lang w:val="en-US" w:eastAsia="zh-CN" w:bidi="ar"/>
        </w:rPr>
        <w:t>血液置换相关并发症</w:t>
      </w:r>
    </w:p>
    <w:p w14:paraId="207558A0">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leftChars="0" w:right="0" w:rightChars="0" w:firstLine="420" w:firstLineChars="0"/>
        <w:jc w:val="left"/>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血液置换相关并发症及处理</w:t>
      </w:r>
      <w:r>
        <w:rPr>
          <w:rFonts w:hint="eastAsia" w:ascii="宋体" w:hAnsi="宋体" w:eastAsia="宋体" w:cs="宋体"/>
          <w:sz w:val="21"/>
          <w:szCs w:val="21"/>
          <w:lang w:val="en-US" w:eastAsia="zh-CN"/>
        </w:rPr>
        <w:t>见表</w:t>
      </w:r>
      <w:r>
        <w:rPr>
          <w:rFonts w:hint="eastAsia" w:ascii="宋体" w:hAnsi="宋体" w:cs="宋体"/>
          <w:sz w:val="21"/>
          <w:szCs w:val="21"/>
          <w:lang w:val="en-US" w:eastAsia="zh-CN"/>
        </w:rPr>
        <w:t>D</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w:t>
      </w:r>
    </w:p>
    <w:p w14:paraId="3A7C6767">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157" w:beforeLines="50" w:beforeAutospacing="0" w:after="157" w:afterLines="50" w:afterAutospacing="0" w:line="240" w:lineRule="auto"/>
        <w:ind w:leftChars="0" w:right="0" w:rightChars="0"/>
        <w:jc w:val="center"/>
        <w:textAlignment w:val="auto"/>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表D.1　血液置换相关并发症及处理</w:t>
      </w:r>
    </w:p>
    <w:tbl>
      <w:tblPr>
        <w:tblStyle w:val="14"/>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57"/>
        <w:gridCol w:w="2280"/>
        <w:gridCol w:w="2520"/>
        <w:gridCol w:w="3780"/>
      </w:tblGrid>
      <w:tr w14:paraId="778C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1057" w:type="dxa"/>
            <w:shd w:val="clear" w:color="auto" w:fill="auto"/>
            <w:tcMar>
              <w:top w:w="150" w:type="dxa"/>
              <w:left w:w="0" w:type="dxa"/>
              <w:bottom w:w="150" w:type="dxa"/>
              <w:right w:w="240" w:type="dxa"/>
            </w:tcMar>
            <w:vAlign w:val="center"/>
          </w:tcPr>
          <w:p w14:paraId="5158259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sz w:val="18"/>
                <w:szCs w:val="18"/>
              </w:rPr>
            </w:pPr>
            <w:r>
              <w:rPr>
                <w:rFonts w:hint="eastAsia" w:ascii="宋体" w:hAnsi="宋体" w:eastAsia="宋体" w:cs="宋体"/>
                <w:b/>
                <w:bCs/>
                <w:kern w:val="0"/>
                <w:sz w:val="18"/>
                <w:szCs w:val="18"/>
                <w:lang w:val="en-US" w:eastAsia="zh-CN" w:bidi="ar"/>
              </w:rPr>
              <w:t>并发症</w:t>
            </w:r>
          </w:p>
        </w:tc>
        <w:tc>
          <w:tcPr>
            <w:tcW w:w="2280" w:type="dxa"/>
            <w:shd w:val="clear" w:color="auto" w:fill="auto"/>
            <w:tcMar>
              <w:top w:w="150" w:type="dxa"/>
              <w:left w:w="240" w:type="dxa"/>
              <w:bottom w:w="150" w:type="dxa"/>
              <w:right w:w="240" w:type="dxa"/>
            </w:tcMar>
            <w:vAlign w:val="center"/>
          </w:tcPr>
          <w:p w14:paraId="690CDC73">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sz w:val="18"/>
                <w:szCs w:val="18"/>
              </w:rPr>
            </w:pPr>
            <w:r>
              <w:rPr>
                <w:rFonts w:hint="eastAsia" w:ascii="宋体" w:hAnsi="宋体" w:eastAsia="宋体" w:cs="宋体"/>
                <w:b/>
                <w:bCs/>
                <w:kern w:val="0"/>
                <w:sz w:val="18"/>
                <w:szCs w:val="18"/>
                <w:lang w:val="en-US" w:eastAsia="zh-CN" w:bidi="ar"/>
              </w:rPr>
              <w:t>主要原因</w:t>
            </w:r>
          </w:p>
        </w:tc>
        <w:tc>
          <w:tcPr>
            <w:tcW w:w="2520" w:type="dxa"/>
            <w:shd w:val="clear" w:color="auto" w:fill="auto"/>
            <w:tcMar>
              <w:top w:w="150" w:type="dxa"/>
              <w:left w:w="240" w:type="dxa"/>
              <w:bottom w:w="150" w:type="dxa"/>
              <w:right w:w="240" w:type="dxa"/>
            </w:tcMar>
            <w:vAlign w:val="center"/>
          </w:tcPr>
          <w:p w14:paraId="5E7F1D9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sz w:val="18"/>
                <w:szCs w:val="18"/>
              </w:rPr>
            </w:pPr>
            <w:r>
              <w:rPr>
                <w:rFonts w:hint="eastAsia" w:ascii="宋体" w:hAnsi="宋体" w:eastAsia="宋体" w:cs="宋体"/>
                <w:b/>
                <w:bCs/>
                <w:kern w:val="0"/>
                <w:sz w:val="18"/>
                <w:szCs w:val="18"/>
                <w:lang w:val="en-US" w:eastAsia="zh-CN" w:bidi="ar"/>
              </w:rPr>
              <w:t>预防措施</w:t>
            </w:r>
          </w:p>
        </w:tc>
        <w:tc>
          <w:tcPr>
            <w:tcW w:w="3780" w:type="dxa"/>
            <w:shd w:val="clear" w:color="auto" w:fill="auto"/>
            <w:tcMar>
              <w:top w:w="150" w:type="dxa"/>
              <w:left w:w="240" w:type="dxa"/>
              <w:bottom w:w="150" w:type="dxa"/>
              <w:right w:w="240" w:type="dxa"/>
            </w:tcMar>
            <w:vAlign w:val="center"/>
          </w:tcPr>
          <w:p w14:paraId="13E952F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sz w:val="18"/>
                <w:szCs w:val="18"/>
              </w:rPr>
            </w:pPr>
            <w:r>
              <w:rPr>
                <w:rFonts w:hint="eastAsia" w:ascii="宋体" w:hAnsi="宋体" w:eastAsia="宋体" w:cs="宋体"/>
                <w:b/>
                <w:bCs/>
                <w:kern w:val="0"/>
                <w:sz w:val="18"/>
                <w:szCs w:val="18"/>
                <w:lang w:val="en-US" w:eastAsia="zh-CN" w:bidi="ar"/>
              </w:rPr>
              <w:t>处理措施</w:t>
            </w:r>
          </w:p>
        </w:tc>
      </w:tr>
      <w:tr w14:paraId="33C7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057" w:type="dxa"/>
            <w:shd w:val="clear" w:color="auto" w:fill="auto"/>
            <w:tcMar>
              <w:top w:w="150" w:type="dxa"/>
              <w:left w:w="0" w:type="dxa"/>
              <w:bottom w:w="150" w:type="dxa"/>
              <w:right w:w="240" w:type="dxa"/>
            </w:tcMar>
            <w:vAlign w:val="center"/>
          </w:tcPr>
          <w:p w14:paraId="45DEC35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rPr>
            </w:pPr>
            <w:r>
              <w:rPr>
                <w:rStyle w:val="17"/>
                <w:rFonts w:hint="eastAsia" w:ascii="宋体" w:hAnsi="宋体" w:eastAsia="宋体" w:cs="宋体"/>
                <w:b w:val="0"/>
                <w:bCs w:val="0"/>
                <w:kern w:val="0"/>
                <w:sz w:val="18"/>
                <w:szCs w:val="18"/>
                <w:lang w:val="en-US" w:eastAsia="zh-CN" w:bidi="ar"/>
              </w:rPr>
              <w:t>过敏和变态反应</w:t>
            </w:r>
          </w:p>
        </w:tc>
        <w:tc>
          <w:tcPr>
            <w:tcW w:w="2280" w:type="dxa"/>
            <w:shd w:val="clear" w:color="auto" w:fill="auto"/>
            <w:tcMar>
              <w:top w:w="150" w:type="dxa"/>
              <w:left w:w="240" w:type="dxa"/>
              <w:bottom w:w="150" w:type="dxa"/>
              <w:right w:w="240" w:type="dxa"/>
            </w:tcMar>
            <w:vAlign w:val="center"/>
          </w:tcPr>
          <w:p w14:paraId="0562D426">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输入血浆、白蛋白等置换液</w:t>
            </w:r>
          </w:p>
        </w:tc>
        <w:tc>
          <w:tcPr>
            <w:tcW w:w="2520" w:type="dxa"/>
            <w:shd w:val="clear" w:color="auto" w:fill="auto"/>
            <w:tcMar>
              <w:top w:w="150" w:type="dxa"/>
              <w:left w:w="240" w:type="dxa"/>
              <w:bottom w:w="150" w:type="dxa"/>
              <w:right w:w="240" w:type="dxa"/>
            </w:tcMar>
            <w:vAlign w:val="center"/>
          </w:tcPr>
          <w:p w14:paraId="660333EC">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置换液输入前可预防性应用肾上腺糖皮质激素或抗组胺药物</w:t>
            </w:r>
          </w:p>
        </w:tc>
        <w:tc>
          <w:tcPr>
            <w:tcW w:w="3780" w:type="dxa"/>
            <w:shd w:val="clear" w:color="auto" w:fill="auto"/>
            <w:tcMar>
              <w:top w:w="150" w:type="dxa"/>
              <w:left w:w="240" w:type="dxa"/>
              <w:bottom w:w="150" w:type="dxa"/>
              <w:right w:w="0" w:type="dxa"/>
            </w:tcMar>
            <w:vAlign w:val="center"/>
          </w:tcPr>
          <w:p w14:paraId="51F72CFF">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1. 立即减慢或停止血泵，停止输入可疑置换液。</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遵医嘱进行抗过敏治疗。</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3. 出现过敏性休克者，按休克抢救流程处理</w:t>
            </w:r>
          </w:p>
        </w:tc>
      </w:tr>
      <w:tr w14:paraId="40F5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057" w:type="dxa"/>
            <w:shd w:val="clear" w:color="auto" w:fill="auto"/>
            <w:tcMar>
              <w:top w:w="150" w:type="dxa"/>
              <w:left w:w="0" w:type="dxa"/>
              <w:bottom w:w="150" w:type="dxa"/>
              <w:right w:w="240" w:type="dxa"/>
            </w:tcMar>
            <w:vAlign w:val="center"/>
          </w:tcPr>
          <w:p w14:paraId="0179B26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rPr>
            </w:pPr>
            <w:r>
              <w:rPr>
                <w:rStyle w:val="17"/>
                <w:rFonts w:hint="eastAsia" w:ascii="宋体" w:hAnsi="宋体" w:eastAsia="宋体" w:cs="宋体"/>
                <w:b w:val="0"/>
                <w:bCs w:val="0"/>
                <w:kern w:val="0"/>
                <w:sz w:val="18"/>
                <w:szCs w:val="18"/>
                <w:lang w:val="en-US" w:eastAsia="zh-CN" w:bidi="ar"/>
              </w:rPr>
              <w:t>低血压</w:t>
            </w:r>
          </w:p>
        </w:tc>
        <w:tc>
          <w:tcPr>
            <w:tcW w:w="2280" w:type="dxa"/>
            <w:shd w:val="clear" w:color="auto" w:fill="auto"/>
            <w:tcMar>
              <w:top w:w="150" w:type="dxa"/>
              <w:left w:w="240" w:type="dxa"/>
              <w:bottom w:w="150" w:type="dxa"/>
              <w:right w:w="240" w:type="dxa"/>
            </w:tcMar>
            <w:vAlign w:val="center"/>
          </w:tcPr>
          <w:p w14:paraId="0F6275F3">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原发病、血管活性药物被清除、过敏反应、有效血容量不足</w:t>
            </w:r>
          </w:p>
        </w:tc>
        <w:tc>
          <w:tcPr>
            <w:tcW w:w="2520" w:type="dxa"/>
            <w:shd w:val="clear" w:color="auto" w:fill="auto"/>
            <w:tcMar>
              <w:top w:w="150" w:type="dxa"/>
              <w:left w:w="240" w:type="dxa"/>
              <w:bottom w:w="150" w:type="dxa"/>
              <w:right w:w="240" w:type="dxa"/>
            </w:tcMar>
            <w:vAlign w:val="center"/>
          </w:tcPr>
          <w:p w14:paraId="7037B32E">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1. 对于低蛋白血症患者，酌情增加人血白蛋白或血浆剂量。</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治疗开始时采用低速启动，阶梯式增加血流速度</w:t>
            </w:r>
          </w:p>
        </w:tc>
        <w:tc>
          <w:tcPr>
            <w:tcW w:w="3780" w:type="dxa"/>
            <w:shd w:val="clear" w:color="auto" w:fill="auto"/>
            <w:tcMar>
              <w:top w:w="150" w:type="dxa"/>
              <w:left w:w="240" w:type="dxa"/>
              <w:bottom w:w="150" w:type="dxa"/>
              <w:right w:w="0" w:type="dxa"/>
            </w:tcMar>
            <w:vAlign w:val="center"/>
          </w:tcPr>
          <w:p w14:paraId="05E5600C">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1. 减慢血流速度，补充血容量。</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分析原因：如为血管活性药物清除所致，可适量使用血管活性药物；如为过敏所致，按过敏处理</w:t>
            </w:r>
          </w:p>
        </w:tc>
      </w:tr>
      <w:tr w14:paraId="04F8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057" w:type="dxa"/>
            <w:shd w:val="clear" w:color="auto" w:fill="auto"/>
            <w:tcMar>
              <w:top w:w="150" w:type="dxa"/>
              <w:left w:w="0" w:type="dxa"/>
              <w:bottom w:w="150" w:type="dxa"/>
              <w:right w:w="240" w:type="dxa"/>
            </w:tcMar>
            <w:vAlign w:val="center"/>
          </w:tcPr>
          <w:p w14:paraId="3F2A054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rPr>
            </w:pPr>
            <w:r>
              <w:rPr>
                <w:rStyle w:val="17"/>
                <w:rFonts w:hint="eastAsia" w:ascii="宋体" w:hAnsi="宋体" w:eastAsia="宋体" w:cs="宋体"/>
                <w:b w:val="0"/>
                <w:bCs w:val="0"/>
                <w:kern w:val="0"/>
                <w:sz w:val="18"/>
                <w:szCs w:val="18"/>
                <w:lang w:val="en-US" w:eastAsia="zh-CN" w:bidi="ar"/>
              </w:rPr>
              <w:t>溶血</w:t>
            </w:r>
          </w:p>
        </w:tc>
        <w:tc>
          <w:tcPr>
            <w:tcW w:w="2280" w:type="dxa"/>
            <w:shd w:val="clear" w:color="auto" w:fill="auto"/>
            <w:tcMar>
              <w:top w:w="150" w:type="dxa"/>
              <w:left w:w="240" w:type="dxa"/>
              <w:bottom w:w="150" w:type="dxa"/>
              <w:right w:w="240" w:type="dxa"/>
            </w:tcMar>
            <w:vAlign w:val="center"/>
          </w:tcPr>
          <w:p w14:paraId="0D141024">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输注血型不符血浆、机械性破坏</w:t>
            </w:r>
          </w:p>
        </w:tc>
        <w:tc>
          <w:tcPr>
            <w:tcW w:w="2520" w:type="dxa"/>
            <w:shd w:val="clear" w:color="auto" w:fill="auto"/>
            <w:tcMar>
              <w:top w:w="150" w:type="dxa"/>
              <w:left w:w="240" w:type="dxa"/>
              <w:bottom w:w="150" w:type="dxa"/>
              <w:right w:w="240" w:type="dxa"/>
            </w:tcMar>
            <w:vAlign w:val="center"/>
          </w:tcPr>
          <w:p w14:paraId="2E18AFAC">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严格核对血制品信息</w:t>
            </w:r>
          </w:p>
        </w:tc>
        <w:tc>
          <w:tcPr>
            <w:tcW w:w="3780" w:type="dxa"/>
            <w:shd w:val="clear" w:color="auto" w:fill="auto"/>
            <w:tcMar>
              <w:top w:w="150" w:type="dxa"/>
              <w:left w:w="240" w:type="dxa"/>
              <w:bottom w:w="150" w:type="dxa"/>
              <w:right w:w="0" w:type="dxa"/>
            </w:tcMar>
            <w:vAlign w:val="center"/>
          </w:tcPr>
          <w:p w14:paraId="5DA82926">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1. 立即停止治疗，查明原因。</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核查血型，停止输注可疑血浆。</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3. 严密监测血钾，防止高钾血症</w:t>
            </w:r>
          </w:p>
        </w:tc>
      </w:tr>
      <w:tr w14:paraId="524C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057" w:type="dxa"/>
            <w:shd w:val="clear" w:color="auto" w:fill="auto"/>
            <w:tcMar>
              <w:top w:w="150" w:type="dxa"/>
              <w:left w:w="0" w:type="dxa"/>
              <w:bottom w:w="150" w:type="dxa"/>
              <w:right w:w="240" w:type="dxa"/>
            </w:tcMar>
            <w:vAlign w:val="center"/>
          </w:tcPr>
          <w:p w14:paraId="33139D7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rPr>
            </w:pPr>
            <w:r>
              <w:rPr>
                <w:rStyle w:val="17"/>
                <w:rFonts w:hint="eastAsia" w:ascii="宋体" w:hAnsi="宋体" w:eastAsia="宋体" w:cs="宋体"/>
                <w:b w:val="0"/>
                <w:bCs w:val="0"/>
                <w:kern w:val="0"/>
                <w:sz w:val="18"/>
                <w:szCs w:val="18"/>
                <w:lang w:val="en-US" w:eastAsia="zh-CN" w:bidi="ar"/>
              </w:rPr>
              <w:t>出血倾向</w:t>
            </w:r>
          </w:p>
        </w:tc>
        <w:tc>
          <w:tcPr>
            <w:tcW w:w="2280" w:type="dxa"/>
            <w:shd w:val="clear" w:color="auto" w:fill="auto"/>
            <w:tcMar>
              <w:top w:w="150" w:type="dxa"/>
              <w:left w:w="240" w:type="dxa"/>
              <w:bottom w:w="150" w:type="dxa"/>
              <w:right w:w="240" w:type="dxa"/>
            </w:tcMar>
            <w:vAlign w:val="center"/>
          </w:tcPr>
          <w:p w14:paraId="34C51491">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1. 大量使用白蛋白导致凝血因子稀释。</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抗凝药物过量</w:t>
            </w:r>
          </w:p>
        </w:tc>
        <w:tc>
          <w:tcPr>
            <w:tcW w:w="2520" w:type="dxa"/>
            <w:shd w:val="clear" w:color="auto" w:fill="auto"/>
            <w:tcMar>
              <w:top w:w="150" w:type="dxa"/>
              <w:left w:w="240" w:type="dxa"/>
              <w:bottom w:w="150" w:type="dxa"/>
              <w:right w:w="240" w:type="dxa"/>
            </w:tcMar>
            <w:vAlign w:val="center"/>
          </w:tcPr>
          <w:p w14:paraId="72E06950">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治疗前评估出血风险，个体化制定抗凝方案</w:t>
            </w:r>
          </w:p>
        </w:tc>
        <w:tc>
          <w:tcPr>
            <w:tcW w:w="3780" w:type="dxa"/>
            <w:shd w:val="clear" w:color="auto" w:fill="auto"/>
            <w:tcMar>
              <w:top w:w="150" w:type="dxa"/>
              <w:left w:w="240" w:type="dxa"/>
              <w:bottom w:w="150" w:type="dxa"/>
              <w:right w:w="0" w:type="dxa"/>
            </w:tcMar>
            <w:vAlign w:val="center"/>
          </w:tcPr>
          <w:p w14:paraId="6531B901">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1. 凝血因子缺乏者，补充新鲜冰冻血浆。</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抗凝过量者，减少或暂停抗凝剂。</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3. 肝素过量可使用鱼精蛋白中和，并酌情应用止血药物</w:t>
            </w:r>
          </w:p>
        </w:tc>
      </w:tr>
      <w:tr w14:paraId="545D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057" w:type="dxa"/>
            <w:shd w:val="clear" w:color="auto" w:fill="auto"/>
            <w:tcMar>
              <w:top w:w="150" w:type="dxa"/>
              <w:left w:w="0" w:type="dxa"/>
              <w:bottom w:w="150" w:type="dxa"/>
              <w:right w:w="240" w:type="dxa"/>
            </w:tcMar>
            <w:vAlign w:val="center"/>
          </w:tcPr>
          <w:p w14:paraId="304BB19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rPr>
            </w:pPr>
            <w:r>
              <w:rPr>
                <w:rStyle w:val="17"/>
                <w:rFonts w:hint="eastAsia" w:ascii="宋体" w:hAnsi="宋体" w:eastAsia="宋体" w:cs="宋体"/>
                <w:b w:val="0"/>
                <w:bCs w:val="0"/>
                <w:kern w:val="0"/>
                <w:sz w:val="18"/>
                <w:szCs w:val="18"/>
                <w:lang w:val="en-US" w:eastAsia="zh-CN" w:bidi="ar"/>
              </w:rPr>
              <w:t>低钙血症</w:t>
            </w:r>
          </w:p>
        </w:tc>
        <w:tc>
          <w:tcPr>
            <w:tcW w:w="2280" w:type="dxa"/>
            <w:shd w:val="clear" w:color="auto" w:fill="auto"/>
            <w:tcMar>
              <w:top w:w="150" w:type="dxa"/>
              <w:left w:w="240" w:type="dxa"/>
              <w:bottom w:w="150" w:type="dxa"/>
              <w:right w:w="240" w:type="dxa"/>
            </w:tcMar>
            <w:vAlign w:val="center"/>
          </w:tcPr>
          <w:p w14:paraId="3678279B">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使用枸橼酸钠抗凝或白蛋白作为置换液</w:t>
            </w:r>
          </w:p>
        </w:tc>
        <w:tc>
          <w:tcPr>
            <w:tcW w:w="2520" w:type="dxa"/>
            <w:shd w:val="clear" w:color="auto" w:fill="auto"/>
            <w:tcMar>
              <w:top w:w="150" w:type="dxa"/>
              <w:left w:w="240" w:type="dxa"/>
              <w:bottom w:w="150" w:type="dxa"/>
              <w:right w:w="240" w:type="dxa"/>
            </w:tcMar>
            <w:vAlign w:val="center"/>
          </w:tcPr>
          <w:p w14:paraId="73860D1A">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治疗过程中预防性静脉输注钙剂</w:t>
            </w:r>
          </w:p>
        </w:tc>
        <w:tc>
          <w:tcPr>
            <w:tcW w:w="3780" w:type="dxa"/>
            <w:shd w:val="clear" w:color="auto" w:fill="auto"/>
            <w:tcMar>
              <w:top w:w="150" w:type="dxa"/>
              <w:left w:w="240" w:type="dxa"/>
              <w:bottom w:w="150" w:type="dxa"/>
              <w:right w:w="0" w:type="dxa"/>
            </w:tcMar>
            <w:vAlign w:val="center"/>
          </w:tcPr>
          <w:p w14:paraId="05A9B430">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出现口周麻木、肌肉痉挛时，立即缓慢静脉注射葡萄糖酸钙或氯化钙溶液</w:t>
            </w:r>
          </w:p>
        </w:tc>
      </w:tr>
      <w:tr w14:paraId="2ABB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057" w:type="dxa"/>
            <w:shd w:val="clear" w:color="auto" w:fill="auto"/>
            <w:tcMar>
              <w:top w:w="150" w:type="dxa"/>
              <w:left w:w="0" w:type="dxa"/>
              <w:bottom w:w="150" w:type="dxa"/>
              <w:right w:w="240" w:type="dxa"/>
            </w:tcMar>
            <w:vAlign w:val="center"/>
          </w:tcPr>
          <w:p w14:paraId="763697B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rPr>
            </w:pPr>
            <w:r>
              <w:rPr>
                <w:rStyle w:val="17"/>
                <w:rFonts w:hint="eastAsia" w:ascii="宋体" w:hAnsi="宋体" w:eastAsia="宋体" w:cs="宋体"/>
                <w:b w:val="0"/>
                <w:bCs w:val="0"/>
                <w:kern w:val="0"/>
                <w:sz w:val="18"/>
                <w:szCs w:val="18"/>
                <w:lang w:val="en-US" w:eastAsia="zh-CN" w:bidi="ar"/>
              </w:rPr>
              <w:t>血源性传染疾病</w:t>
            </w:r>
          </w:p>
        </w:tc>
        <w:tc>
          <w:tcPr>
            <w:tcW w:w="2280" w:type="dxa"/>
            <w:shd w:val="clear" w:color="auto" w:fill="auto"/>
            <w:tcMar>
              <w:top w:w="150" w:type="dxa"/>
              <w:left w:w="240" w:type="dxa"/>
              <w:bottom w:w="150" w:type="dxa"/>
              <w:right w:w="240" w:type="dxa"/>
            </w:tcMar>
            <w:vAlign w:val="center"/>
          </w:tcPr>
          <w:p w14:paraId="3422DBF5">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输入被病原体污染的血浆</w:t>
            </w:r>
          </w:p>
        </w:tc>
        <w:tc>
          <w:tcPr>
            <w:tcW w:w="2520" w:type="dxa"/>
            <w:shd w:val="clear" w:color="auto" w:fill="auto"/>
            <w:tcMar>
              <w:top w:w="150" w:type="dxa"/>
              <w:left w:w="240" w:type="dxa"/>
              <w:bottom w:w="150" w:type="dxa"/>
              <w:right w:w="240" w:type="dxa"/>
            </w:tcMar>
            <w:vAlign w:val="center"/>
          </w:tcPr>
          <w:p w14:paraId="5BC76148">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严格筛查血制品，使用合格血浆，并向患者充分告知风险</w:t>
            </w:r>
          </w:p>
        </w:tc>
        <w:tc>
          <w:tcPr>
            <w:tcW w:w="3780" w:type="dxa"/>
            <w:shd w:val="clear" w:color="auto" w:fill="auto"/>
            <w:tcMar>
              <w:top w:w="150" w:type="dxa"/>
              <w:left w:w="240" w:type="dxa"/>
              <w:bottom w:w="150" w:type="dxa"/>
              <w:right w:w="0" w:type="dxa"/>
            </w:tcMar>
            <w:vAlign w:val="center"/>
          </w:tcPr>
          <w:p w14:paraId="66F78DCB">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一旦发生，按相应传染病治疗方案处理</w:t>
            </w:r>
          </w:p>
        </w:tc>
      </w:tr>
      <w:tr w14:paraId="3F0A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057" w:type="dxa"/>
            <w:shd w:val="clear" w:color="auto" w:fill="auto"/>
            <w:tcMar>
              <w:top w:w="150" w:type="dxa"/>
              <w:left w:w="0" w:type="dxa"/>
              <w:bottom w:w="150" w:type="dxa"/>
              <w:right w:w="240" w:type="dxa"/>
            </w:tcMar>
            <w:vAlign w:val="center"/>
          </w:tcPr>
          <w:p w14:paraId="0C4AB35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rPr>
            </w:pPr>
            <w:r>
              <w:rPr>
                <w:rStyle w:val="17"/>
                <w:rFonts w:hint="eastAsia" w:ascii="宋体" w:hAnsi="宋体" w:eastAsia="宋体" w:cs="宋体"/>
                <w:b w:val="0"/>
                <w:bCs w:val="0"/>
                <w:kern w:val="0"/>
                <w:sz w:val="18"/>
                <w:szCs w:val="18"/>
                <w:lang w:val="en-US" w:eastAsia="zh-CN" w:bidi="ar"/>
              </w:rPr>
              <w:t>脑水肿</w:t>
            </w:r>
          </w:p>
        </w:tc>
        <w:tc>
          <w:tcPr>
            <w:tcW w:w="2280" w:type="dxa"/>
            <w:shd w:val="clear" w:color="auto" w:fill="auto"/>
            <w:tcMar>
              <w:top w:w="150" w:type="dxa"/>
              <w:left w:w="240" w:type="dxa"/>
              <w:bottom w:w="150" w:type="dxa"/>
              <w:right w:w="240" w:type="dxa"/>
            </w:tcMar>
            <w:vAlign w:val="center"/>
          </w:tcPr>
          <w:p w14:paraId="0D0F81FC">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新鲜冰冻血浆胶体渗透压低于体内水平，导致水钠潴留</w:t>
            </w:r>
          </w:p>
        </w:tc>
        <w:tc>
          <w:tcPr>
            <w:tcW w:w="2520" w:type="dxa"/>
            <w:shd w:val="clear" w:color="auto" w:fill="auto"/>
            <w:tcMar>
              <w:top w:w="150" w:type="dxa"/>
              <w:left w:w="240" w:type="dxa"/>
              <w:bottom w:w="150" w:type="dxa"/>
              <w:right w:w="240" w:type="dxa"/>
            </w:tcMar>
            <w:vAlign w:val="center"/>
          </w:tcPr>
          <w:p w14:paraId="27CC8191">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w:t>
            </w:r>
          </w:p>
        </w:tc>
        <w:tc>
          <w:tcPr>
            <w:tcW w:w="3780" w:type="dxa"/>
            <w:shd w:val="clear" w:color="auto" w:fill="auto"/>
            <w:tcMar>
              <w:top w:w="150" w:type="dxa"/>
              <w:left w:w="240" w:type="dxa"/>
              <w:bottom w:w="150" w:type="dxa"/>
              <w:right w:w="0" w:type="dxa"/>
            </w:tcMar>
            <w:vAlign w:val="center"/>
          </w:tcPr>
          <w:p w14:paraId="151FEE79">
            <w:pPr>
              <w:keepNext w:val="0"/>
              <w:keepLines w:val="0"/>
              <w:pageBreakBefore w:val="0"/>
              <w:widowControl/>
              <w:suppressLineNumbers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18"/>
                <w:szCs w:val="18"/>
              </w:rPr>
            </w:pPr>
            <w:r>
              <w:rPr>
                <w:rFonts w:hint="eastAsia" w:ascii="宋体" w:hAnsi="宋体" w:eastAsia="宋体" w:cs="宋体"/>
                <w:kern w:val="0"/>
                <w:sz w:val="18"/>
                <w:szCs w:val="18"/>
                <w:lang w:val="en-US" w:eastAsia="zh-CN" w:bidi="ar"/>
              </w:rPr>
              <w:t>给予提高血浆胶体渗透压等对症处置</w:t>
            </w:r>
          </w:p>
        </w:tc>
      </w:tr>
    </w:tbl>
    <w:p w14:paraId="62ACF2B0">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leftChars="0" w:right="0" w:rightChars="0" w:firstLine="420" w:firstLineChars="0"/>
        <w:jc w:val="left"/>
        <w:textAlignment w:val="auto"/>
        <w:outlineLvl w:val="9"/>
        <w:rPr>
          <w:rFonts w:hint="eastAsia" w:ascii="宋体" w:hAnsi="宋体" w:cs="宋体"/>
          <w:sz w:val="21"/>
          <w:szCs w:val="21"/>
          <w:lang w:val="en-US" w:eastAsia="zh-CN"/>
        </w:rPr>
      </w:pPr>
      <w:r>
        <w:rPr>
          <w:rFonts w:hint="eastAsia" w:ascii="宋体" w:hAnsi="宋体" w:cs="宋体"/>
          <w:sz w:val="21"/>
          <w:szCs w:val="21"/>
          <w:lang w:val="en-US" w:eastAsia="zh-CN"/>
        </w:rPr>
        <w:t xml:space="preserve">  </w:t>
      </w:r>
    </w:p>
    <w:p w14:paraId="1E75F9E3">
      <w:pPr>
        <w:pStyle w:val="12"/>
        <w:keepNext/>
        <w:keepLines w:val="0"/>
        <w:pageBreakBefore w:val="0"/>
        <w:widowControl/>
        <w:numPr>
          <w:ilvl w:val="1"/>
          <w:numId w:val="22"/>
        </w:numPr>
        <w:suppressLineNumbers w:val="0"/>
        <w:shd w:val="clear" w:fill="FFFFFF"/>
        <w:kinsoku/>
        <w:wordWrap/>
        <w:overflowPunct/>
        <w:topLinePunct w:val="0"/>
        <w:autoSpaceDE w:val="0"/>
        <w:autoSpaceDN/>
        <w:bidi w:val="0"/>
        <w:adjustRightInd w:val="0"/>
        <w:snapToGrid/>
        <w:spacing w:before="312" w:beforeLines="100" w:beforeAutospacing="0" w:after="312" w:afterLines="100" w:afterAutospacing="0" w:line="240" w:lineRule="auto"/>
        <w:ind w:left="0" w:right="0" w:firstLine="0"/>
        <w:jc w:val="left"/>
        <w:textAlignment w:val="auto"/>
        <w:outlineLvl w:val="2"/>
        <w:rPr>
          <w:rFonts w:hint="eastAsia" w:ascii="黑体" w:hAnsi="黑体" w:eastAsia="黑体" w:cs="黑体"/>
          <w:kern w:val="2"/>
          <w:sz w:val="21"/>
          <w:szCs w:val="21"/>
          <w:lang w:val="en-US" w:eastAsia="zh-CN" w:bidi="ar"/>
        </w:rPr>
      </w:pPr>
      <w:r>
        <w:rPr>
          <w:rFonts w:hint="eastAsia" w:ascii="黑体" w:hAnsi="黑体" w:eastAsia="黑体" w:cs="黑体"/>
          <w:kern w:val="2"/>
          <w:sz w:val="21"/>
          <w:szCs w:val="21"/>
          <w:lang w:val="en-US" w:eastAsia="zh-CN" w:bidi="ar"/>
        </w:rPr>
        <w:t>抗凝剂相关并发症</w:t>
      </w:r>
    </w:p>
    <w:p w14:paraId="5EF9BE28">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leftChars="0" w:right="0" w:rightChars="0" w:firstLine="420" w:firstLineChars="0"/>
        <w:jc w:val="left"/>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抗凝剂相关并发症及处理</w:t>
      </w:r>
      <w:r>
        <w:rPr>
          <w:rFonts w:hint="eastAsia" w:ascii="宋体" w:hAnsi="宋体" w:eastAsia="宋体" w:cs="宋体"/>
          <w:sz w:val="21"/>
          <w:szCs w:val="21"/>
          <w:lang w:val="en-US" w:eastAsia="zh-CN"/>
        </w:rPr>
        <w:t>见表</w:t>
      </w:r>
      <w:r>
        <w:rPr>
          <w:rFonts w:hint="eastAsia" w:ascii="宋体" w:hAnsi="宋体" w:cs="宋体"/>
          <w:sz w:val="21"/>
          <w:szCs w:val="21"/>
          <w:lang w:val="en-US" w:eastAsia="zh-CN"/>
        </w:rPr>
        <w:t>D</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w:t>
      </w:r>
    </w:p>
    <w:p w14:paraId="07C7208D">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157" w:beforeLines="50" w:beforeAutospacing="0" w:after="157" w:afterLines="50" w:afterAutospacing="0" w:line="240" w:lineRule="auto"/>
        <w:ind w:leftChars="0" w:right="0" w:rightChars="0"/>
        <w:jc w:val="center"/>
        <w:textAlignment w:val="auto"/>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表D.2　抗凝剂相关并发症及处理</w:t>
      </w:r>
    </w:p>
    <w:tbl>
      <w:tblPr>
        <w:tblStyle w:val="14"/>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687"/>
        <w:gridCol w:w="1890"/>
        <w:gridCol w:w="2550"/>
        <w:gridCol w:w="3630"/>
      </w:tblGrid>
      <w:tr w14:paraId="1C79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1687" w:type="dxa"/>
            <w:shd w:val="clear" w:color="auto" w:fill="FFFFFF"/>
            <w:tcMar>
              <w:top w:w="150" w:type="dxa"/>
              <w:left w:w="0" w:type="dxa"/>
              <w:bottom w:w="150" w:type="dxa"/>
              <w:right w:w="240" w:type="dxa"/>
            </w:tcMar>
            <w:vAlign w:val="center"/>
          </w:tcPr>
          <w:p w14:paraId="358B207E">
            <w:pPr>
              <w:keepNext w:val="0"/>
              <w:keepLines w:val="0"/>
              <w:widowControl/>
              <w:suppressLineNumbers w:val="0"/>
              <w:spacing w:line="240" w:lineRule="auto"/>
              <w:jc w:val="center"/>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并发症</w:t>
            </w:r>
          </w:p>
        </w:tc>
        <w:tc>
          <w:tcPr>
            <w:tcW w:w="1890" w:type="dxa"/>
            <w:shd w:val="clear" w:color="auto" w:fill="FFFFFF"/>
            <w:tcMar>
              <w:top w:w="150" w:type="dxa"/>
              <w:left w:w="240" w:type="dxa"/>
              <w:bottom w:w="150" w:type="dxa"/>
              <w:right w:w="240" w:type="dxa"/>
            </w:tcMar>
            <w:vAlign w:val="center"/>
          </w:tcPr>
          <w:p w14:paraId="05B42955">
            <w:pPr>
              <w:keepNext w:val="0"/>
              <w:keepLines w:val="0"/>
              <w:widowControl/>
              <w:suppressLineNumbers w:val="0"/>
              <w:spacing w:line="240" w:lineRule="auto"/>
              <w:jc w:val="center"/>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临床表现与诊断</w:t>
            </w:r>
          </w:p>
        </w:tc>
        <w:tc>
          <w:tcPr>
            <w:tcW w:w="2550" w:type="dxa"/>
            <w:shd w:val="clear" w:color="auto" w:fill="FFFFFF"/>
            <w:tcMar>
              <w:top w:w="150" w:type="dxa"/>
              <w:left w:w="240" w:type="dxa"/>
              <w:bottom w:w="150" w:type="dxa"/>
              <w:right w:w="240" w:type="dxa"/>
            </w:tcMar>
            <w:vAlign w:val="center"/>
          </w:tcPr>
          <w:p w14:paraId="13AAC88B">
            <w:pPr>
              <w:keepNext w:val="0"/>
              <w:keepLines w:val="0"/>
              <w:widowControl/>
              <w:suppressLineNumbers w:val="0"/>
              <w:spacing w:line="240" w:lineRule="auto"/>
              <w:jc w:val="center"/>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预防措施</w:t>
            </w:r>
          </w:p>
        </w:tc>
        <w:tc>
          <w:tcPr>
            <w:tcW w:w="3630" w:type="dxa"/>
            <w:shd w:val="clear" w:color="auto" w:fill="FFFFFF"/>
            <w:tcMar>
              <w:top w:w="150" w:type="dxa"/>
              <w:left w:w="240" w:type="dxa"/>
              <w:bottom w:w="150" w:type="dxa"/>
              <w:right w:w="240" w:type="dxa"/>
            </w:tcMar>
            <w:vAlign w:val="center"/>
          </w:tcPr>
          <w:p w14:paraId="3B2266D5">
            <w:pPr>
              <w:keepNext w:val="0"/>
              <w:keepLines w:val="0"/>
              <w:widowControl/>
              <w:suppressLineNumbers w:val="0"/>
              <w:spacing w:line="240" w:lineRule="auto"/>
              <w:jc w:val="center"/>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处理措施</w:t>
            </w:r>
          </w:p>
        </w:tc>
      </w:tr>
      <w:tr w14:paraId="6655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87" w:type="dxa"/>
            <w:shd w:val="clear" w:color="auto" w:fill="FFFFFF"/>
            <w:tcMar>
              <w:top w:w="150" w:type="dxa"/>
              <w:left w:w="0" w:type="dxa"/>
              <w:bottom w:w="150" w:type="dxa"/>
              <w:right w:w="240" w:type="dxa"/>
            </w:tcMar>
            <w:vAlign w:val="center"/>
          </w:tcPr>
          <w:p w14:paraId="10C6A717">
            <w:pPr>
              <w:keepNext w:val="0"/>
              <w:keepLines w:val="0"/>
              <w:widowControl/>
              <w:suppressLineNumbers w:val="0"/>
              <w:spacing w:line="240" w:lineRule="auto"/>
              <w:jc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抗凝不足</w:t>
            </w:r>
          </w:p>
        </w:tc>
        <w:tc>
          <w:tcPr>
            <w:tcW w:w="1890" w:type="dxa"/>
            <w:shd w:val="clear" w:color="auto" w:fill="FFFFFF"/>
            <w:tcMar>
              <w:top w:w="150" w:type="dxa"/>
              <w:left w:w="240" w:type="dxa"/>
              <w:bottom w:w="150" w:type="dxa"/>
              <w:right w:w="240" w:type="dxa"/>
            </w:tcMar>
            <w:vAlign w:val="center"/>
          </w:tcPr>
          <w:p w14:paraId="016A4CF8">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管路或分离器凝血；血栓栓塞性疾病</w:t>
            </w:r>
          </w:p>
        </w:tc>
        <w:tc>
          <w:tcPr>
            <w:tcW w:w="2550" w:type="dxa"/>
            <w:shd w:val="clear" w:color="auto" w:fill="FFFFFF"/>
            <w:tcMar>
              <w:top w:w="150" w:type="dxa"/>
              <w:left w:w="240" w:type="dxa"/>
              <w:bottom w:w="150" w:type="dxa"/>
              <w:right w:w="240" w:type="dxa"/>
            </w:tcMar>
            <w:vAlign w:val="center"/>
          </w:tcPr>
          <w:p w14:paraId="6E503F0B">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 治疗前充分评估凝血状态，制定个体化方案。</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对有出血风险者，优选枸橼酸钠或阿加曲班</w:t>
            </w:r>
          </w:p>
        </w:tc>
        <w:tc>
          <w:tcPr>
            <w:tcW w:w="3630" w:type="dxa"/>
            <w:shd w:val="clear" w:color="auto" w:fill="FFFFFF"/>
            <w:tcMar>
              <w:top w:w="150" w:type="dxa"/>
              <w:left w:w="240" w:type="dxa"/>
              <w:bottom w:w="150" w:type="dxa"/>
              <w:right w:w="0" w:type="dxa"/>
            </w:tcMar>
            <w:vAlign w:val="center"/>
          </w:tcPr>
          <w:p w14:paraId="0426A0CF">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 评估凝血状态，调整抗凝剂剂量或种类。</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发生凝血后及时更换管路或分离器。</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3. 出现血栓者，给予抗凝、促纤溶治疗</w:t>
            </w:r>
          </w:p>
        </w:tc>
      </w:tr>
      <w:tr w14:paraId="77A2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87" w:type="dxa"/>
            <w:shd w:val="clear" w:color="auto" w:fill="FFFFFF"/>
            <w:tcMar>
              <w:top w:w="150" w:type="dxa"/>
              <w:left w:w="0" w:type="dxa"/>
              <w:bottom w:w="150" w:type="dxa"/>
              <w:right w:w="240" w:type="dxa"/>
            </w:tcMar>
            <w:vAlign w:val="center"/>
          </w:tcPr>
          <w:p w14:paraId="1A0A4B34">
            <w:pPr>
              <w:keepNext w:val="0"/>
              <w:keepLines w:val="0"/>
              <w:widowControl/>
              <w:suppressLineNumbers w:val="0"/>
              <w:spacing w:line="240" w:lineRule="auto"/>
              <w:jc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出血</w:t>
            </w:r>
          </w:p>
        </w:tc>
        <w:tc>
          <w:tcPr>
            <w:tcW w:w="1890" w:type="dxa"/>
            <w:shd w:val="clear" w:color="auto" w:fill="FFFFFF"/>
            <w:tcMar>
              <w:top w:w="150" w:type="dxa"/>
              <w:left w:w="240" w:type="dxa"/>
              <w:bottom w:w="150" w:type="dxa"/>
              <w:right w:w="240" w:type="dxa"/>
            </w:tcMar>
            <w:vAlign w:val="center"/>
          </w:tcPr>
          <w:p w14:paraId="06E81BF1">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不同程度的出血表现</w:t>
            </w:r>
          </w:p>
        </w:tc>
        <w:tc>
          <w:tcPr>
            <w:tcW w:w="2550" w:type="dxa"/>
            <w:shd w:val="clear" w:color="auto" w:fill="FFFFFF"/>
            <w:tcMar>
              <w:top w:w="150" w:type="dxa"/>
              <w:left w:w="240" w:type="dxa"/>
              <w:bottom w:w="150" w:type="dxa"/>
              <w:right w:w="240" w:type="dxa"/>
            </w:tcMar>
            <w:vAlign w:val="center"/>
          </w:tcPr>
          <w:p w14:paraId="2FAB2638">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治疗前评估出血风险，在监测下制定个体化抗凝方案</w:t>
            </w:r>
          </w:p>
        </w:tc>
        <w:tc>
          <w:tcPr>
            <w:tcW w:w="3630" w:type="dxa"/>
            <w:shd w:val="clear" w:color="auto" w:fill="FFFFFF"/>
            <w:tcMar>
              <w:top w:w="150" w:type="dxa"/>
              <w:left w:w="240" w:type="dxa"/>
              <w:bottom w:w="150" w:type="dxa"/>
              <w:right w:w="0" w:type="dxa"/>
            </w:tcMar>
            <w:vAlign w:val="center"/>
          </w:tcPr>
          <w:p w14:paraId="0405BE26">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 重新评估凝血状态，停止或减少抗凝剂。</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使用拮抗剂：</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 肝素/低分子肝素过量：鱼精蛋白。</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 枸橼酸钠过量：补充钙制剂。</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 阿加曲班过量：严重时可给予凝血酶原复合物或血浆</w:t>
            </w:r>
          </w:p>
        </w:tc>
      </w:tr>
      <w:tr w14:paraId="0F6B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87" w:type="dxa"/>
            <w:shd w:val="clear" w:color="auto" w:fill="FFFFFF"/>
            <w:tcMar>
              <w:top w:w="150" w:type="dxa"/>
              <w:left w:w="0" w:type="dxa"/>
              <w:bottom w:w="150" w:type="dxa"/>
              <w:right w:w="240" w:type="dxa"/>
            </w:tcMar>
            <w:vAlign w:val="center"/>
          </w:tcPr>
          <w:p w14:paraId="1C80711E">
            <w:pPr>
              <w:keepNext w:val="0"/>
              <w:keepLines w:val="0"/>
              <w:widowControl/>
              <w:suppressLineNumbers w:val="0"/>
              <w:spacing w:line="240" w:lineRule="auto"/>
              <w:jc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HIT</w:t>
            </w:r>
          </w:p>
        </w:tc>
        <w:tc>
          <w:tcPr>
            <w:tcW w:w="1890" w:type="dxa"/>
            <w:shd w:val="clear" w:color="auto" w:fill="FFFFFF"/>
            <w:tcMar>
              <w:top w:w="150" w:type="dxa"/>
              <w:left w:w="240" w:type="dxa"/>
              <w:bottom w:w="150" w:type="dxa"/>
              <w:right w:w="240" w:type="dxa"/>
            </w:tcMar>
            <w:vAlign w:val="center"/>
          </w:tcPr>
          <w:p w14:paraId="670259EA">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用肝素后5 天～10 天PLT骤降＞50%或＜10 万/μL，伴血栓栓塞，HIT抗体阳性</w:t>
            </w:r>
          </w:p>
        </w:tc>
        <w:tc>
          <w:tcPr>
            <w:tcW w:w="2550" w:type="dxa"/>
            <w:shd w:val="clear" w:color="auto" w:fill="FFFFFF"/>
            <w:tcMar>
              <w:top w:w="150" w:type="dxa"/>
              <w:left w:w="240" w:type="dxa"/>
              <w:bottom w:w="150" w:type="dxa"/>
              <w:right w:w="240" w:type="dxa"/>
            </w:tcMar>
            <w:vAlign w:val="center"/>
          </w:tcPr>
          <w:p w14:paraId="067FB4D3">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询问既往肝素过敏史</w:t>
            </w:r>
          </w:p>
        </w:tc>
        <w:tc>
          <w:tcPr>
            <w:tcW w:w="3630" w:type="dxa"/>
            <w:shd w:val="clear" w:color="auto" w:fill="FFFFFF"/>
            <w:tcMar>
              <w:top w:w="150" w:type="dxa"/>
              <w:left w:w="240" w:type="dxa"/>
              <w:bottom w:w="150" w:type="dxa"/>
              <w:right w:w="0" w:type="dxa"/>
            </w:tcMar>
            <w:vAlign w:val="center"/>
          </w:tcPr>
          <w:p w14:paraId="7C32E84A">
            <w:pPr>
              <w:keepNext w:val="0"/>
              <w:keepLines w:val="0"/>
              <w:widowControl/>
              <w:numPr>
                <w:ilvl w:val="0"/>
                <w:numId w:val="26"/>
              </w:numPr>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立即停用所有肝素类制剂。</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给予抗PLT、抗凝或促纤溶治疗，预防血栓。</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3. 禁止再次使用肝素（HIT后100天内风险极高）</w:t>
            </w:r>
          </w:p>
        </w:tc>
      </w:tr>
      <w:tr w14:paraId="49B8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87" w:type="dxa"/>
            <w:shd w:val="clear" w:color="auto" w:fill="FFFFFF"/>
            <w:tcMar>
              <w:top w:w="150" w:type="dxa"/>
              <w:left w:w="0" w:type="dxa"/>
              <w:bottom w:w="150" w:type="dxa"/>
              <w:right w:w="240" w:type="dxa"/>
            </w:tcMar>
            <w:vAlign w:val="center"/>
          </w:tcPr>
          <w:p w14:paraId="144A241C">
            <w:pPr>
              <w:keepNext w:val="0"/>
              <w:keepLines w:val="0"/>
              <w:widowControl/>
              <w:suppressLineNumbers w:val="0"/>
              <w:spacing w:line="240" w:lineRule="auto"/>
              <w:jc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代谢紊乱</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（低钙血症、高钠血症、代谢性碱中毒）</w:t>
            </w:r>
          </w:p>
        </w:tc>
        <w:tc>
          <w:tcPr>
            <w:tcW w:w="1890" w:type="dxa"/>
            <w:shd w:val="clear" w:color="auto" w:fill="FFFFFF"/>
            <w:tcMar>
              <w:top w:w="150" w:type="dxa"/>
              <w:left w:w="240" w:type="dxa"/>
              <w:bottom w:w="150" w:type="dxa"/>
              <w:right w:w="240" w:type="dxa"/>
            </w:tcMar>
            <w:vAlign w:val="center"/>
          </w:tcPr>
          <w:p w14:paraId="70B073B0">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相应电解质及酸碱平衡指标异常</w:t>
            </w:r>
          </w:p>
        </w:tc>
        <w:tc>
          <w:tcPr>
            <w:tcW w:w="2550" w:type="dxa"/>
            <w:shd w:val="clear" w:color="auto" w:fill="FFFFFF"/>
            <w:tcMar>
              <w:top w:w="150" w:type="dxa"/>
              <w:left w:w="240" w:type="dxa"/>
              <w:bottom w:w="150" w:type="dxa"/>
              <w:right w:w="240" w:type="dxa"/>
            </w:tcMar>
            <w:vAlign w:val="center"/>
          </w:tcPr>
          <w:p w14:paraId="02EC3CAE">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 采用无碱、低钠置换液。</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密切监测离子钙、电解质及酸碱平衡</w:t>
            </w:r>
          </w:p>
        </w:tc>
        <w:tc>
          <w:tcPr>
            <w:tcW w:w="3630" w:type="dxa"/>
            <w:shd w:val="clear" w:color="auto" w:fill="FFFFFF"/>
            <w:tcMar>
              <w:top w:w="150" w:type="dxa"/>
              <w:left w:w="240" w:type="dxa"/>
              <w:bottom w:w="150" w:type="dxa"/>
              <w:right w:w="0" w:type="dxa"/>
            </w:tcMar>
            <w:vAlign w:val="center"/>
          </w:tcPr>
          <w:p w14:paraId="64DB689E">
            <w:pPr>
              <w:keepNext w:val="0"/>
              <w:keepLines w:val="0"/>
              <w:widowControl/>
              <w:suppressLineNumbers w:val="0"/>
              <w:spacing w:line="240" w:lineRule="auto"/>
              <w:jc w:val="both"/>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 调整枸橼酸钠和钙剂的输入速度与剂量。</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2. 严重者需改变抗凝方式，并积极纠正电解质及酸碱失衡</w:t>
            </w:r>
          </w:p>
        </w:tc>
      </w:tr>
    </w:tbl>
    <w:p w14:paraId="466D9821">
      <w:pPr>
        <w:pStyle w:val="12"/>
        <w:keepNext/>
        <w:keepLines w:val="0"/>
        <w:pageBreakBefore w:val="0"/>
        <w:widowControl/>
        <w:numPr>
          <w:ilvl w:val="0"/>
          <w:numId w:val="0"/>
        </w:numPr>
        <w:suppressLineNumbers w:val="0"/>
        <w:shd w:val="clear" w:fill="FFFFFF"/>
        <w:kinsoku/>
        <w:wordWrap/>
        <w:overflowPunct/>
        <w:topLinePunct w:val="0"/>
        <w:autoSpaceDE w:val="0"/>
        <w:autoSpaceDN/>
        <w:bidi w:val="0"/>
        <w:adjustRightInd w:val="0"/>
        <w:snapToGrid/>
        <w:spacing w:beforeLines="0" w:beforeAutospacing="0" w:afterLines="0" w:afterAutospacing="0" w:line="240" w:lineRule="auto"/>
        <w:ind w:right="0" w:rightChars="0"/>
        <w:jc w:val="left"/>
        <w:textAlignment w:val="auto"/>
        <w:outlineLvl w:val="9"/>
        <w:rPr>
          <w:rFonts w:hint="default" w:ascii="宋体" w:hAnsi="宋体" w:cs="宋体"/>
          <w:sz w:val="21"/>
          <w:szCs w:val="21"/>
          <w:lang w:val="en-US" w:eastAsia="zh-CN"/>
        </w:rPr>
      </w:pPr>
    </w:p>
    <w:p w14:paraId="6F4A0BD4">
      <w:pPr>
        <w:rPr>
          <w:rFonts w:hint="eastAsia"/>
          <w:sz w:val="21"/>
          <w:szCs w:val="21"/>
        </w:rPr>
      </w:pPr>
      <w:r>
        <w:rPr>
          <w:rFonts w:hint="eastAsia"/>
          <w:sz w:val="21"/>
          <w:szCs w:val="21"/>
        </w:rPr>
        <w:br w:type="page"/>
      </w:r>
    </w:p>
    <w:p w14:paraId="3D3D5DF7">
      <w:pPr>
        <w:pStyle w:val="29"/>
        <w:keepNext w:val="0"/>
        <w:keepLines w:val="0"/>
        <w:pageBreakBefore w:val="0"/>
        <w:widowControl w:val="0"/>
        <w:kinsoku/>
        <w:wordWrap/>
        <w:overflowPunct/>
        <w:topLinePunct w:val="0"/>
        <w:autoSpaceDE/>
        <w:autoSpaceDN/>
        <w:bidi w:val="0"/>
        <w:adjustRightInd w:val="0"/>
        <w:snapToGrid/>
        <w:jc w:val="left"/>
        <w:textAlignment w:val="auto"/>
        <w:rPr>
          <w:rFonts w:hint="eastAsia"/>
          <w:sz w:val="28"/>
          <w:szCs w:val="28"/>
          <w:lang w:val="en-US" w:eastAsia="zh-CN"/>
        </w:rPr>
      </w:pPr>
      <w:bookmarkStart w:id="109" w:name="_Toc29575"/>
      <w:r>
        <w:rPr>
          <w:rFonts w:hint="eastAsia"/>
          <w:sz w:val="28"/>
          <w:szCs w:val="28"/>
          <w:lang w:val="en-US" w:eastAsia="zh-CN"/>
        </w:rPr>
        <w:t>附件：</w:t>
      </w:r>
    </w:p>
    <w:p w14:paraId="30FFA833">
      <w:pPr>
        <w:pStyle w:val="29"/>
        <w:keepNext w:val="0"/>
        <w:keepLines w:val="0"/>
        <w:pageBreakBefore w:val="0"/>
        <w:widowControl w:val="0"/>
        <w:kinsoku/>
        <w:wordWrap/>
        <w:overflowPunct/>
        <w:topLinePunct w:val="0"/>
        <w:autoSpaceDE/>
        <w:autoSpaceDN/>
        <w:bidi w:val="0"/>
        <w:adjustRightInd w:val="0"/>
        <w:snapToGrid/>
        <w:jc w:val="center"/>
        <w:textAlignment w:val="auto"/>
        <w:rPr>
          <w:rFonts w:hint="eastAsia"/>
          <w:sz w:val="28"/>
          <w:szCs w:val="28"/>
        </w:rPr>
      </w:pPr>
      <w:r>
        <w:rPr>
          <w:rFonts w:hint="eastAsia"/>
          <w:sz w:val="28"/>
          <w:szCs w:val="28"/>
          <w:lang w:eastAsia="zh-CN"/>
        </w:rPr>
        <w:t>血浆置换建设</w:t>
      </w:r>
      <w:r>
        <w:rPr>
          <w:rFonts w:hint="eastAsia"/>
          <w:sz w:val="28"/>
          <w:szCs w:val="28"/>
          <w:lang w:val="en-US" w:eastAsia="zh-CN"/>
        </w:rPr>
        <w:t>验</w:t>
      </w:r>
      <w:r>
        <w:rPr>
          <w:rFonts w:hint="eastAsia"/>
          <w:sz w:val="28"/>
          <w:szCs w:val="28"/>
          <w:lang w:eastAsia="zh-CN"/>
        </w:rPr>
        <w:t>收</w:t>
      </w:r>
      <w:r>
        <w:rPr>
          <w:rFonts w:hint="eastAsia"/>
          <w:sz w:val="28"/>
          <w:szCs w:val="28"/>
          <w:lang w:val="en-US" w:eastAsia="zh-CN"/>
        </w:rPr>
        <w:t>收</w:t>
      </w:r>
      <w:r>
        <w:rPr>
          <w:rFonts w:hint="eastAsia"/>
          <w:sz w:val="28"/>
          <w:szCs w:val="28"/>
        </w:rPr>
        <w:t>标准</w:t>
      </w:r>
    </w:p>
    <w:p w14:paraId="1D4D824B">
      <w:pPr>
        <w:pStyle w:val="29"/>
        <w:keepNext w:val="0"/>
        <w:keepLines w:val="0"/>
        <w:pageBreakBefore w:val="0"/>
        <w:widowControl w:val="0"/>
        <w:kinsoku/>
        <w:wordWrap/>
        <w:overflowPunct/>
        <w:topLinePunct w:val="0"/>
        <w:autoSpaceDE/>
        <w:autoSpaceDN/>
        <w:bidi w:val="0"/>
        <w:adjustRightInd w:val="0"/>
        <w:snapToGrid/>
        <w:spacing w:before="0" w:after="0"/>
        <w:jc w:val="both"/>
        <w:textAlignment w:val="auto"/>
        <w:rPr>
          <w:rFonts w:hint="eastAsia"/>
          <w:sz w:val="21"/>
          <w:szCs w:val="21"/>
        </w:rPr>
      </w:pPr>
      <w:r>
        <w:rPr>
          <w:rFonts w:hint="eastAsia"/>
          <w:sz w:val="21"/>
          <w:szCs w:val="21"/>
          <w:lang w:eastAsia="zh-CN"/>
        </w:rPr>
        <w:t>血浆置换</w:t>
      </w:r>
      <w:r>
        <w:rPr>
          <w:rFonts w:hint="eastAsia"/>
          <w:sz w:val="21"/>
          <w:szCs w:val="21"/>
        </w:rPr>
        <w:t>的</w:t>
      </w:r>
      <w:r>
        <w:rPr>
          <w:rFonts w:hint="eastAsia"/>
          <w:sz w:val="21"/>
          <w:szCs w:val="21"/>
          <w:lang w:eastAsia="zh-CN"/>
        </w:rPr>
        <w:t>建设验收</w:t>
      </w:r>
      <w:r>
        <w:rPr>
          <w:rFonts w:hint="eastAsia"/>
          <w:sz w:val="21"/>
          <w:szCs w:val="21"/>
        </w:rPr>
        <w:t>标准主要涵盖以下几个方面：</w:t>
      </w:r>
      <w:r>
        <w:rPr>
          <w:rFonts w:hint="eastAsia"/>
          <w:sz w:val="21"/>
          <w:szCs w:val="21"/>
        </w:rPr>
        <w:br w:type="textWrapping"/>
      </w:r>
      <w:r>
        <w:rPr>
          <w:rFonts w:hint="eastAsia"/>
          <w:sz w:val="21"/>
          <w:szCs w:val="21"/>
        </w:rPr>
        <w:br w:type="textWrapping"/>
      </w:r>
      <w:r>
        <w:rPr>
          <w:rFonts w:hint="eastAsia"/>
          <w:sz w:val="21"/>
          <w:szCs w:val="21"/>
        </w:rPr>
        <w:t>1. 建筑设计：</w:t>
      </w:r>
      <w:r>
        <w:rPr>
          <w:rFonts w:hint="eastAsia"/>
          <w:sz w:val="21"/>
          <w:szCs w:val="21"/>
          <w:lang w:eastAsia="zh-CN"/>
        </w:rPr>
        <w:t>血浆置换</w:t>
      </w:r>
      <w:r>
        <w:rPr>
          <w:rFonts w:hint="eastAsia"/>
          <w:sz w:val="21"/>
          <w:szCs w:val="21"/>
        </w:rPr>
        <w:t>应具备合理的建筑布局和基本设施。</w:t>
      </w:r>
      <w:r>
        <w:rPr>
          <w:rFonts w:hint="eastAsia"/>
          <w:sz w:val="21"/>
          <w:szCs w:val="21"/>
          <w:lang w:val="en-US" w:eastAsia="zh-CN"/>
        </w:rPr>
        <w:t>具备治疗室、处置室、污物间、留观室、隔离区、医护人员办公室、休息等待区等房间；常用消杀设备、应急药品等应急措施。</w:t>
      </w:r>
      <w:r>
        <w:rPr>
          <w:rFonts w:hint="eastAsia"/>
          <w:sz w:val="21"/>
          <w:szCs w:val="21"/>
        </w:rPr>
        <w:t>建筑物应具备通风良好、光线充足、安静舒适的环境，且能够满足</w:t>
      </w:r>
      <w:r>
        <w:rPr>
          <w:rFonts w:hint="eastAsia"/>
          <w:sz w:val="21"/>
          <w:szCs w:val="21"/>
          <w:lang w:eastAsia="zh-CN"/>
        </w:rPr>
        <w:t>血浆置换</w:t>
      </w:r>
      <w:r>
        <w:rPr>
          <w:rFonts w:hint="eastAsia"/>
          <w:sz w:val="21"/>
          <w:szCs w:val="21"/>
        </w:rPr>
        <w:t>等操作的需求。此外，应配备必要的紧急设备和安全保护装置。</w:t>
      </w:r>
      <w:r>
        <w:rPr>
          <w:rFonts w:hint="eastAsia"/>
          <w:sz w:val="21"/>
          <w:szCs w:val="21"/>
        </w:rPr>
        <w:br w:type="textWrapping"/>
      </w:r>
      <w:r>
        <w:rPr>
          <w:rFonts w:hint="eastAsia"/>
          <w:sz w:val="21"/>
          <w:szCs w:val="21"/>
        </w:rPr>
        <w:br w:type="textWrapping"/>
      </w:r>
      <w:r>
        <w:rPr>
          <w:rFonts w:hint="eastAsia"/>
          <w:sz w:val="21"/>
          <w:szCs w:val="21"/>
        </w:rPr>
        <w:t>2. 设备设施：应配备先进的</w:t>
      </w:r>
      <w:r>
        <w:rPr>
          <w:rFonts w:hint="eastAsia"/>
          <w:sz w:val="21"/>
          <w:szCs w:val="21"/>
          <w:lang w:eastAsia="zh-CN"/>
        </w:rPr>
        <w:t>血浆置换</w:t>
      </w:r>
      <w:r>
        <w:rPr>
          <w:rFonts w:hint="eastAsia"/>
          <w:sz w:val="21"/>
          <w:szCs w:val="21"/>
        </w:rPr>
        <w:t>设备，血液检测仪器等。设备设施的选用应符合国家相关标准，并定期维护和保养，以保证其正常运行和安全性。</w:t>
      </w:r>
      <w:r>
        <w:rPr>
          <w:rFonts w:hint="eastAsia"/>
          <w:sz w:val="21"/>
          <w:szCs w:val="21"/>
        </w:rPr>
        <w:br w:type="textWrapping"/>
      </w:r>
      <w:r>
        <w:rPr>
          <w:rFonts w:hint="eastAsia"/>
          <w:sz w:val="21"/>
          <w:szCs w:val="21"/>
        </w:rPr>
        <w:br w:type="textWrapping"/>
      </w:r>
      <w:r>
        <w:rPr>
          <w:rFonts w:hint="eastAsia"/>
          <w:sz w:val="21"/>
          <w:szCs w:val="21"/>
        </w:rPr>
        <w:t>3. 人员配置：</w:t>
      </w:r>
      <w:r>
        <w:rPr>
          <w:rFonts w:hint="eastAsia"/>
          <w:sz w:val="21"/>
          <w:szCs w:val="21"/>
          <w:lang w:eastAsia="zh-CN"/>
        </w:rPr>
        <w:t>血浆置换</w:t>
      </w:r>
      <w:r>
        <w:rPr>
          <w:rFonts w:hint="eastAsia"/>
          <w:sz w:val="21"/>
          <w:szCs w:val="21"/>
        </w:rPr>
        <w:t>应配备具备相关知识和技能的专业人员，包括医生、护士、技师等。相关人员应具有相应的专业背景和培训经历，并持有相应的执业资格证书。</w:t>
      </w:r>
      <w:r>
        <w:rPr>
          <w:rFonts w:hint="eastAsia"/>
          <w:sz w:val="21"/>
          <w:szCs w:val="21"/>
        </w:rPr>
        <w:br w:type="textWrapping"/>
      </w:r>
      <w:r>
        <w:rPr>
          <w:rFonts w:hint="eastAsia"/>
          <w:sz w:val="21"/>
          <w:szCs w:val="21"/>
        </w:rPr>
        <w:br w:type="textWrapping"/>
      </w:r>
      <w:r>
        <w:rPr>
          <w:rFonts w:hint="eastAsia"/>
          <w:sz w:val="21"/>
          <w:szCs w:val="21"/>
        </w:rPr>
        <w:t>4. 操作规范：</w:t>
      </w:r>
      <w:r>
        <w:rPr>
          <w:rFonts w:hint="eastAsia"/>
          <w:sz w:val="21"/>
          <w:szCs w:val="21"/>
          <w:lang w:eastAsia="zh-CN"/>
        </w:rPr>
        <w:t>血浆置换</w:t>
      </w:r>
      <w:r>
        <w:rPr>
          <w:rFonts w:hint="eastAsia"/>
          <w:sz w:val="21"/>
          <w:szCs w:val="21"/>
        </w:rPr>
        <w:t>应制定并实施操作规范，确保</w:t>
      </w:r>
      <w:r>
        <w:rPr>
          <w:rFonts w:hint="eastAsia"/>
          <w:sz w:val="21"/>
          <w:szCs w:val="21"/>
          <w:lang w:val="en-US" w:eastAsia="zh-CN"/>
        </w:rPr>
        <w:t>治疗</w:t>
      </w:r>
      <w:r>
        <w:rPr>
          <w:rFonts w:hint="eastAsia"/>
          <w:sz w:val="21"/>
          <w:szCs w:val="21"/>
        </w:rPr>
        <w:t>过程的安全和有效性。操作规范应包括</w:t>
      </w:r>
      <w:r>
        <w:rPr>
          <w:rFonts w:hint="eastAsia"/>
          <w:sz w:val="21"/>
          <w:szCs w:val="21"/>
          <w:lang w:val="en-US" w:eastAsia="zh-CN"/>
        </w:rPr>
        <w:t>治疗中</w:t>
      </w:r>
      <w:r>
        <w:rPr>
          <w:rFonts w:hint="eastAsia"/>
          <w:sz w:val="21"/>
          <w:szCs w:val="21"/>
        </w:rPr>
        <w:t>的各个环节，如</w:t>
      </w:r>
      <w:r>
        <w:rPr>
          <w:rFonts w:hint="eastAsia"/>
          <w:sz w:val="21"/>
          <w:szCs w:val="21"/>
          <w:lang w:val="en-US" w:eastAsia="zh-CN"/>
        </w:rPr>
        <w:t>耗材安装</w:t>
      </w:r>
      <w:r>
        <w:rPr>
          <w:rFonts w:hint="eastAsia"/>
          <w:sz w:val="21"/>
          <w:szCs w:val="21"/>
        </w:rPr>
        <w:t>、血液回路连接等。</w:t>
      </w:r>
      <w:r>
        <w:rPr>
          <w:rFonts w:hint="eastAsia"/>
          <w:sz w:val="21"/>
          <w:szCs w:val="21"/>
        </w:rPr>
        <w:br w:type="textWrapping"/>
      </w:r>
      <w:r>
        <w:rPr>
          <w:rFonts w:hint="eastAsia"/>
          <w:sz w:val="21"/>
          <w:szCs w:val="21"/>
        </w:rPr>
        <w:br w:type="textWrapping"/>
      </w:r>
      <w:r>
        <w:rPr>
          <w:rFonts w:hint="eastAsia"/>
          <w:sz w:val="21"/>
          <w:szCs w:val="21"/>
        </w:rPr>
        <w:t>5. 感染控制：</w:t>
      </w:r>
      <w:r>
        <w:rPr>
          <w:rFonts w:hint="eastAsia"/>
          <w:sz w:val="21"/>
          <w:szCs w:val="21"/>
          <w:lang w:eastAsia="zh-CN"/>
        </w:rPr>
        <w:t>血浆置换</w:t>
      </w:r>
      <w:r>
        <w:rPr>
          <w:rFonts w:hint="eastAsia"/>
          <w:sz w:val="21"/>
          <w:szCs w:val="21"/>
        </w:rPr>
        <w:t>应建立健全的感染控制体系，包括洁净区域的管理、消毒措施的执行、医疗废物的处理等。此外，应对相关人员进行感染控制知识和技能的培训。</w:t>
      </w:r>
      <w:r>
        <w:rPr>
          <w:rFonts w:hint="eastAsia"/>
          <w:sz w:val="21"/>
          <w:szCs w:val="21"/>
        </w:rPr>
        <w:br w:type="textWrapping"/>
      </w:r>
      <w:r>
        <w:rPr>
          <w:rFonts w:hint="eastAsia"/>
          <w:sz w:val="21"/>
          <w:szCs w:val="21"/>
        </w:rPr>
        <w:br w:type="textWrapping"/>
      </w:r>
      <w:r>
        <w:rPr>
          <w:rFonts w:hint="eastAsia"/>
          <w:sz w:val="21"/>
          <w:szCs w:val="21"/>
        </w:rPr>
        <w:t>6. 安全管理：</w:t>
      </w:r>
      <w:r>
        <w:rPr>
          <w:rFonts w:hint="eastAsia"/>
          <w:sz w:val="21"/>
          <w:szCs w:val="21"/>
          <w:lang w:eastAsia="zh-CN"/>
        </w:rPr>
        <w:t>血浆置换</w:t>
      </w:r>
      <w:r>
        <w:rPr>
          <w:rFonts w:hint="eastAsia"/>
          <w:sz w:val="21"/>
          <w:szCs w:val="21"/>
        </w:rPr>
        <w:t>应建立并执行科学的安全管理制度，包括对设备设施的定期检查和维护、对医疗事故的记录和报告、对突发事件的处置等。</w:t>
      </w:r>
      <w:r>
        <w:rPr>
          <w:rFonts w:hint="eastAsia"/>
          <w:sz w:val="21"/>
          <w:szCs w:val="21"/>
        </w:rPr>
        <w:br w:type="textWrapping"/>
      </w:r>
      <w:r>
        <w:rPr>
          <w:rFonts w:hint="eastAsia"/>
          <w:sz w:val="21"/>
          <w:szCs w:val="21"/>
        </w:rPr>
        <w:br w:type="textWrapping"/>
      </w:r>
      <w:r>
        <w:rPr>
          <w:rFonts w:hint="eastAsia"/>
          <w:sz w:val="21"/>
          <w:szCs w:val="21"/>
          <w:lang w:val="en-US" w:eastAsia="zh-CN"/>
        </w:rPr>
        <w:t xml:space="preserve">    </w:t>
      </w:r>
      <w:r>
        <w:rPr>
          <w:rFonts w:hint="eastAsia"/>
          <w:sz w:val="21"/>
          <w:szCs w:val="21"/>
        </w:rPr>
        <w:t>以上是</w:t>
      </w:r>
      <w:r>
        <w:rPr>
          <w:rFonts w:hint="eastAsia"/>
          <w:sz w:val="21"/>
          <w:szCs w:val="21"/>
          <w:lang w:eastAsia="zh-CN"/>
        </w:rPr>
        <w:t>血浆置换</w:t>
      </w:r>
      <w:r>
        <w:rPr>
          <w:rFonts w:hint="eastAsia"/>
          <w:sz w:val="21"/>
          <w:szCs w:val="21"/>
          <w:lang w:val="en-US" w:eastAsia="zh-CN"/>
        </w:rPr>
        <w:t>项目的</w:t>
      </w:r>
      <w:r>
        <w:rPr>
          <w:rFonts w:hint="eastAsia"/>
          <w:sz w:val="21"/>
          <w:szCs w:val="21"/>
          <w:lang w:eastAsia="zh-CN"/>
        </w:rPr>
        <w:t>建设验收</w:t>
      </w:r>
      <w:r>
        <w:rPr>
          <w:rFonts w:hint="eastAsia"/>
          <w:sz w:val="21"/>
          <w:szCs w:val="21"/>
        </w:rPr>
        <w:t>基本标准。在</w:t>
      </w:r>
      <w:r>
        <w:rPr>
          <w:rFonts w:hint="eastAsia"/>
          <w:sz w:val="21"/>
          <w:szCs w:val="21"/>
          <w:lang w:eastAsia="zh-CN"/>
        </w:rPr>
        <w:t>建设验收</w:t>
      </w:r>
      <w:r>
        <w:rPr>
          <w:rFonts w:hint="eastAsia"/>
          <w:sz w:val="21"/>
          <w:szCs w:val="21"/>
        </w:rPr>
        <w:t>过程中，还需进行相应的评估和监测，以确保</w:t>
      </w:r>
      <w:r>
        <w:rPr>
          <w:rFonts w:hint="eastAsia"/>
          <w:sz w:val="21"/>
          <w:szCs w:val="21"/>
          <w:lang w:eastAsia="zh-CN"/>
        </w:rPr>
        <w:t>血浆置换</w:t>
      </w:r>
      <w:r>
        <w:rPr>
          <w:rFonts w:hint="eastAsia"/>
          <w:sz w:val="21"/>
          <w:szCs w:val="21"/>
        </w:rPr>
        <w:t>的质量和安全性。</w:t>
      </w:r>
    </w:p>
    <w:p w14:paraId="48E78FC2">
      <w:pPr>
        <w:pStyle w:val="29"/>
        <w:keepNext w:val="0"/>
        <w:keepLines w:val="0"/>
        <w:pageBreakBefore w:val="0"/>
        <w:widowControl w:val="0"/>
        <w:kinsoku/>
        <w:wordWrap/>
        <w:overflowPunct/>
        <w:topLinePunct w:val="0"/>
        <w:autoSpaceDE/>
        <w:autoSpaceDN/>
        <w:bidi w:val="0"/>
        <w:adjustRightInd w:val="0"/>
        <w:snapToGrid/>
        <w:textAlignment w:val="auto"/>
        <w:rPr>
          <w:rFonts w:hint="eastAsia"/>
          <w:sz w:val="21"/>
          <w:szCs w:val="21"/>
        </w:rPr>
      </w:pPr>
    </w:p>
    <w:p w14:paraId="0F9DBDD5">
      <w:pPr>
        <w:pStyle w:val="29"/>
        <w:keepNext w:val="0"/>
        <w:keepLines w:val="0"/>
        <w:pageBreakBefore w:val="0"/>
        <w:widowControl w:val="0"/>
        <w:kinsoku/>
        <w:wordWrap/>
        <w:overflowPunct/>
        <w:topLinePunct w:val="0"/>
        <w:autoSpaceDE/>
        <w:autoSpaceDN/>
        <w:bidi w:val="0"/>
        <w:adjustRightInd w:val="0"/>
        <w:snapToGrid/>
        <w:textAlignment w:val="auto"/>
        <w:rPr>
          <w:rFonts w:hint="eastAsia"/>
          <w:sz w:val="21"/>
          <w:szCs w:val="21"/>
        </w:rPr>
      </w:pPr>
    </w:p>
    <w:p w14:paraId="57701CA3">
      <w:pPr>
        <w:pStyle w:val="29"/>
        <w:keepNext w:val="0"/>
        <w:keepLines w:val="0"/>
        <w:pageBreakBefore w:val="0"/>
        <w:widowControl w:val="0"/>
        <w:kinsoku/>
        <w:wordWrap/>
        <w:overflowPunct/>
        <w:topLinePunct w:val="0"/>
        <w:autoSpaceDE/>
        <w:autoSpaceDN/>
        <w:bidi w:val="0"/>
        <w:adjustRightInd w:val="0"/>
        <w:snapToGrid/>
        <w:textAlignment w:val="auto"/>
        <w:rPr>
          <w:rFonts w:hint="default"/>
          <w:sz w:val="21"/>
          <w:szCs w:val="21"/>
        </w:rPr>
      </w:pPr>
      <w:r>
        <w:rPr>
          <w:rFonts w:hint="eastAsia"/>
          <w:sz w:val="21"/>
          <w:szCs w:val="21"/>
        </w:rPr>
        <w:t>参</w:t>
      </w:r>
      <w:r>
        <w:rPr>
          <w:rFonts w:hint="eastAsia"/>
          <w:sz w:val="21"/>
          <w:szCs w:val="21"/>
          <w:lang w:val="en-US" w:eastAsia="zh-CN"/>
        </w:rPr>
        <w:t>　</w:t>
      </w:r>
      <w:r>
        <w:rPr>
          <w:rFonts w:hint="eastAsia"/>
          <w:sz w:val="21"/>
          <w:szCs w:val="21"/>
        </w:rPr>
        <w:t>考</w:t>
      </w:r>
      <w:r>
        <w:rPr>
          <w:rFonts w:hint="eastAsia"/>
          <w:sz w:val="21"/>
          <w:szCs w:val="21"/>
          <w:lang w:val="en-US" w:eastAsia="zh-CN"/>
        </w:rPr>
        <w:t>　</w:t>
      </w:r>
      <w:r>
        <w:rPr>
          <w:rFonts w:hint="eastAsia"/>
          <w:sz w:val="21"/>
          <w:szCs w:val="21"/>
        </w:rPr>
        <w:t>文</w:t>
      </w:r>
      <w:r>
        <w:rPr>
          <w:rFonts w:hint="eastAsia"/>
          <w:sz w:val="21"/>
          <w:szCs w:val="21"/>
          <w:lang w:val="en-US" w:eastAsia="zh-CN"/>
        </w:rPr>
        <w:t>　</w:t>
      </w:r>
      <w:r>
        <w:rPr>
          <w:rFonts w:hint="eastAsia"/>
          <w:sz w:val="21"/>
          <w:szCs w:val="21"/>
        </w:rPr>
        <w:t>献</w:t>
      </w:r>
      <w:bookmarkEnd w:id="104"/>
      <w:bookmarkEnd w:id="105"/>
      <w:bookmarkEnd w:id="106"/>
      <w:bookmarkEnd w:id="109"/>
    </w:p>
    <w:bookmarkEnd w:id="54"/>
    <w:bookmarkEnd w:id="77"/>
    <w:p w14:paraId="0F34FF90">
      <w:pPr>
        <w:pStyle w:val="28"/>
        <w:numPr>
          <w:ilvl w:val="0"/>
          <w:numId w:val="27"/>
        </w:numPr>
        <w:tabs>
          <w:tab w:val="left" w:pos="1060"/>
          <w:tab w:val="clear" w:pos="420"/>
        </w:tabs>
        <w:ind w:left="6" w:firstLine="420"/>
        <w:rPr>
          <w:rFonts w:hint="default" w:ascii="宋体" w:hAnsi="宋体" w:eastAsia="宋体" w:cs="宋体"/>
          <w:lang w:val="en-US" w:eastAsia="zh-CN"/>
        </w:rPr>
      </w:pPr>
      <w:r>
        <w:rPr>
          <w:rFonts w:hint="default" w:ascii="宋体" w:hAnsi="宋体" w:eastAsia="宋体" w:cs="宋体"/>
          <w:lang w:val="en-US" w:eastAsia="zh-CN"/>
        </w:rPr>
        <w:t>医疗废物管理条例</w:t>
      </w:r>
      <w:r>
        <w:rPr>
          <w:rFonts w:hint="eastAsia" w:ascii="宋体" w:hAnsi="宋体" w:cs="宋体"/>
          <w:lang w:val="en-US" w:eastAsia="zh-CN"/>
        </w:rPr>
        <w:t xml:space="preserve">. </w:t>
      </w:r>
      <w:r>
        <w:rPr>
          <w:rFonts w:hint="default" w:ascii="宋体" w:hAnsi="宋体" w:eastAsia="宋体" w:cs="宋体"/>
          <w:lang w:val="en-US" w:eastAsia="zh-CN"/>
        </w:rPr>
        <w:t>中华人民共和国国务院令第380号</w:t>
      </w:r>
    </w:p>
    <w:p w14:paraId="02AF5AE3">
      <w:pPr>
        <w:pStyle w:val="28"/>
        <w:numPr>
          <w:ilvl w:val="0"/>
          <w:numId w:val="27"/>
        </w:numPr>
        <w:tabs>
          <w:tab w:val="left" w:pos="1060"/>
          <w:tab w:val="clear" w:pos="420"/>
        </w:tabs>
        <w:ind w:left="6" w:firstLine="420"/>
        <w:rPr>
          <w:rFonts w:hint="eastAsia" w:ascii="宋体" w:hAnsi="宋体" w:eastAsia="宋体" w:cs="宋体"/>
        </w:rPr>
      </w:pPr>
      <w:r>
        <w:rPr>
          <w:rFonts w:hint="eastAsia" w:ascii="宋体" w:hAnsi="宋体" w:eastAsia="宋体" w:cs="宋体"/>
        </w:rPr>
        <w:t>医疗机构病历管理规定</w:t>
      </w:r>
      <w:r>
        <w:rPr>
          <w:rFonts w:hint="eastAsia" w:ascii="宋体" w:hAnsi="宋体" w:cs="宋体"/>
          <w:lang w:val="en-US" w:eastAsia="zh-CN"/>
        </w:rPr>
        <w:t>. 国卫医发</w:t>
      </w:r>
      <w:r>
        <w:rPr>
          <w:rFonts w:hint="eastAsia" w:ascii="宋体" w:hAnsi="宋体" w:eastAsia="宋体" w:cs="宋体"/>
          <w:lang w:val="en-US" w:eastAsia="zh-CN"/>
        </w:rPr>
        <w:t>〔</w:t>
      </w:r>
      <w:r>
        <w:rPr>
          <w:rFonts w:hint="eastAsia" w:ascii="宋体" w:hAnsi="宋体" w:cs="宋体"/>
          <w:lang w:val="en-US" w:eastAsia="zh-CN"/>
        </w:rPr>
        <w:t>2013</w:t>
      </w:r>
      <w:r>
        <w:rPr>
          <w:rFonts w:hint="eastAsia" w:ascii="宋体" w:hAnsi="宋体" w:eastAsia="宋体" w:cs="宋体"/>
          <w:lang w:val="en-US" w:eastAsia="zh-CN"/>
        </w:rPr>
        <w:t>〕</w:t>
      </w:r>
      <w:r>
        <w:rPr>
          <w:rFonts w:hint="eastAsia" w:ascii="宋体" w:hAnsi="宋体" w:cs="宋体"/>
          <w:lang w:val="en-US" w:eastAsia="zh-CN"/>
        </w:rPr>
        <w:t>31</w:t>
      </w:r>
      <w:r>
        <w:rPr>
          <w:rFonts w:hint="eastAsia" w:ascii="宋体" w:hAnsi="宋体" w:eastAsia="宋体" w:cs="宋体"/>
          <w:lang w:val="en-US" w:eastAsia="zh-CN"/>
        </w:rPr>
        <w:t>号</w:t>
      </w:r>
    </w:p>
    <w:p w14:paraId="472FBFE0">
      <w:pPr>
        <w:pStyle w:val="28"/>
        <w:numPr>
          <w:ilvl w:val="0"/>
          <w:numId w:val="27"/>
        </w:numPr>
        <w:tabs>
          <w:tab w:val="left" w:pos="1060"/>
          <w:tab w:val="clear" w:pos="420"/>
        </w:tabs>
        <w:ind w:left="6" w:firstLine="420"/>
        <w:rPr>
          <w:rFonts w:hint="eastAsia" w:ascii="宋体" w:hAnsi="宋体" w:eastAsia="宋体" w:cs="宋体"/>
        </w:rPr>
      </w:pPr>
      <w:r>
        <w:rPr>
          <w:rFonts w:hint="eastAsia" w:ascii="宋体" w:hAnsi="宋体" w:cs="宋体"/>
          <w:lang w:val="en-US" w:eastAsia="zh-CN"/>
        </w:rPr>
        <w:t>血液净化标准操作规程. 国卫办医函</w:t>
      </w:r>
      <w:r>
        <w:rPr>
          <w:rFonts w:hint="eastAsia" w:ascii="宋体" w:hAnsi="宋体" w:eastAsia="宋体" w:cs="宋体"/>
          <w:lang w:val="en-US" w:eastAsia="zh-CN"/>
        </w:rPr>
        <w:t>〔2021〕552号</w:t>
      </w:r>
    </w:p>
    <w:p w14:paraId="7DF7E310">
      <w:pPr>
        <w:pStyle w:val="28"/>
        <w:keepNext w:val="0"/>
        <w:keepLines w:val="0"/>
        <w:pageBreakBefore w:val="0"/>
        <w:widowControl w:val="0"/>
        <w:numPr>
          <w:ilvl w:val="0"/>
          <w:numId w:val="27"/>
        </w:numPr>
        <w:tabs>
          <w:tab w:val="left" w:pos="1060"/>
          <w:tab w:val="clear" w:pos="420"/>
        </w:tabs>
        <w:kinsoku w:val="0"/>
        <w:wordWrap w:val="0"/>
        <w:overflowPunct/>
        <w:topLinePunct w:val="0"/>
        <w:autoSpaceDE/>
        <w:autoSpaceDN/>
        <w:bidi w:val="0"/>
        <w:adjustRightInd w:val="0"/>
        <w:snapToGrid/>
        <w:ind w:left="6" w:firstLine="420"/>
        <w:textAlignment w:val="auto"/>
        <w:rPr>
          <w:rFonts w:hint="eastAsia" w:ascii="宋体" w:hAnsi="宋体" w:eastAsia="宋体" w:cs="宋体"/>
        </w:rPr>
      </w:pPr>
      <w:r>
        <w:rPr>
          <w:rFonts w:hint="eastAsia" w:ascii="宋体" w:hAnsi="宋体" w:eastAsia="宋体" w:cs="宋体"/>
        </w:rPr>
        <w:t>陈香美</w:t>
      </w:r>
      <w:r>
        <w:rPr>
          <w:rFonts w:hint="eastAsia" w:ascii="宋体" w:hAnsi="宋体" w:cs="宋体"/>
          <w:lang w:val="en-US" w:eastAsia="zh-CN"/>
        </w:rPr>
        <w:t xml:space="preserve">. 血液净化标准操作规程[M]. </w:t>
      </w:r>
      <w:r>
        <w:rPr>
          <w:rFonts w:hint="eastAsia" w:ascii="宋体" w:hAnsi="宋体" w:eastAsia="宋体" w:cs="宋体"/>
        </w:rPr>
        <w:t>人民卫生出版社</w:t>
      </w:r>
      <w:r>
        <w:rPr>
          <w:rFonts w:hint="eastAsia" w:ascii="宋体" w:hAnsi="宋体" w:cs="宋体"/>
          <w:lang w:val="en-US" w:eastAsia="zh-CN"/>
        </w:rPr>
        <w:t>,</w:t>
      </w:r>
      <w:r>
        <w:rPr>
          <w:rFonts w:hint="eastAsia" w:ascii="宋体" w:hAnsi="宋体" w:eastAsia="宋体" w:cs="宋体"/>
        </w:rPr>
        <w:t>2021年</w:t>
      </w:r>
      <w:r>
        <w:rPr>
          <w:rFonts w:hint="eastAsia" w:ascii="宋体" w:hAnsi="宋体" w:cs="宋体"/>
          <w:lang w:val="en-US" w:eastAsia="zh-CN"/>
        </w:rPr>
        <w:t>,北京</w:t>
      </w:r>
    </w:p>
    <w:p w14:paraId="039FCC43">
      <w:pPr>
        <w:pStyle w:val="28"/>
        <w:numPr>
          <w:ilvl w:val="0"/>
          <w:numId w:val="27"/>
        </w:numPr>
        <w:tabs>
          <w:tab w:val="left" w:pos="1060"/>
          <w:tab w:val="clear" w:pos="420"/>
        </w:tabs>
        <w:ind w:left="6" w:firstLine="420"/>
        <w:rPr>
          <w:rFonts w:hint="eastAsia" w:ascii="宋体" w:hAnsi="宋体" w:eastAsia="宋体" w:cs="宋体"/>
        </w:rPr>
      </w:pPr>
      <w:r>
        <w:rPr>
          <w:rFonts w:hint="eastAsia" w:ascii="宋体" w:hAnsi="宋体" w:eastAsia="宋体" w:cs="宋体"/>
        </w:rPr>
        <w:t>孙宝妮,张莉,潘龙飞.</w:t>
      </w:r>
      <w:r>
        <w:rPr>
          <w:rFonts w:hint="eastAsia" w:ascii="宋体" w:hAnsi="宋体" w:cs="宋体"/>
          <w:lang w:val="en-US" w:eastAsia="zh-CN"/>
        </w:rPr>
        <w:t xml:space="preserve"> </w:t>
      </w:r>
      <w:r>
        <w:rPr>
          <w:rFonts w:hint="eastAsia" w:ascii="宋体" w:hAnsi="宋体" w:eastAsia="宋体" w:cs="宋体"/>
        </w:rPr>
        <w:t>基于药代动力学的临床常见药物急性中毒血液净化治疗共识[J].</w:t>
      </w:r>
      <w:r>
        <w:rPr>
          <w:rFonts w:hint="eastAsia" w:ascii="宋体" w:hAnsi="宋体" w:cs="宋体"/>
          <w:lang w:val="en-US" w:eastAsia="zh-CN"/>
        </w:rPr>
        <w:t xml:space="preserve"> </w:t>
      </w:r>
      <w:r>
        <w:rPr>
          <w:rFonts w:hint="eastAsia" w:ascii="宋体" w:hAnsi="宋体" w:eastAsia="宋体" w:cs="宋体"/>
        </w:rPr>
        <w:t>中国急救医学,2024,44(11)</w:t>
      </w:r>
      <w:r>
        <w:rPr>
          <w:rFonts w:hint="eastAsia" w:ascii="宋体" w:hAnsi="宋体" w:cs="宋体"/>
          <w:lang w:eastAsia="zh-CN"/>
        </w:rPr>
        <w:t>：</w:t>
      </w:r>
      <w:r>
        <w:rPr>
          <w:rFonts w:hint="eastAsia" w:ascii="宋体" w:hAnsi="宋体" w:eastAsia="宋体" w:cs="宋体"/>
        </w:rPr>
        <w:t>928</w:t>
      </w:r>
      <w:r>
        <w:rPr>
          <w:rFonts w:hint="eastAsia" w:ascii="宋体" w:hAnsi="宋体" w:cs="宋体"/>
          <w:lang w:eastAsia="zh-CN"/>
        </w:rPr>
        <w:t>～</w:t>
      </w:r>
      <w:r>
        <w:rPr>
          <w:rFonts w:hint="eastAsia" w:ascii="宋体" w:hAnsi="宋体" w:eastAsia="宋体" w:cs="宋体"/>
        </w:rPr>
        <w:t>937</w:t>
      </w:r>
    </w:p>
    <w:p w14:paraId="65CCE789">
      <w:pPr>
        <w:pStyle w:val="28"/>
        <w:numPr>
          <w:ilvl w:val="0"/>
          <w:numId w:val="27"/>
        </w:numPr>
        <w:tabs>
          <w:tab w:val="left" w:pos="1060"/>
          <w:tab w:val="clear" w:pos="420"/>
        </w:tabs>
        <w:ind w:left="6" w:firstLine="420"/>
        <w:rPr>
          <w:rFonts w:hint="eastAsia" w:ascii="宋体" w:hAnsi="宋体" w:eastAsia="宋体" w:cs="宋体"/>
        </w:rPr>
      </w:pPr>
      <w:r>
        <w:rPr>
          <w:rFonts w:hint="eastAsia" w:ascii="宋体" w:hAnsi="宋体" w:eastAsia="宋体" w:cs="宋体"/>
        </w:rPr>
        <w:t>中国医师协会肾脏内科医师分会血液透析滤过质控指南工作组.</w:t>
      </w:r>
      <w:r>
        <w:rPr>
          <w:rFonts w:hint="eastAsia" w:ascii="宋体" w:hAnsi="宋体" w:cs="宋体"/>
          <w:lang w:val="en-US" w:eastAsia="zh-CN"/>
        </w:rPr>
        <w:t xml:space="preserve"> </w:t>
      </w:r>
      <w:r>
        <w:rPr>
          <w:rFonts w:hint="eastAsia" w:ascii="宋体" w:hAnsi="宋体" w:eastAsia="宋体" w:cs="宋体"/>
        </w:rPr>
        <w:t>血液透析滤过质量控制临床实践指南[J].</w:t>
      </w:r>
      <w:r>
        <w:rPr>
          <w:rFonts w:hint="eastAsia" w:ascii="宋体" w:hAnsi="宋体" w:cs="宋体"/>
          <w:lang w:val="en-US" w:eastAsia="zh-CN"/>
        </w:rPr>
        <w:t xml:space="preserve"> </w:t>
      </w:r>
      <w:r>
        <w:rPr>
          <w:rFonts w:hint="eastAsia" w:ascii="宋体" w:hAnsi="宋体" w:eastAsia="宋体" w:cs="宋体"/>
        </w:rPr>
        <w:t>中华医学杂志,2024,104(8)</w:t>
      </w:r>
      <w:r>
        <w:rPr>
          <w:rFonts w:hint="eastAsia" w:ascii="宋体" w:hAnsi="宋体" w:cs="宋体"/>
          <w:lang w:eastAsia="zh-CN"/>
        </w:rPr>
        <w:t>：</w:t>
      </w:r>
      <w:r>
        <w:rPr>
          <w:rFonts w:hint="eastAsia" w:ascii="宋体" w:hAnsi="宋体" w:eastAsia="宋体" w:cs="宋体"/>
        </w:rPr>
        <w:t>571</w:t>
      </w:r>
      <w:r>
        <w:rPr>
          <w:rFonts w:hint="eastAsia" w:ascii="宋体" w:hAnsi="宋体" w:cs="宋体"/>
          <w:lang w:eastAsia="zh-CN"/>
        </w:rPr>
        <w:t>～</w:t>
      </w:r>
      <w:r>
        <w:rPr>
          <w:rFonts w:hint="eastAsia" w:ascii="宋体" w:hAnsi="宋体" w:eastAsia="宋体" w:cs="宋体"/>
        </w:rPr>
        <w:t>593</w:t>
      </w:r>
    </w:p>
    <w:p w14:paraId="3BBC8CD6">
      <w:pPr>
        <w:pStyle w:val="28"/>
        <w:numPr>
          <w:ilvl w:val="0"/>
          <w:numId w:val="27"/>
        </w:numPr>
        <w:tabs>
          <w:tab w:val="left" w:pos="1060"/>
          <w:tab w:val="clear" w:pos="420"/>
        </w:tabs>
        <w:ind w:left="6" w:firstLine="420"/>
        <w:rPr>
          <w:rFonts w:hint="eastAsia" w:ascii="宋体" w:hAnsi="宋体" w:eastAsia="宋体" w:cs="宋体"/>
        </w:rPr>
      </w:pPr>
      <w:r>
        <w:rPr>
          <w:rFonts w:hint="eastAsia" w:ascii="宋体" w:hAnsi="宋体" w:eastAsia="宋体" w:cs="宋体"/>
        </w:rPr>
        <w:t>中国重症血液净化协作组.</w:t>
      </w:r>
      <w:r>
        <w:rPr>
          <w:rFonts w:hint="eastAsia" w:ascii="宋体" w:hAnsi="宋体" w:cs="宋体"/>
          <w:lang w:val="en-US" w:eastAsia="zh-CN"/>
        </w:rPr>
        <w:t xml:space="preserve"> </w:t>
      </w:r>
      <w:r>
        <w:rPr>
          <w:rFonts w:hint="eastAsia" w:ascii="宋体" w:hAnsi="宋体" w:eastAsia="宋体" w:cs="宋体"/>
        </w:rPr>
        <w:t>重症血液净化血管通路的建立与应用中国专家共识(2023年</w:t>
      </w:r>
      <w:r>
        <w:rPr>
          <w:rFonts w:hint="eastAsia" w:ascii="宋体" w:hAnsi="宋体" w:cs="宋体"/>
          <w:lang w:val="en-US" w:eastAsia="zh-CN"/>
        </w:rPr>
        <w:t xml:space="preserve">)[J]. </w:t>
      </w:r>
      <w:r>
        <w:rPr>
          <w:rFonts w:hint="eastAsia" w:ascii="宋体" w:hAnsi="宋体" w:eastAsia="宋体" w:cs="宋体"/>
        </w:rPr>
        <w:t>中华医学杂志</w:t>
      </w:r>
      <w:r>
        <w:rPr>
          <w:rFonts w:hint="eastAsia" w:ascii="宋体" w:hAnsi="宋体" w:cs="宋体"/>
          <w:lang w:val="en-US" w:eastAsia="zh-CN"/>
        </w:rPr>
        <w:t>,</w:t>
      </w:r>
      <w:r>
        <w:rPr>
          <w:rFonts w:hint="eastAsia" w:ascii="宋体" w:hAnsi="宋体" w:eastAsia="宋体" w:cs="宋体"/>
        </w:rPr>
        <w:t>2023,103(17);1280</w:t>
      </w:r>
      <w:r>
        <w:rPr>
          <w:rFonts w:hint="eastAsia" w:ascii="宋体" w:hAnsi="宋体" w:cs="宋体"/>
          <w:lang w:eastAsia="zh-CN"/>
        </w:rPr>
        <w:t>～</w:t>
      </w:r>
      <w:r>
        <w:rPr>
          <w:rFonts w:hint="eastAsia" w:ascii="宋体" w:hAnsi="宋体" w:eastAsia="宋体" w:cs="宋体"/>
        </w:rPr>
        <w:t>1295.</w:t>
      </w:r>
    </w:p>
    <w:p w14:paraId="4321092E">
      <w:pPr>
        <w:pStyle w:val="28"/>
        <w:numPr>
          <w:ilvl w:val="0"/>
          <w:numId w:val="0"/>
        </w:numPr>
        <w:tabs>
          <w:tab w:val="left" w:pos="640"/>
        </w:tabs>
        <w:ind w:leftChars="200"/>
        <w:rPr>
          <w:rFonts w:hint="eastAsia" w:ascii="宋体" w:hAnsi="宋体" w:cs="宋体"/>
        </w:rPr>
      </w:pPr>
      <w:r>
        <w:rPr>
          <w:rFonts w:hint="eastAsia" w:ascii="宋体" w:hAnsi="宋体" w:cs="宋体"/>
        </w:rPr>
        <mc:AlternateContent>
          <mc:Choice Requires="wps">
            <w:drawing>
              <wp:anchor distT="0" distB="0" distL="114300" distR="114300" simplePos="0" relativeHeight="251661312" behindDoc="0" locked="0" layoutInCell="1" allowOverlap="1">
                <wp:simplePos x="0" y="0"/>
                <wp:positionH relativeFrom="column">
                  <wp:posOffset>2142490</wp:posOffset>
                </wp:positionH>
                <wp:positionV relativeFrom="paragraph">
                  <wp:posOffset>321310</wp:posOffset>
                </wp:positionV>
                <wp:extent cx="1266825" cy="9525"/>
                <wp:effectExtent l="0" t="0" r="0" b="0"/>
                <wp:wrapNone/>
                <wp:docPr id="10" name="直接连接符 10"/>
                <wp:cNvGraphicFramePr/>
                <a:graphic xmlns:a="http://schemas.openxmlformats.org/drawingml/2006/main">
                  <a:graphicData uri="http://schemas.microsoft.com/office/word/2010/wordprocessingShape">
                    <wps:wsp>
                      <wps:cNvCnPr/>
                      <wps:spPr>
                        <a:xfrm>
                          <a:off x="0" y="0"/>
                          <a:ext cx="12668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68.7pt;margin-top:25.3pt;height:0.75pt;width:99.75pt;z-index:251661312;mso-width-relative:page;mso-height-relative:page;" filled="f" stroked="t" coordsize="21600,21600" o:gfxdata="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kEuFLa&#10;AAAACQEAAA8AAAAAAAAAAQAgAAAAIgAAAGRycy9kb3ducmV2LnhtbFBLAQIUABQAAAAIAIdO4kAg&#10;Kk/I5QEAALcDAAAOAAAAAAAAAAEAIAAAACkBAABkcnMvZTJvRG9jLnhtbFBLBQYAAAAABgAGAFkB&#10;AACABQAAAAA=&#10;">
                <v:fill on="f" focussize="0,0"/>
                <v:stroke weight="1pt" color="#000000 [3200]" miterlimit="8" joinstyle="miter"/>
                <v:imagedata o:title=""/>
                <o:lock v:ext="edit" aspectratio="f"/>
              </v:line>
            </w:pict>
          </mc:Fallback>
        </mc:AlternateContent>
      </w:r>
    </w:p>
    <w:sectPr>
      <w:pgSz w:w="11906" w:h="16838"/>
      <w:pgMar w:top="1984" w:right="1134" w:bottom="1417" w:left="1134" w:header="1417" w:footer="1134"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Songti SC">
    <w:altName w:val="宋体"/>
    <w:panose1 w:val="0201080004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2C2D3">
    <w:pPr>
      <w:pStyle w:val="7"/>
      <w:tabs>
        <w:tab w:val="right" w:pos="9355"/>
        <w:tab w:val="clear" w:pos="4153"/>
      </w:tabs>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E4171">
                          <w:pPr>
                            <w:pStyle w:val="7"/>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V</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88E4171">
                    <w:pPr>
                      <w:pStyle w:val="7"/>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V</w:t>
                    </w:r>
                    <w:r>
                      <w:rPr>
                        <w:rFonts w:hint="eastAsia" w:ascii="宋体" w:hAnsi="宋体" w:cs="宋体"/>
                      </w:rPr>
                      <w:fldChar w:fldCharType="end"/>
                    </w:r>
                  </w:p>
                </w:txbxContent>
              </v:textbox>
            </v:shape>
          </w:pict>
        </mc:Fallback>
      </mc:AlternateContent>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9EA55">
    <w:pPr>
      <w:pStyle w:val="7"/>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24505">
                          <w:pPr>
                            <w:pStyle w:val="7"/>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II</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E424505">
                    <w:pPr>
                      <w:pStyle w:val="7"/>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II</w:t>
                    </w:r>
                    <w:r>
                      <w:rPr>
                        <w:rFonts w:hint="eastAsia" w:ascii="宋体" w:hAnsi="宋体" w:cs="宋体"/>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A91A1">
    <w:pPr>
      <w:spacing w:after="120" w:afterLines="50" w:line="240" w:lineRule="auto"/>
      <w:jc w:val="left"/>
    </w:pPr>
    <w:r>
      <w:rPr>
        <w:rFonts w:hint="eastAsia" w:ascii="黑体" w:hAnsi="黑体" w:eastAsia="黑体" w:cs="黑体"/>
        <w:bCs/>
      </w:rPr>
      <w:t xml:space="preserve">T/CITS </w:t>
    </w:r>
    <w:r>
      <w:rPr>
        <w:rFonts w:ascii="黑体" w:hAnsi="黑体" w:eastAsia="黑体" w:cs="黑体"/>
        <w:bCs/>
      </w:rPr>
      <w:t>XXXX</w:t>
    </w:r>
    <w:r>
      <w:rPr>
        <w:rFonts w:hint="eastAsia" w:ascii="黑体" w:hAnsi="黑体" w:eastAsia="黑体" w:cs="黑体"/>
        <w:bCs/>
      </w:rPr>
      <w:t>—2024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FDBB9">
    <w:pPr>
      <w:spacing w:after="120" w:afterLines="50" w:line="240" w:lineRule="auto"/>
      <w:jc w:val="right"/>
      <w:rPr>
        <w:rFonts w:hint="eastAsia" w:eastAsia="黑体"/>
        <w:lang w:eastAsia="zh-CN"/>
      </w:rPr>
    </w:pPr>
    <w:r>
      <w:rPr>
        <w:rFonts w:hint="eastAsia" w:ascii="黑体" w:hAnsi="黑体" w:eastAsia="黑体" w:cs="黑体"/>
        <w:bCs/>
      </w:rPr>
      <w:t>T/</w:t>
    </w:r>
    <w:r>
      <w:rPr>
        <w:rFonts w:hint="eastAsia" w:ascii="黑体" w:hAnsi="黑体" w:eastAsia="黑体" w:cs="黑体"/>
        <w:bCs/>
        <w:lang w:val="en-US" w:eastAsia="zh-CN"/>
      </w:rPr>
      <w:t>CNHAW</w:t>
    </w:r>
    <w:r>
      <w:rPr>
        <w:rFonts w:hint="eastAsia" w:ascii="黑体" w:hAnsi="黑体" w:eastAsia="黑体" w:cs="黑体"/>
        <w:bCs/>
      </w:rPr>
      <w:t xml:space="preserve"> —</w:t>
    </w:r>
    <w:r>
      <w:rPr>
        <w:rFonts w:hint="eastAsia" w:ascii="黑体" w:hAnsi="黑体" w:eastAsia="黑体" w:cs="黑体"/>
        <w:bCs/>
        <w:lang w:val="en-US" w:eastAsia="zh-CN"/>
      </w:rPr>
      <w:t>B</w:t>
    </w:r>
    <w:r>
      <w:rPr>
        <w:rFonts w:hint="eastAsia" w:ascii="黑体" w:hAnsi="黑体" w:eastAsia="黑体" w:cs="黑体"/>
        <w:bCs/>
      </w:rPr>
      <w:t>—</w:t>
    </w:r>
    <w:r>
      <w:rPr>
        <w:rFonts w:hint="eastAsia" w:ascii="黑体" w:hAnsi="黑体" w:eastAsia="黑体" w:cs="黑体"/>
        <w:bCs/>
        <w:lang w:val="en-US" w:eastAsia="zh-CN"/>
      </w:rPr>
      <w:t>0021</w:t>
    </w:r>
    <w:r>
      <w:rPr>
        <w:rFonts w:hint="eastAsia" w:ascii="黑体" w:hAnsi="黑体" w:eastAsia="黑体" w:cs="黑体"/>
        <w:bCs/>
      </w:rPr>
      <w:t>—202</w:t>
    </w:r>
    <w:r>
      <w:rPr>
        <w:rFonts w:hint="eastAsia" w:ascii="黑体" w:hAnsi="黑体" w:eastAsia="黑体" w:cs="黑体"/>
        <w:bCs/>
        <w:lang w:val="en-US" w:eastAsia="zh-CN"/>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22129">
    <w:pPr>
      <w:spacing w:after="120" w:afterLines="50" w:line="240" w:lineRule="auto"/>
      <w:jc w:val="left"/>
      <w:rPr>
        <w:rFonts w:hint="eastAsia" w:eastAsia="黑体"/>
        <w:lang w:eastAsia="zh-CN"/>
      </w:rPr>
    </w:pPr>
    <w:r>
      <w:rPr>
        <w:rFonts w:hint="eastAsia" w:ascii="黑体" w:hAnsi="黑体" w:eastAsia="黑体" w:cs="黑体"/>
        <w:bCs/>
      </w:rPr>
      <w:t>T/</w:t>
    </w:r>
    <w:r>
      <w:rPr>
        <w:rFonts w:hint="eastAsia" w:ascii="黑体" w:hAnsi="黑体" w:eastAsia="黑体" w:cs="黑体"/>
        <w:bCs/>
        <w:lang w:val="en-US" w:eastAsia="zh-CN"/>
      </w:rPr>
      <w:t>CHNHN</w:t>
    </w:r>
    <w:r>
      <w:rPr>
        <w:rFonts w:hint="eastAsia" w:ascii="黑体" w:hAnsi="黑体" w:eastAsia="黑体" w:cs="黑体"/>
        <w:bCs/>
      </w:rPr>
      <w:t xml:space="preserve"> </w:t>
    </w:r>
    <w:r>
      <w:rPr>
        <w:rFonts w:ascii="黑体" w:hAnsi="黑体" w:eastAsia="黑体" w:cs="黑体"/>
        <w:bCs/>
      </w:rPr>
      <w:t>XXXX</w:t>
    </w:r>
    <w:r>
      <w:rPr>
        <w:rFonts w:hint="eastAsia" w:ascii="黑体" w:hAnsi="黑体" w:eastAsia="黑体" w:cs="黑体"/>
        <w:bCs/>
      </w:rPr>
      <w:t>—202</w:t>
    </w:r>
    <w:r>
      <w:rPr>
        <w:rFonts w:hint="eastAsia" w:ascii="黑体" w:hAnsi="黑体" w:eastAsia="黑体" w:cs="黑体"/>
        <w:bCs/>
        <w:lang w:val="en-US" w:eastAsia="zh-CN"/>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B7847"/>
    <w:multiLevelType w:val="multilevel"/>
    <w:tmpl w:val="9A0B7847"/>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1">
    <w:nsid w:val="9A45AE56"/>
    <w:multiLevelType w:val="singleLevel"/>
    <w:tmpl w:val="9A45AE56"/>
    <w:lvl w:ilvl="0" w:tentative="0">
      <w:start w:val="1"/>
      <w:numFmt w:val="decimal"/>
      <w:suff w:val="space"/>
      <w:lvlText w:val="%1."/>
      <w:lvlJc w:val="left"/>
    </w:lvl>
  </w:abstractNum>
  <w:abstractNum w:abstractNumId="2">
    <w:nsid w:val="9CD48C0A"/>
    <w:multiLevelType w:val="multilevel"/>
    <w:tmpl w:val="9CD48C0A"/>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3">
    <w:nsid w:val="B371A55D"/>
    <w:multiLevelType w:val="multilevel"/>
    <w:tmpl w:val="B371A55D"/>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4">
    <w:nsid w:val="D1D9374E"/>
    <w:multiLevelType w:val="multilevel"/>
    <w:tmpl w:val="D1D9374E"/>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5">
    <w:nsid w:val="DBDDC44F"/>
    <w:multiLevelType w:val="multilevel"/>
    <w:tmpl w:val="DBDDC44F"/>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6">
    <w:nsid w:val="DF7A008D"/>
    <w:multiLevelType w:val="multilevel"/>
    <w:tmpl w:val="DF7A008D"/>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7">
    <w:nsid w:val="F1E730DE"/>
    <w:multiLevelType w:val="multilevel"/>
    <w:tmpl w:val="F1E730DE"/>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8">
    <w:nsid w:val="F43596D7"/>
    <w:multiLevelType w:val="singleLevel"/>
    <w:tmpl w:val="F43596D7"/>
    <w:lvl w:ilvl="0" w:tentative="0">
      <w:start w:val="1"/>
      <w:numFmt w:val="decimal"/>
      <w:lvlText w:val="%1)"/>
      <w:lvlJc w:val="left"/>
      <w:pPr>
        <w:ind w:left="425" w:hanging="425"/>
      </w:pPr>
      <w:rPr>
        <w:rFonts w:hint="default"/>
      </w:rPr>
    </w:lvl>
  </w:abstractNum>
  <w:abstractNum w:abstractNumId="9">
    <w:nsid w:val="FBBD585C"/>
    <w:multiLevelType w:val="multilevel"/>
    <w:tmpl w:val="FBBD585C"/>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10">
    <w:nsid w:val="FD943823"/>
    <w:multiLevelType w:val="multilevel"/>
    <w:tmpl w:val="FD943823"/>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11">
    <w:nsid w:val="0ACB3F1A"/>
    <w:multiLevelType w:val="singleLevel"/>
    <w:tmpl w:val="0ACB3F1A"/>
    <w:lvl w:ilvl="0" w:tentative="0">
      <w:start w:val="1"/>
      <w:numFmt w:val="decimal"/>
      <w:lvlText w:val="%1."/>
      <w:lvlJc w:val="left"/>
      <w:pPr>
        <w:ind w:left="425" w:hanging="425"/>
      </w:pPr>
      <w:rPr>
        <w:rFonts w:hint="default"/>
      </w:rPr>
    </w:lvl>
  </w:abstractNum>
  <w:abstractNum w:abstractNumId="12">
    <w:nsid w:val="0AD2ACA3"/>
    <w:multiLevelType w:val="singleLevel"/>
    <w:tmpl w:val="0AD2ACA3"/>
    <w:lvl w:ilvl="0" w:tentative="0">
      <w:start w:val="1"/>
      <w:numFmt w:val="decimal"/>
      <w:lvlText w:val="[%1]"/>
      <w:lvlJc w:val="left"/>
      <w:pPr>
        <w:tabs>
          <w:tab w:val="left" w:pos="420"/>
        </w:tabs>
        <w:ind w:left="425" w:hanging="425"/>
      </w:pPr>
      <w:rPr>
        <w:rFonts w:hint="default"/>
      </w:rPr>
    </w:lvl>
  </w:abstractNum>
  <w:abstractNum w:abstractNumId="13">
    <w:nsid w:val="1E3C2409"/>
    <w:multiLevelType w:val="multilevel"/>
    <w:tmpl w:val="1E3C2409"/>
    <w:lvl w:ilvl="0" w:tentative="0">
      <w:start w:val="1"/>
      <w:numFmt w:val="lowerLetter"/>
      <w:pStyle w:val="35"/>
      <w:lvlText w:val="%1)"/>
      <w:lvlJc w:val="left"/>
      <w:pPr>
        <w:ind w:left="780" w:hanging="360"/>
      </w:pPr>
      <w:rPr>
        <w:rFonts w:hint="eastAsia" w:ascii="宋体" w:hAnsi="宋体" w:eastAsia="宋体" w:cs="宋体"/>
        <w:color w:val="auto"/>
        <w:sz w:val="21"/>
        <w:szCs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2E32610F"/>
    <w:multiLevelType w:val="multilevel"/>
    <w:tmpl w:val="2E32610F"/>
    <w:lvl w:ilvl="0" w:tentative="0">
      <w:start w:val="1"/>
      <w:numFmt w:val="decimal"/>
      <w:pStyle w:val="47"/>
      <w:lvlText w:val="图%1 "/>
      <w:lvlJc w:val="left"/>
      <w:pPr>
        <w:ind w:left="220" w:hanging="420"/>
      </w:pPr>
      <w:rPr>
        <w:rFonts w:hint="default" w:ascii="Times New Roman" w:hAnsi="Times New Roman" w:eastAsia="黑体"/>
        <w:sz w:val="21"/>
        <w:u w:val="none" w:color="auto"/>
      </w:rPr>
    </w:lvl>
    <w:lvl w:ilvl="1" w:tentative="0">
      <w:start w:val="1"/>
      <w:numFmt w:val="lowerLetter"/>
      <w:lvlText w:val="%2)"/>
      <w:lvlJc w:val="left"/>
      <w:pPr>
        <w:ind w:left="640" w:hanging="420"/>
      </w:pPr>
      <w:rPr>
        <w:rFonts w:hint="default"/>
        <w:u w:val="none" w:color="auto"/>
      </w:rPr>
    </w:lvl>
    <w:lvl w:ilvl="2" w:tentative="0">
      <w:start w:val="1"/>
      <w:numFmt w:val="lowerRoman"/>
      <w:lvlText w:val="%3."/>
      <w:lvlJc w:val="right"/>
      <w:pPr>
        <w:ind w:left="1060" w:hanging="420"/>
      </w:pPr>
      <w:rPr>
        <w:rFonts w:hint="default"/>
        <w:u w:val="none" w:color="auto"/>
      </w:rPr>
    </w:lvl>
    <w:lvl w:ilvl="3" w:tentative="0">
      <w:start w:val="1"/>
      <w:numFmt w:val="decimal"/>
      <w:lvlText w:val="%4."/>
      <w:lvlJc w:val="left"/>
      <w:pPr>
        <w:ind w:left="1480" w:hanging="420"/>
      </w:pPr>
      <w:rPr>
        <w:rFonts w:hint="default"/>
        <w:u w:val="none" w:color="auto"/>
      </w:rPr>
    </w:lvl>
    <w:lvl w:ilvl="4" w:tentative="0">
      <w:start w:val="1"/>
      <w:numFmt w:val="lowerLetter"/>
      <w:lvlText w:val="%5)"/>
      <w:lvlJc w:val="left"/>
      <w:pPr>
        <w:ind w:left="1900" w:hanging="420"/>
      </w:pPr>
      <w:rPr>
        <w:rFonts w:hint="default"/>
        <w:u w:val="none" w:color="auto"/>
      </w:rPr>
    </w:lvl>
    <w:lvl w:ilvl="5" w:tentative="0">
      <w:start w:val="1"/>
      <w:numFmt w:val="lowerRoman"/>
      <w:lvlText w:val="%6."/>
      <w:lvlJc w:val="right"/>
      <w:pPr>
        <w:ind w:left="2320" w:hanging="420"/>
      </w:pPr>
      <w:rPr>
        <w:rFonts w:hint="default"/>
        <w:u w:val="none" w:color="auto"/>
      </w:rPr>
    </w:lvl>
    <w:lvl w:ilvl="6" w:tentative="0">
      <w:start w:val="1"/>
      <w:numFmt w:val="decimal"/>
      <w:lvlText w:val="%7."/>
      <w:lvlJc w:val="left"/>
      <w:pPr>
        <w:ind w:left="2740" w:hanging="420"/>
      </w:pPr>
      <w:rPr>
        <w:rFonts w:hint="default"/>
        <w:u w:val="none" w:color="auto"/>
      </w:rPr>
    </w:lvl>
    <w:lvl w:ilvl="7" w:tentative="0">
      <w:start w:val="1"/>
      <w:numFmt w:val="lowerLetter"/>
      <w:lvlText w:val="%8)"/>
      <w:lvlJc w:val="left"/>
      <w:pPr>
        <w:ind w:left="3160" w:hanging="420"/>
      </w:pPr>
      <w:rPr>
        <w:rFonts w:hint="default"/>
        <w:u w:val="none" w:color="auto"/>
      </w:rPr>
    </w:lvl>
    <w:lvl w:ilvl="8" w:tentative="0">
      <w:start w:val="1"/>
      <w:numFmt w:val="lowerRoman"/>
      <w:lvlText w:val="%9."/>
      <w:lvlJc w:val="right"/>
      <w:pPr>
        <w:ind w:left="3580" w:hanging="420"/>
      </w:pPr>
      <w:rPr>
        <w:rFonts w:hint="default"/>
        <w:u w:val="none" w:color="auto"/>
      </w:rPr>
    </w:lvl>
  </w:abstractNum>
  <w:abstractNum w:abstractNumId="15">
    <w:nsid w:val="3D1C17D8"/>
    <w:multiLevelType w:val="multilevel"/>
    <w:tmpl w:val="3D1C17D8"/>
    <w:lvl w:ilvl="0" w:tentative="0">
      <w:start w:val="1"/>
      <w:numFmt w:val="decimal"/>
      <w:pStyle w:val="48"/>
      <w:lvlText w:val="表%1 "/>
      <w:lvlJc w:val="left"/>
      <w:pPr>
        <w:ind w:left="420" w:hanging="420"/>
      </w:pPr>
      <w:rPr>
        <w:rFonts w:hint="default" w:ascii="Times New Roman" w:hAnsi="Times New Roman" w:eastAsia="黑体"/>
        <w:sz w:val="21"/>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abstractNum w:abstractNumId="16">
    <w:nsid w:val="4738B6A2"/>
    <w:multiLevelType w:val="multilevel"/>
    <w:tmpl w:val="4738B6A2"/>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17">
    <w:nsid w:val="49459C97"/>
    <w:multiLevelType w:val="multilevel"/>
    <w:tmpl w:val="49459C97"/>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18">
    <w:nsid w:val="6937717E"/>
    <w:multiLevelType w:val="multilevel"/>
    <w:tmpl w:val="6937717E"/>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19">
    <w:nsid w:val="6CEA2025"/>
    <w:multiLevelType w:val="multilevel"/>
    <w:tmpl w:val="6CEA2025"/>
    <w:lvl w:ilvl="0" w:tentative="0">
      <w:start w:val="1"/>
      <w:numFmt w:val="none"/>
      <w:suff w:val="nothing"/>
      <w:lvlText w:val="%1"/>
      <w:lvlJc w:val="left"/>
      <w:pPr>
        <w:ind w:left="0" w:firstLine="0"/>
      </w:pPr>
    </w:lvl>
    <w:lvl w:ilvl="1" w:tentative="0">
      <w:start w:val="1"/>
      <w:numFmt w:val="decimal"/>
      <w:pStyle w:val="32"/>
      <w:suff w:val="nothing"/>
      <w:lvlText w:val="%1%2　"/>
      <w:lvlJc w:val="left"/>
      <w:pPr>
        <w:ind w:left="2694" w:firstLine="0"/>
      </w:pPr>
      <w:rPr>
        <w:rFonts w:hint="eastAsia" w:ascii="黑体" w:hAnsi="Times New Roman" w:eastAsia="黑体"/>
        <w:b w:val="0"/>
        <w:i w:val="0"/>
        <w:sz w:val="21"/>
      </w:rPr>
    </w:lvl>
    <w:lvl w:ilvl="2" w:tentative="0">
      <w:start w:val="1"/>
      <w:numFmt w:val="decimal"/>
      <w:pStyle w:val="3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color w:val="auto"/>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20">
    <w:nsid w:val="6D478784"/>
    <w:multiLevelType w:val="multilevel"/>
    <w:tmpl w:val="6D478784"/>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21">
    <w:nsid w:val="7099CBF4"/>
    <w:multiLevelType w:val="multilevel"/>
    <w:tmpl w:val="7099CBF4"/>
    <w:lvl w:ilvl="0" w:tentative="0">
      <w:start w:val="1"/>
      <w:numFmt w:val="upperLetter"/>
      <w:suff w:val="nothing"/>
      <w:lvlText w:val="附　录　%1"/>
      <w:lvlJc w:val="left"/>
      <w:pPr>
        <w:ind w:left="0" w:firstLine="0"/>
      </w:pPr>
      <w:rPr>
        <w:rFonts w:hint="eastAsia" w:ascii="黑体" w:hAnsi="Times New Roman" w:eastAsia="黑体" w:cs="黑体"/>
        <w:b w:val="0"/>
        <w:i w:val="0"/>
        <w:spacing w:val="0"/>
        <w:sz w:val="21"/>
        <w:szCs w:val="21"/>
      </w:rPr>
    </w:lvl>
    <w:lvl w:ilvl="1" w:tentative="0">
      <w:start w:val="1"/>
      <w:numFmt w:val="decimal"/>
      <w:suff w:val="nothing"/>
      <w:lvlText w:val="%1.%2　"/>
      <w:lvlJc w:val="left"/>
      <w:pPr>
        <w:ind w:left="0" w:firstLine="0"/>
      </w:pPr>
      <w:rPr>
        <w:rFonts w:hint="eastAsia" w:ascii="黑体" w:hAnsi="Times New Roman" w:eastAsia="黑体" w:cs="黑体"/>
        <w:b w:val="0"/>
        <w:i w:val="0"/>
        <w:spacing w:val="0"/>
        <w:kern w:val="21"/>
        <w:sz w:val="21"/>
        <w:szCs w:val="21"/>
      </w:rPr>
    </w:lvl>
    <w:lvl w:ilvl="2" w:tentative="0">
      <w:start w:val="1"/>
      <w:numFmt w:val="decimal"/>
      <w:suff w:val="nothing"/>
      <w:lvlText w:val="%1.%2.%3　"/>
      <w:lvlJc w:val="left"/>
      <w:pPr>
        <w:ind w:left="0" w:firstLine="0"/>
      </w:pPr>
      <w:rPr>
        <w:rFonts w:hint="eastAsia" w:ascii="黑体" w:hAnsi="Times New Roman" w:eastAsia="黑体" w:cs="黑体"/>
        <w:b w:val="0"/>
        <w:i w:val="0"/>
        <w:sz w:val="21"/>
        <w:szCs w:val="21"/>
      </w:rPr>
    </w:lvl>
    <w:lvl w:ilvl="3" w:tentative="0">
      <w:start w:val="1"/>
      <w:numFmt w:val="decimal"/>
      <w:suff w:val="nothing"/>
      <w:lvlText w:val="%1.%2.%3.%4　"/>
      <w:lvlJc w:val="left"/>
      <w:pPr>
        <w:ind w:left="0" w:firstLine="0"/>
      </w:pPr>
      <w:rPr>
        <w:rFonts w:hint="eastAsia" w:ascii="黑体" w:hAnsi="Times New Roman" w:eastAsia="黑体" w:cs="黑体"/>
        <w:b w:val="0"/>
        <w:i w:val="0"/>
        <w:sz w:val="21"/>
        <w:szCs w:val="21"/>
      </w:rPr>
    </w:lvl>
    <w:lvl w:ilvl="4" w:tentative="0">
      <w:start w:val="1"/>
      <w:numFmt w:val="decimal"/>
      <w:suff w:val="nothing"/>
      <w:lvlText w:val="%1.%2.%3.%4.%5　"/>
      <w:lvlJc w:val="left"/>
      <w:pPr>
        <w:ind w:left="0" w:firstLine="0"/>
      </w:pPr>
      <w:rPr>
        <w:rFonts w:hint="eastAsia" w:ascii="黑体" w:hAnsi="Times New Roman" w:eastAsia="黑体" w:cs="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cs="黑体"/>
        <w:b w:val="0"/>
        <w:i w:val="0"/>
        <w:sz w:val="21"/>
        <w:szCs w:val="21"/>
      </w:rPr>
    </w:lvl>
    <w:lvl w:ilvl="6" w:tentative="0">
      <w:start w:val="1"/>
      <w:numFmt w:val="decimal"/>
      <w:suff w:val="nothing"/>
      <w:lvlText w:val="%1.%2.%3.%4.%5.%6.%7　"/>
      <w:lvlJc w:val="left"/>
      <w:pPr>
        <w:ind w:left="0" w:firstLine="0"/>
      </w:pPr>
      <w:rPr>
        <w:rFonts w:hint="eastAsia" w:ascii="黑体" w:hAnsi="Times New Roman" w:eastAsia="黑体" w:cs="黑体"/>
        <w:b w:val="0"/>
        <w:i w:val="0"/>
        <w:sz w:val="21"/>
        <w:szCs w:val="21"/>
      </w:rPr>
    </w:lvl>
    <w:lvl w:ilvl="7" w:tentative="0">
      <w:start w:val="1"/>
      <w:numFmt w:val="decimal"/>
      <w:lvlText w:val="%1.%2.%3.%4.%5.%6.%7.%8"/>
      <w:lvlJc w:val="left"/>
      <w:pPr>
        <w:tabs>
          <w:tab w:val="left" w:pos="4394"/>
        </w:tabs>
        <w:ind w:left="4394" w:hanging="1418"/>
      </w:pPr>
      <w:rPr>
        <w:rFonts w:hint="eastAsia" w:ascii="宋体" w:hAnsi="宋体" w:eastAsia="宋体" w:cs="宋体"/>
      </w:rPr>
    </w:lvl>
    <w:lvl w:ilvl="8" w:tentative="0">
      <w:start w:val="1"/>
      <w:numFmt w:val="decimal"/>
      <w:lvlText w:val="%1.%2.%3.%4.%5.%6.%7.%8.%9"/>
      <w:lvlJc w:val="left"/>
      <w:pPr>
        <w:tabs>
          <w:tab w:val="left" w:pos="5102"/>
        </w:tabs>
        <w:ind w:left="5102" w:hanging="1700"/>
      </w:pPr>
      <w:rPr>
        <w:rFonts w:hint="eastAsia" w:ascii="宋体" w:hAnsi="宋体" w:eastAsia="宋体" w:cs="宋体"/>
      </w:rPr>
    </w:lvl>
  </w:abstractNum>
  <w:abstractNum w:abstractNumId="22">
    <w:nsid w:val="71858D1A"/>
    <w:multiLevelType w:val="multilevel"/>
    <w:tmpl w:val="71858D1A"/>
    <w:lvl w:ilvl="0" w:tentative="0">
      <w:start w:val="1"/>
      <w:numFmt w:val="lowerLetter"/>
      <w:lvlText w:val="%1)"/>
      <w:lvlJc w:val="left"/>
      <w:pPr>
        <w:ind w:left="780" w:hanging="360"/>
      </w:pPr>
      <w:rPr>
        <w:rFonts w:hint="eastAsia" w:ascii="宋体" w:hAnsi="宋体" w:eastAsia="宋体" w:cs="宋体"/>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23">
    <w:nsid w:val="72FA6A68"/>
    <w:multiLevelType w:val="singleLevel"/>
    <w:tmpl w:val="72FA6A68"/>
    <w:lvl w:ilvl="0" w:tentative="0">
      <w:start w:val="1"/>
      <w:numFmt w:val="decimal"/>
      <w:lvlText w:val="%1."/>
      <w:lvlJc w:val="left"/>
      <w:pPr>
        <w:ind w:left="425" w:hanging="425"/>
      </w:pPr>
      <w:rPr>
        <w:rFonts w:hint="default"/>
      </w:rPr>
    </w:lvl>
  </w:abstractNum>
  <w:abstractNum w:abstractNumId="24">
    <w:nsid w:val="73BE1BAB"/>
    <w:multiLevelType w:val="singleLevel"/>
    <w:tmpl w:val="73BE1BAB"/>
    <w:lvl w:ilvl="0" w:tentative="0">
      <w:start w:val="1"/>
      <w:numFmt w:val="decimal"/>
      <w:lvlText w:val="%1)"/>
      <w:lvlJc w:val="left"/>
      <w:pPr>
        <w:ind w:left="425" w:hanging="425"/>
      </w:pPr>
      <w:rPr>
        <w:rFonts w:hint="default"/>
      </w:rPr>
    </w:lvl>
  </w:abstractNum>
  <w:abstractNum w:abstractNumId="25">
    <w:nsid w:val="759AA616"/>
    <w:multiLevelType w:val="singleLevel"/>
    <w:tmpl w:val="759AA616"/>
    <w:lvl w:ilvl="0" w:tentative="0">
      <w:start w:val="1"/>
      <w:numFmt w:val="decimal"/>
      <w:lvlText w:val="%1)"/>
      <w:lvlJc w:val="left"/>
      <w:pPr>
        <w:ind w:left="425" w:hanging="425"/>
      </w:pPr>
      <w:rPr>
        <w:rFonts w:hint="default"/>
      </w:rPr>
    </w:lvl>
  </w:abstractNum>
  <w:num w:numId="1">
    <w:abstractNumId w:val="1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5"/>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num>
  <w:num w:numId="8">
    <w:abstractNumId w:val="17"/>
  </w:num>
  <w:num w:numId="9">
    <w:abstractNumId w:val="16"/>
  </w:num>
  <w:num w:numId="10">
    <w:abstractNumId w:val="4"/>
  </w:num>
  <w:num w:numId="11">
    <w:abstractNumId w:val="18"/>
  </w:num>
  <w:num w:numId="12">
    <w:abstractNumId w:val="6"/>
  </w:num>
  <w:num w:numId="13">
    <w:abstractNumId w:val="8"/>
  </w:num>
  <w:num w:numId="14">
    <w:abstractNumId w:val="25"/>
  </w:num>
  <w:num w:numId="15">
    <w:abstractNumId w:val="22"/>
  </w:num>
  <w:num w:numId="16">
    <w:abstractNumId w:val="5"/>
  </w:num>
  <w:num w:numId="17">
    <w:abstractNumId w:val="24"/>
  </w:num>
  <w:num w:numId="18">
    <w:abstractNumId w:val="0"/>
  </w:num>
  <w:num w:numId="19">
    <w:abstractNumId w:val="20"/>
  </w:num>
  <w:num w:numId="20">
    <w:abstractNumId w:val="2"/>
  </w:num>
  <w:num w:numId="21">
    <w:abstractNumId w:val="3"/>
  </w:num>
  <w:num w:numId="22">
    <w:abstractNumId w:val="21"/>
  </w:num>
  <w:num w:numId="23">
    <w:abstractNumId w:val="11"/>
  </w:num>
  <w:num w:numId="24">
    <w:abstractNumId w:val="23"/>
  </w:num>
  <w:num w:numId="25">
    <w:abstractNumId w:val="10"/>
  </w:num>
  <w:num w:numId="26">
    <w:abstractNumId w:val="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5MDEyZmZlOWE3OTIwZWIyZGY2ZWJlZTY4YWYzZTcifQ=="/>
  </w:docVars>
  <w:rsids>
    <w:rsidRoot w:val="00172A27"/>
    <w:rsid w:val="000274EE"/>
    <w:rsid w:val="00027C56"/>
    <w:rsid w:val="00054640"/>
    <w:rsid w:val="00065EDF"/>
    <w:rsid w:val="00066CFE"/>
    <w:rsid w:val="000A5048"/>
    <w:rsid w:val="00100DF3"/>
    <w:rsid w:val="0014248B"/>
    <w:rsid w:val="00167CFE"/>
    <w:rsid w:val="00210EFA"/>
    <w:rsid w:val="00216E83"/>
    <w:rsid w:val="00224F35"/>
    <w:rsid w:val="002458C9"/>
    <w:rsid w:val="0025155B"/>
    <w:rsid w:val="0026176C"/>
    <w:rsid w:val="00276AC2"/>
    <w:rsid w:val="0028416B"/>
    <w:rsid w:val="002B1BF1"/>
    <w:rsid w:val="002C357C"/>
    <w:rsid w:val="002E1BB1"/>
    <w:rsid w:val="0030685F"/>
    <w:rsid w:val="00312D0A"/>
    <w:rsid w:val="003363CB"/>
    <w:rsid w:val="003C69B2"/>
    <w:rsid w:val="003D58BD"/>
    <w:rsid w:val="003F108B"/>
    <w:rsid w:val="00403363"/>
    <w:rsid w:val="004172B1"/>
    <w:rsid w:val="00421AEC"/>
    <w:rsid w:val="0046235C"/>
    <w:rsid w:val="004D1FC3"/>
    <w:rsid w:val="00556D4A"/>
    <w:rsid w:val="005B0BAD"/>
    <w:rsid w:val="005D295F"/>
    <w:rsid w:val="005D4433"/>
    <w:rsid w:val="005E231B"/>
    <w:rsid w:val="005E256A"/>
    <w:rsid w:val="0060738C"/>
    <w:rsid w:val="00607566"/>
    <w:rsid w:val="00610BC5"/>
    <w:rsid w:val="00647BE4"/>
    <w:rsid w:val="00677B5B"/>
    <w:rsid w:val="0069308D"/>
    <w:rsid w:val="006D3E56"/>
    <w:rsid w:val="007161ED"/>
    <w:rsid w:val="007210A0"/>
    <w:rsid w:val="007D0F4E"/>
    <w:rsid w:val="007D38CD"/>
    <w:rsid w:val="008066EC"/>
    <w:rsid w:val="00807D84"/>
    <w:rsid w:val="008508B4"/>
    <w:rsid w:val="008F0DC8"/>
    <w:rsid w:val="00903CCF"/>
    <w:rsid w:val="00914FB0"/>
    <w:rsid w:val="00952BAC"/>
    <w:rsid w:val="00956AD2"/>
    <w:rsid w:val="009B3BAD"/>
    <w:rsid w:val="009B62C2"/>
    <w:rsid w:val="009C6056"/>
    <w:rsid w:val="00A2118D"/>
    <w:rsid w:val="00A71042"/>
    <w:rsid w:val="00A91E39"/>
    <w:rsid w:val="00A91F47"/>
    <w:rsid w:val="00AB7D5C"/>
    <w:rsid w:val="00AF0781"/>
    <w:rsid w:val="00AF07C6"/>
    <w:rsid w:val="00B24BC2"/>
    <w:rsid w:val="00B847D5"/>
    <w:rsid w:val="00B9297A"/>
    <w:rsid w:val="00BC6686"/>
    <w:rsid w:val="00BE1FF9"/>
    <w:rsid w:val="00BF0AE7"/>
    <w:rsid w:val="00C10F5B"/>
    <w:rsid w:val="00C21DAA"/>
    <w:rsid w:val="00C223D9"/>
    <w:rsid w:val="00C4101D"/>
    <w:rsid w:val="00C6352B"/>
    <w:rsid w:val="00C8023C"/>
    <w:rsid w:val="00CD6BF4"/>
    <w:rsid w:val="00D00526"/>
    <w:rsid w:val="00D32A35"/>
    <w:rsid w:val="00D45637"/>
    <w:rsid w:val="00D5285B"/>
    <w:rsid w:val="00D94FEA"/>
    <w:rsid w:val="00DC74A5"/>
    <w:rsid w:val="00DF2630"/>
    <w:rsid w:val="00E06FF9"/>
    <w:rsid w:val="00E25821"/>
    <w:rsid w:val="00F04BC4"/>
    <w:rsid w:val="00F32732"/>
    <w:rsid w:val="00F34238"/>
    <w:rsid w:val="00F52A31"/>
    <w:rsid w:val="00F77FC1"/>
    <w:rsid w:val="00FB0132"/>
    <w:rsid w:val="00FB27E0"/>
    <w:rsid w:val="00FC6ED8"/>
    <w:rsid w:val="016D4D19"/>
    <w:rsid w:val="01941CF6"/>
    <w:rsid w:val="01D86637"/>
    <w:rsid w:val="023C4E17"/>
    <w:rsid w:val="02A14C7A"/>
    <w:rsid w:val="030E3E6A"/>
    <w:rsid w:val="03777BA7"/>
    <w:rsid w:val="03C2134C"/>
    <w:rsid w:val="03D8740D"/>
    <w:rsid w:val="0476557F"/>
    <w:rsid w:val="04837007"/>
    <w:rsid w:val="04956114"/>
    <w:rsid w:val="04E02692"/>
    <w:rsid w:val="04EB3964"/>
    <w:rsid w:val="052B6753"/>
    <w:rsid w:val="053A6133"/>
    <w:rsid w:val="05683E1A"/>
    <w:rsid w:val="05882122"/>
    <w:rsid w:val="05AF71B0"/>
    <w:rsid w:val="062D62C2"/>
    <w:rsid w:val="06412A1A"/>
    <w:rsid w:val="06803F2A"/>
    <w:rsid w:val="06EA3060"/>
    <w:rsid w:val="070E6657"/>
    <w:rsid w:val="073C1416"/>
    <w:rsid w:val="07580619"/>
    <w:rsid w:val="075A7AEE"/>
    <w:rsid w:val="077A5BCC"/>
    <w:rsid w:val="07C1191B"/>
    <w:rsid w:val="080C0DE8"/>
    <w:rsid w:val="083D71F3"/>
    <w:rsid w:val="08B0354A"/>
    <w:rsid w:val="08D00067"/>
    <w:rsid w:val="09252221"/>
    <w:rsid w:val="09300B06"/>
    <w:rsid w:val="093131AD"/>
    <w:rsid w:val="09410F65"/>
    <w:rsid w:val="099B4DD8"/>
    <w:rsid w:val="09E45325"/>
    <w:rsid w:val="0A1503F0"/>
    <w:rsid w:val="0A1B3564"/>
    <w:rsid w:val="0A9E65E3"/>
    <w:rsid w:val="0AC260D6"/>
    <w:rsid w:val="0B09160F"/>
    <w:rsid w:val="0B253D93"/>
    <w:rsid w:val="0B461901"/>
    <w:rsid w:val="0BD63732"/>
    <w:rsid w:val="0C4E164A"/>
    <w:rsid w:val="0C7C0802"/>
    <w:rsid w:val="0C9561C7"/>
    <w:rsid w:val="0C970E9C"/>
    <w:rsid w:val="0C9767FC"/>
    <w:rsid w:val="0CD520F0"/>
    <w:rsid w:val="0D3606B5"/>
    <w:rsid w:val="0D44589F"/>
    <w:rsid w:val="0E8D7FE7"/>
    <w:rsid w:val="0F184516"/>
    <w:rsid w:val="0F227602"/>
    <w:rsid w:val="0F3A575C"/>
    <w:rsid w:val="0FA638D0"/>
    <w:rsid w:val="110C3C07"/>
    <w:rsid w:val="1111121D"/>
    <w:rsid w:val="113A5716"/>
    <w:rsid w:val="11653AD7"/>
    <w:rsid w:val="11662604"/>
    <w:rsid w:val="11B06C88"/>
    <w:rsid w:val="11EE5A02"/>
    <w:rsid w:val="128B3251"/>
    <w:rsid w:val="13095DED"/>
    <w:rsid w:val="133A02F8"/>
    <w:rsid w:val="136C3083"/>
    <w:rsid w:val="138B606A"/>
    <w:rsid w:val="13E3472E"/>
    <w:rsid w:val="1433449A"/>
    <w:rsid w:val="14524026"/>
    <w:rsid w:val="146B4ED3"/>
    <w:rsid w:val="14942891"/>
    <w:rsid w:val="15063063"/>
    <w:rsid w:val="152C0D1B"/>
    <w:rsid w:val="1573694A"/>
    <w:rsid w:val="15787ABD"/>
    <w:rsid w:val="15C72899"/>
    <w:rsid w:val="15F13D13"/>
    <w:rsid w:val="161A56B3"/>
    <w:rsid w:val="16787F37"/>
    <w:rsid w:val="17B95FAA"/>
    <w:rsid w:val="182A75BF"/>
    <w:rsid w:val="18337C0C"/>
    <w:rsid w:val="183F2B14"/>
    <w:rsid w:val="18932E60"/>
    <w:rsid w:val="18B51DF5"/>
    <w:rsid w:val="19535DCC"/>
    <w:rsid w:val="199944A6"/>
    <w:rsid w:val="19FB0CBC"/>
    <w:rsid w:val="1A0F29BA"/>
    <w:rsid w:val="1A45221E"/>
    <w:rsid w:val="1AD27C6F"/>
    <w:rsid w:val="1BC01CE8"/>
    <w:rsid w:val="1C024584"/>
    <w:rsid w:val="1C1D5511"/>
    <w:rsid w:val="1C566239"/>
    <w:rsid w:val="1C7F7983"/>
    <w:rsid w:val="1D84721B"/>
    <w:rsid w:val="1DEB1048"/>
    <w:rsid w:val="1DFC3DAF"/>
    <w:rsid w:val="1ED64F3D"/>
    <w:rsid w:val="1F2E5690"/>
    <w:rsid w:val="1F3A4035"/>
    <w:rsid w:val="1F444825"/>
    <w:rsid w:val="1F9519CD"/>
    <w:rsid w:val="1FAC649A"/>
    <w:rsid w:val="1FF66791"/>
    <w:rsid w:val="1FFC1CD6"/>
    <w:rsid w:val="200831DC"/>
    <w:rsid w:val="200E169E"/>
    <w:rsid w:val="207502E6"/>
    <w:rsid w:val="20A976C4"/>
    <w:rsid w:val="21311468"/>
    <w:rsid w:val="2149055F"/>
    <w:rsid w:val="216D43E4"/>
    <w:rsid w:val="21A8797C"/>
    <w:rsid w:val="21B55BF5"/>
    <w:rsid w:val="22714212"/>
    <w:rsid w:val="229F3299"/>
    <w:rsid w:val="234F5BD5"/>
    <w:rsid w:val="2375388E"/>
    <w:rsid w:val="23D507D0"/>
    <w:rsid w:val="24147336"/>
    <w:rsid w:val="244D65B8"/>
    <w:rsid w:val="244F0582"/>
    <w:rsid w:val="247022A7"/>
    <w:rsid w:val="24885842"/>
    <w:rsid w:val="249E338A"/>
    <w:rsid w:val="24B228BF"/>
    <w:rsid w:val="25496879"/>
    <w:rsid w:val="25944258"/>
    <w:rsid w:val="25A119FC"/>
    <w:rsid w:val="25CD79B1"/>
    <w:rsid w:val="26040EF9"/>
    <w:rsid w:val="26225711"/>
    <w:rsid w:val="262B0B7B"/>
    <w:rsid w:val="26543C2E"/>
    <w:rsid w:val="26BB3D7E"/>
    <w:rsid w:val="26CA3EF0"/>
    <w:rsid w:val="27A52B16"/>
    <w:rsid w:val="27B22053"/>
    <w:rsid w:val="29B50E88"/>
    <w:rsid w:val="29F0400B"/>
    <w:rsid w:val="2A9439C3"/>
    <w:rsid w:val="2BEB6589"/>
    <w:rsid w:val="2C190E99"/>
    <w:rsid w:val="2C82181A"/>
    <w:rsid w:val="2CD31C47"/>
    <w:rsid w:val="2D0C2A93"/>
    <w:rsid w:val="2D947006"/>
    <w:rsid w:val="2DBF4614"/>
    <w:rsid w:val="2DC31699"/>
    <w:rsid w:val="2E0F2EFC"/>
    <w:rsid w:val="2E19750B"/>
    <w:rsid w:val="2EFE6E2D"/>
    <w:rsid w:val="2F170420"/>
    <w:rsid w:val="2F8910EF"/>
    <w:rsid w:val="30DB12FA"/>
    <w:rsid w:val="30F97A6C"/>
    <w:rsid w:val="30FE1366"/>
    <w:rsid w:val="311C359A"/>
    <w:rsid w:val="31303E0E"/>
    <w:rsid w:val="31C61758"/>
    <w:rsid w:val="32376C0E"/>
    <w:rsid w:val="32D3237F"/>
    <w:rsid w:val="32DB1233"/>
    <w:rsid w:val="333472C1"/>
    <w:rsid w:val="33B977C6"/>
    <w:rsid w:val="33F85ED1"/>
    <w:rsid w:val="356F5E88"/>
    <w:rsid w:val="35862810"/>
    <w:rsid w:val="359B1849"/>
    <w:rsid w:val="35C91817"/>
    <w:rsid w:val="35D03EDB"/>
    <w:rsid w:val="35DC6126"/>
    <w:rsid w:val="361138EA"/>
    <w:rsid w:val="36211653"/>
    <w:rsid w:val="368C5EA6"/>
    <w:rsid w:val="36F92A7D"/>
    <w:rsid w:val="373E1907"/>
    <w:rsid w:val="38275832"/>
    <w:rsid w:val="384F24A7"/>
    <w:rsid w:val="385244A9"/>
    <w:rsid w:val="385408E3"/>
    <w:rsid w:val="38BA3D97"/>
    <w:rsid w:val="38D40BFF"/>
    <w:rsid w:val="39055EAF"/>
    <w:rsid w:val="3929683F"/>
    <w:rsid w:val="39B46998"/>
    <w:rsid w:val="39B6571E"/>
    <w:rsid w:val="39F95B46"/>
    <w:rsid w:val="3A30659F"/>
    <w:rsid w:val="3A3F02FA"/>
    <w:rsid w:val="3A705461"/>
    <w:rsid w:val="3A936E05"/>
    <w:rsid w:val="3AD153F6"/>
    <w:rsid w:val="3B2220F5"/>
    <w:rsid w:val="3BC56903"/>
    <w:rsid w:val="3C6A3D54"/>
    <w:rsid w:val="3C8B5A78"/>
    <w:rsid w:val="3C9A2837"/>
    <w:rsid w:val="3CC86CCC"/>
    <w:rsid w:val="3D0C5BF5"/>
    <w:rsid w:val="3D45031D"/>
    <w:rsid w:val="3D9D4C97"/>
    <w:rsid w:val="3DA71FF8"/>
    <w:rsid w:val="3DB01C3A"/>
    <w:rsid w:val="3E8513DF"/>
    <w:rsid w:val="3ECB4852"/>
    <w:rsid w:val="3ECF6B17"/>
    <w:rsid w:val="3F9B4224"/>
    <w:rsid w:val="3FC86C3A"/>
    <w:rsid w:val="412146E1"/>
    <w:rsid w:val="41780C89"/>
    <w:rsid w:val="417B255F"/>
    <w:rsid w:val="42312C1E"/>
    <w:rsid w:val="42C826E3"/>
    <w:rsid w:val="43241646"/>
    <w:rsid w:val="43317379"/>
    <w:rsid w:val="434D70BF"/>
    <w:rsid w:val="43801E3E"/>
    <w:rsid w:val="439E42E3"/>
    <w:rsid w:val="44020D16"/>
    <w:rsid w:val="447F2366"/>
    <w:rsid w:val="455633DB"/>
    <w:rsid w:val="45CA7611"/>
    <w:rsid w:val="46514EDF"/>
    <w:rsid w:val="4678706D"/>
    <w:rsid w:val="46A672C4"/>
    <w:rsid w:val="47264D1B"/>
    <w:rsid w:val="474C4D82"/>
    <w:rsid w:val="47555600"/>
    <w:rsid w:val="475E2707"/>
    <w:rsid w:val="47A02B50"/>
    <w:rsid w:val="47B1117C"/>
    <w:rsid w:val="488251BB"/>
    <w:rsid w:val="48943F06"/>
    <w:rsid w:val="48B60321"/>
    <w:rsid w:val="48BF0F83"/>
    <w:rsid w:val="4910358D"/>
    <w:rsid w:val="498A1749"/>
    <w:rsid w:val="4A05330E"/>
    <w:rsid w:val="4A2117CA"/>
    <w:rsid w:val="4A773311"/>
    <w:rsid w:val="4AA16CFB"/>
    <w:rsid w:val="4AC960E9"/>
    <w:rsid w:val="4B8D2AFB"/>
    <w:rsid w:val="4BA44B6E"/>
    <w:rsid w:val="4CDF0F81"/>
    <w:rsid w:val="4D203FBB"/>
    <w:rsid w:val="4DDC66E7"/>
    <w:rsid w:val="4E121B55"/>
    <w:rsid w:val="4E2D2E33"/>
    <w:rsid w:val="4E6A6F3F"/>
    <w:rsid w:val="4E791088"/>
    <w:rsid w:val="4EFB083B"/>
    <w:rsid w:val="4F135B85"/>
    <w:rsid w:val="4F377047"/>
    <w:rsid w:val="4FB01626"/>
    <w:rsid w:val="4FC5497A"/>
    <w:rsid w:val="50131BB5"/>
    <w:rsid w:val="50165524"/>
    <w:rsid w:val="507E0838"/>
    <w:rsid w:val="508036EE"/>
    <w:rsid w:val="50B52772"/>
    <w:rsid w:val="513E5BEC"/>
    <w:rsid w:val="517174DB"/>
    <w:rsid w:val="51C2327D"/>
    <w:rsid w:val="51D5547E"/>
    <w:rsid w:val="521C11F4"/>
    <w:rsid w:val="52CA29FF"/>
    <w:rsid w:val="538803E6"/>
    <w:rsid w:val="53C71634"/>
    <w:rsid w:val="53E45052"/>
    <w:rsid w:val="543640C4"/>
    <w:rsid w:val="54A35BFD"/>
    <w:rsid w:val="54C6369A"/>
    <w:rsid w:val="54E7068B"/>
    <w:rsid w:val="55480552"/>
    <w:rsid w:val="555E66FE"/>
    <w:rsid w:val="55AD25BB"/>
    <w:rsid w:val="564B02FA"/>
    <w:rsid w:val="564C5E20"/>
    <w:rsid w:val="56BB54D1"/>
    <w:rsid w:val="57144B90"/>
    <w:rsid w:val="57447586"/>
    <w:rsid w:val="57534930"/>
    <w:rsid w:val="57803FD4"/>
    <w:rsid w:val="57C57C38"/>
    <w:rsid w:val="57F774C2"/>
    <w:rsid w:val="582E3A30"/>
    <w:rsid w:val="58981AA9"/>
    <w:rsid w:val="59800672"/>
    <w:rsid w:val="5A8D3CBA"/>
    <w:rsid w:val="5AB81CD6"/>
    <w:rsid w:val="5AE66DC4"/>
    <w:rsid w:val="5B181723"/>
    <w:rsid w:val="5B5437AD"/>
    <w:rsid w:val="5B6251CE"/>
    <w:rsid w:val="5B743E4F"/>
    <w:rsid w:val="5B913242"/>
    <w:rsid w:val="5C593045"/>
    <w:rsid w:val="5C5E6200"/>
    <w:rsid w:val="5D35760E"/>
    <w:rsid w:val="5DB20C5F"/>
    <w:rsid w:val="5E731FFB"/>
    <w:rsid w:val="5E8379C4"/>
    <w:rsid w:val="5E884F60"/>
    <w:rsid w:val="5EAB402C"/>
    <w:rsid w:val="5EF85E29"/>
    <w:rsid w:val="5F177A54"/>
    <w:rsid w:val="5F666149"/>
    <w:rsid w:val="5FFF782E"/>
    <w:rsid w:val="603C3ADD"/>
    <w:rsid w:val="616377A8"/>
    <w:rsid w:val="618943CD"/>
    <w:rsid w:val="61B825BC"/>
    <w:rsid w:val="61DF2737"/>
    <w:rsid w:val="623C3305"/>
    <w:rsid w:val="62481B92"/>
    <w:rsid w:val="63377B4C"/>
    <w:rsid w:val="64507A64"/>
    <w:rsid w:val="64A07A63"/>
    <w:rsid w:val="64B20D48"/>
    <w:rsid w:val="64BD39FF"/>
    <w:rsid w:val="64C5571C"/>
    <w:rsid w:val="64F46001"/>
    <w:rsid w:val="65240823"/>
    <w:rsid w:val="65A022F7"/>
    <w:rsid w:val="65E37F5C"/>
    <w:rsid w:val="65EA2F94"/>
    <w:rsid w:val="66044022"/>
    <w:rsid w:val="6659436D"/>
    <w:rsid w:val="683A37BC"/>
    <w:rsid w:val="690F51B7"/>
    <w:rsid w:val="691B43CA"/>
    <w:rsid w:val="6929580F"/>
    <w:rsid w:val="699C0709"/>
    <w:rsid w:val="69A52295"/>
    <w:rsid w:val="6B241899"/>
    <w:rsid w:val="6B537964"/>
    <w:rsid w:val="6BC34568"/>
    <w:rsid w:val="6C694CD2"/>
    <w:rsid w:val="6C702411"/>
    <w:rsid w:val="6C915490"/>
    <w:rsid w:val="6CC92C88"/>
    <w:rsid w:val="6CD24E7A"/>
    <w:rsid w:val="6D2C70BA"/>
    <w:rsid w:val="6D543AE1"/>
    <w:rsid w:val="6DBE449D"/>
    <w:rsid w:val="6E551BC4"/>
    <w:rsid w:val="6EF53C0E"/>
    <w:rsid w:val="6F045092"/>
    <w:rsid w:val="6F4A6CA1"/>
    <w:rsid w:val="6F8561D3"/>
    <w:rsid w:val="6FFF39DC"/>
    <w:rsid w:val="705B7AA8"/>
    <w:rsid w:val="712D3CD9"/>
    <w:rsid w:val="71A30B93"/>
    <w:rsid w:val="72473564"/>
    <w:rsid w:val="72641CCD"/>
    <w:rsid w:val="72AB41A3"/>
    <w:rsid w:val="731650BC"/>
    <w:rsid w:val="73F25E01"/>
    <w:rsid w:val="7431692A"/>
    <w:rsid w:val="748D4AF8"/>
    <w:rsid w:val="74C23A26"/>
    <w:rsid w:val="74DA0D6F"/>
    <w:rsid w:val="754937FF"/>
    <w:rsid w:val="759233F8"/>
    <w:rsid w:val="75C15A8B"/>
    <w:rsid w:val="7641319F"/>
    <w:rsid w:val="7671300D"/>
    <w:rsid w:val="77A13DC6"/>
    <w:rsid w:val="77A7773B"/>
    <w:rsid w:val="78D926A1"/>
    <w:rsid w:val="78F00B96"/>
    <w:rsid w:val="7A0B7DAB"/>
    <w:rsid w:val="7A147814"/>
    <w:rsid w:val="7A611D04"/>
    <w:rsid w:val="7B2F2DC6"/>
    <w:rsid w:val="7BBD4F47"/>
    <w:rsid w:val="7C792E5C"/>
    <w:rsid w:val="7CA84CC0"/>
    <w:rsid w:val="7CBE0F77"/>
    <w:rsid w:val="7D2A690E"/>
    <w:rsid w:val="7D823D52"/>
    <w:rsid w:val="7DFE41E7"/>
    <w:rsid w:val="7E790D2A"/>
    <w:rsid w:val="7E953F59"/>
    <w:rsid w:val="7ECA59B1"/>
    <w:rsid w:val="7ED700CE"/>
    <w:rsid w:val="7EFFC0D7"/>
    <w:rsid w:val="7F0709B3"/>
    <w:rsid w:val="7F536173"/>
    <w:rsid w:val="7F5E259D"/>
    <w:rsid w:val="7FAB5075"/>
    <w:rsid w:val="7FAFDACC"/>
    <w:rsid w:val="7FC7526C"/>
    <w:rsid w:val="C77A3706"/>
    <w:rsid w:val="DB2F52C9"/>
    <w:rsid w:val="FBFFE12F"/>
    <w:rsid w:val="FDF56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paragraph" w:styleId="4">
    <w:name w:val="heading 4"/>
    <w:basedOn w:val="1"/>
    <w:next w:val="1"/>
    <w:semiHidden/>
    <w:unhideWhenUsed/>
    <w:qFormat/>
    <w:uiPriority w:val="9"/>
    <w:pPr>
      <w:spacing w:beforeAutospacing="1" w:afterAutospacing="1"/>
      <w:jc w:val="left"/>
      <w:outlineLvl w:val="3"/>
    </w:pPr>
    <w:rPr>
      <w:rFonts w:hint="eastAsia" w:ascii="宋体" w:hAnsi="宋体"/>
      <w:b/>
      <w:bCs/>
      <w:kern w:val="0"/>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Indent"/>
    <w:basedOn w:val="1"/>
    <w:unhideWhenUsed/>
    <w:qFormat/>
    <w:uiPriority w:val="99"/>
    <w:pPr>
      <w:spacing w:after="120"/>
      <w:ind w:left="420" w:leftChars="200"/>
    </w:pPr>
    <w:rPr>
      <w:rFonts w:cs="Calibri"/>
    </w:rPr>
  </w:style>
  <w:style w:type="paragraph" w:styleId="7">
    <w:name w:val="footer"/>
    <w:basedOn w:val="1"/>
    <w:link w:val="42"/>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19"/>
    <w:unhideWhenUsed/>
    <w:qFormat/>
    <w:uiPriority w:val="99"/>
    <w:pPr>
      <w:tabs>
        <w:tab w:val="center" w:pos="4153"/>
        <w:tab w:val="right" w:pos="8306"/>
      </w:tabs>
      <w:adjustRightInd/>
      <w:snapToGrid w:val="0"/>
      <w:jc w:val="center"/>
    </w:pPr>
    <w:rPr>
      <w:sz w:val="18"/>
      <w:szCs w:val="18"/>
    </w:rPr>
  </w:style>
  <w:style w:type="paragraph" w:styleId="9">
    <w:name w:val="toc 1"/>
    <w:basedOn w:val="1"/>
    <w:next w:val="1"/>
    <w:unhideWhenUsed/>
    <w:qFormat/>
    <w:uiPriority w:val="39"/>
    <w:rPr>
      <w:rFonts w:ascii="宋体"/>
    </w:rPr>
  </w:style>
  <w:style w:type="paragraph" w:styleId="10">
    <w:name w:val="table of figures"/>
    <w:basedOn w:val="1"/>
    <w:next w:val="1"/>
    <w:unhideWhenUsed/>
    <w:qFormat/>
    <w:uiPriority w:val="99"/>
    <w:pPr>
      <w:spacing w:beforeLines="0" w:afterLines="0"/>
      <w:ind w:left="200" w:leftChars="200" w:hanging="200" w:hangingChars="200"/>
    </w:pPr>
    <w:rPr>
      <w:rFonts w:hint="default"/>
      <w:sz w:val="21"/>
      <w:szCs w:val="21"/>
    </w:rPr>
  </w:style>
  <w:style w:type="paragraph" w:styleId="11">
    <w:name w:val="toc 2"/>
    <w:basedOn w:val="1"/>
    <w:next w:val="1"/>
    <w:unhideWhenUsed/>
    <w:qFormat/>
    <w:uiPriority w:val="39"/>
    <w:pPr>
      <w:tabs>
        <w:tab w:val="right" w:leader="dot" w:pos="9344"/>
      </w:tabs>
      <w:spacing w:line="300" w:lineRule="exact"/>
      <w:ind w:left="210"/>
    </w:pPr>
    <w:rPr>
      <w:rFonts w:ascii="宋体"/>
    </w:rPr>
  </w:style>
  <w:style w:type="paragraph" w:styleId="12">
    <w:name w:val="Normal (Web)"/>
    <w:basedOn w:val="1"/>
    <w:unhideWhenUsed/>
    <w:qFormat/>
    <w:uiPriority w:val="99"/>
    <w:pPr>
      <w:spacing w:beforeLines="0" w:beforeAutospacing="1" w:afterLines="0" w:afterAutospacing="1"/>
      <w:jc w:val="left"/>
    </w:pPr>
    <w:rPr>
      <w:rFonts w:hint="default" w:cs="Times New Roman"/>
      <w:kern w:val="0"/>
      <w:sz w:val="24"/>
      <w:szCs w:val="21"/>
    </w:rPr>
  </w:style>
  <w:style w:type="paragraph" w:styleId="13">
    <w:name w:val="Title"/>
    <w:basedOn w:val="1"/>
    <w:next w:val="1"/>
    <w:link w:val="41"/>
    <w:qFormat/>
    <w:uiPriority w:val="10"/>
    <w:pPr>
      <w:spacing w:before="240" w:after="60"/>
      <w:jc w:val="center"/>
      <w:outlineLvl w:val="0"/>
    </w:pPr>
    <w:rPr>
      <w:rFonts w:asciiTheme="majorHAnsi" w:hAnsiTheme="majorHAnsi" w:eastAsiaTheme="majorEastAsia" w:cstheme="majorBidi"/>
      <w:b/>
      <w:bCs/>
      <w:sz w:val="32"/>
      <w:szCs w:val="32"/>
    </w:rPr>
  </w:style>
  <w:style w:type="table" w:styleId="15">
    <w:name w:val="Table Grid"/>
    <w:basedOn w:val="1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styleId="18">
    <w:name w:val="Hyperlink"/>
    <w:basedOn w:val="16"/>
    <w:unhideWhenUsed/>
    <w:qFormat/>
    <w:uiPriority w:val="99"/>
    <w:rPr>
      <w:color w:val="0000FF"/>
      <w:u w:val="single"/>
    </w:rPr>
  </w:style>
  <w:style w:type="character" w:customStyle="1" w:styleId="19">
    <w:name w:val="页眉 字符"/>
    <w:basedOn w:val="16"/>
    <w:link w:val="8"/>
    <w:qFormat/>
    <w:uiPriority w:val="99"/>
    <w:rPr>
      <w:rFonts w:ascii="Calibri" w:hAnsi="Calibri" w:eastAsia="宋体" w:cs="Times New Roman"/>
      <w:sz w:val="18"/>
      <w:szCs w:val="18"/>
    </w:rPr>
  </w:style>
  <w:style w:type="paragraph" w:customStyle="1" w:styleId="20">
    <w:name w:val="标准标志"/>
    <w:next w:val="1"/>
    <w:qFormat/>
    <w:uiPriority w:val="0"/>
    <w:pPr>
      <w:framePr w:w="2268" w:h="1392"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1">
    <w:name w:val="标准称谓"/>
    <w:next w:val="1"/>
    <w:qFormat/>
    <w:uiPriority w:val="0"/>
    <w:pPr>
      <w:framePr w:w="9638" w:h="754"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2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
    <w:name w:val="文件封面名称"/>
    <w:basedOn w:val="1"/>
    <w:qFormat/>
    <w:uiPriority w:val="0"/>
    <w:pPr>
      <w:spacing w:beforeLines="50" w:afterLines="50" w:line="240" w:lineRule="auto"/>
      <w:jc w:val="center"/>
    </w:pPr>
    <w:rPr>
      <w:rFonts w:ascii="Times New Roman" w:hAnsi="Times New Roman" w:eastAsia="黑体" w:cs="Calibri"/>
      <w:sz w:val="52"/>
      <w:szCs w:val="52"/>
    </w:rPr>
  </w:style>
  <w:style w:type="paragraph" w:customStyle="1" w:styleId="24">
    <w:name w:val="文件英文名称"/>
    <w:basedOn w:val="1"/>
    <w:qFormat/>
    <w:uiPriority w:val="0"/>
    <w:pPr>
      <w:spacing w:beforeLines="50" w:afterLines="50" w:line="240" w:lineRule="auto"/>
      <w:jc w:val="center"/>
    </w:pPr>
    <w:rPr>
      <w:rFonts w:ascii="黑体" w:hAnsi="黑体" w:eastAsia="黑体" w:cs="Calibri"/>
      <w:sz w:val="28"/>
      <w:szCs w:val="28"/>
    </w:rPr>
  </w:style>
  <w:style w:type="paragraph" w:customStyle="1" w:styleId="25">
    <w:name w:val="其他发布日期"/>
    <w:basedOn w:val="1"/>
    <w:qFormat/>
    <w:uiPriority w:val="0"/>
    <w:pPr>
      <w:framePr w:w="3997" w:h="471" w:vSpace="181" w:wrap="around" w:vAnchor="page" w:hAnchor="page" w:x="1419" w:y="14097" w:anchorLock="1"/>
      <w:widowControl/>
      <w:adjustRightInd/>
      <w:spacing w:line="240" w:lineRule="auto"/>
      <w:jc w:val="left"/>
    </w:pPr>
    <w:rPr>
      <w:rFonts w:ascii="Times New Roman" w:hAnsi="Times New Roman" w:eastAsia="黑体"/>
      <w:kern w:val="0"/>
      <w:sz w:val="28"/>
      <w:szCs w:val="20"/>
    </w:rPr>
  </w:style>
  <w:style w:type="paragraph" w:customStyle="1" w:styleId="26">
    <w:name w:val="其他实施日期"/>
    <w:basedOn w:val="1"/>
    <w:qFormat/>
    <w:uiPriority w:val="0"/>
    <w:pPr>
      <w:framePr w:w="3997" w:h="471" w:vSpace="181" w:wrap="around" w:vAnchor="page" w:hAnchor="page" w:x="7089" w:y="14097" w:anchorLock="1"/>
      <w:widowControl/>
      <w:adjustRightInd/>
      <w:spacing w:line="240" w:lineRule="auto"/>
      <w:jc w:val="right"/>
    </w:pPr>
    <w:rPr>
      <w:rFonts w:ascii="Times New Roman" w:hAnsi="Times New Roman" w:eastAsia="黑体"/>
      <w:kern w:val="0"/>
      <w:sz w:val="28"/>
      <w:szCs w:val="20"/>
    </w:rPr>
  </w:style>
  <w:style w:type="paragraph" w:customStyle="1" w:styleId="27">
    <w:name w:val="其他发布部门"/>
    <w:basedOn w:val="1"/>
    <w:qFormat/>
    <w:uiPriority w:val="0"/>
    <w:pPr>
      <w:framePr w:w="7433" w:h="585" w:hSpace="180" w:vSpace="180" w:wrap="around" w:vAnchor="margin" w:hAnchor="margin" w:xAlign="center" w:y="14401" w:anchorLock="1"/>
      <w:widowControl/>
      <w:adjustRightInd/>
      <w:spacing w:line="0" w:lineRule="atLeast"/>
      <w:jc w:val="center"/>
    </w:pPr>
    <w:rPr>
      <w:rFonts w:ascii="黑体" w:hAnsi="Times New Roman" w:eastAsia="黑体"/>
      <w:w w:val="135"/>
      <w:kern w:val="0"/>
      <w:sz w:val="36"/>
      <w:szCs w:val="20"/>
    </w:rPr>
  </w:style>
  <w:style w:type="paragraph" w:customStyle="1" w:styleId="28">
    <w:name w:val="段"/>
    <w:basedOn w:val="1"/>
    <w:qFormat/>
    <w:uiPriority w:val="0"/>
    <w:pPr>
      <w:spacing w:line="240" w:lineRule="auto"/>
      <w:ind w:firstLine="420" w:firstLineChars="200"/>
    </w:pPr>
    <w:rPr>
      <w:rFonts w:ascii="Times New Roman" w:hAnsi="Times New Roman" w:cs="Calibri"/>
    </w:rPr>
  </w:style>
  <w:style w:type="paragraph" w:customStyle="1" w:styleId="29">
    <w:name w:val="目次、前言、引言"/>
    <w:basedOn w:val="13"/>
    <w:next w:val="28"/>
    <w:qFormat/>
    <w:uiPriority w:val="0"/>
    <w:pPr>
      <w:spacing w:before="851" w:after="680" w:line="240" w:lineRule="auto"/>
    </w:pPr>
    <w:rPr>
      <w:rFonts w:eastAsia="黑体"/>
      <w:b w:val="0"/>
    </w:rPr>
  </w:style>
  <w:style w:type="paragraph" w:customStyle="1" w:styleId="30">
    <w:name w:val="正文段落，引导语"/>
    <w:basedOn w:val="28"/>
    <w:qFormat/>
    <w:uiPriority w:val="0"/>
    <w:rPr>
      <w:rFonts w:ascii="宋体" w:hAnsi="宋体"/>
    </w:rPr>
  </w:style>
  <w:style w:type="paragraph" w:customStyle="1" w:styleId="31">
    <w:name w:val="章标题"/>
    <w:basedOn w:val="1"/>
    <w:next w:val="28"/>
    <w:qFormat/>
    <w:uiPriority w:val="0"/>
    <w:pPr>
      <w:widowControl/>
      <w:adjustRightInd/>
      <w:spacing w:beforeLines="100" w:afterLines="100" w:line="240" w:lineRule="auto"/>
      <w:outlineLvl w:val="0"/>
    </w:pPr>
    <w:rPr>
      <w:rFonts w:ascii="Times New Roman" w:hAnsi="Times New Roman" w:eastAsia="黑体" w:cs="黑体"/>
      <w:kern w:val="0"/>
    </w:rPr>
  </w:style>
  <w:style w:type="paragraph" w:customStyle="1" w:styleId="32">
    <w:name w:val="标准文件_章标题"/>
    <w:next w:val="22"/>
    <w:qFormat/>
    <w:uiPriority w:val="0"/>
    <w:pPr>
      <w:numPr>
        <w:ilvl w:val="1"/>
        <w:numId w:val="1"/>
      </w:numPr>
      <w:spacing w:beforeLines="100" w:afterLines="100"/>
      <w:jc w:val="both"/>
      <w:outlineLvl w:val="0"/>
    </w:pPr>
    <w:rPr>
      <w:rFonts w:ascii="黑体" w:hAnsi="Times New Roman" w:eastAsia="黑体" w:cs="Times New Roman"/>
      <w:sz w:val="21"/>
      <w:lang w:val="en-US" w:eastAsia="zh-CN" w:bidi="ar-SA"/>
    </w:rPr>
  </w:style>
  <w:style w:type="paragraph" w:customStyle="1" w:styleId="33">
    <w:name w:val="术语"/>
    <w:basedOn w:val="28"/>
    <w:next w:val="28"/>
    <w:qFormat/>
    <w:uiPriority w:val="0"/>
    <w:rPr>
      <w:rFonts w:eastAsia="黑体"/>
    </w:rPr>
  </w:style>
  <w:style w:type="paragraph" w:customStyle="1" w:styleId="34">
    <w:name w:val="标准文件_二级条标题"/>
    <w:next w:val="1"/>
    <w:qFormat/>
    <w:uiPriority w:val="99"/>
    <w:pPr>
      <w:widowControl w:val="0"/>
      <w:numPr>
        <w:ilvl w:val="3"/>
        <w:numId w:val="1"/>
      </w:numPr>
      <w:spacing w:beforeLines="50" w:afterLines="50"/>
      <w:jc w:val="both"/>
      <w:outlineLvl w:val="2"/>
    </w:pPr>
    <w:rPr>
      <w:rFonts w:ascii="黑体" w:hAnsi="Times New Roman" w:eastAsia="黑体" w:cs="Times New Roman"/>
      <w:sz w:val="21"/>
      <w:lang w:val="en-US" w:eastAsia="zh-CN" w:bidi="ar-SA"/>
    </w:rPr>
  </w:style>
  <w:style w:type="paragraph" w:customStyle="1" w:styleId="35">
    <w:name w:val="字母列项"/>
    <w:next w:val="28"/>
    <w:link w:val="56"/>
    <w:qFormat/>
    <w:uiPriority w:val="0"/>
    <w:pPr>
      <w:numPr>
        <w:ilvl w:val="0"/>
        <w:numId w:val="2"/>
      </w:numPr>
      <w:adjustRightInd/>
      <w:spacing w:line="240" w:lineRule="auto"/>
      <w:ind w:firstLine="0" w:firstLineChars="0"/>
      <w:jc w:val="left"/>
    </w:pPr>
    <w:rPr>
      <w:rFonts w:ascii="Times New Roman" w:hAnsi="Times New Roman" w:eastAsia="宋体" w:cs="宋体"/>
      <w:kern w:val="0"/>
    </w:rPr>
  </w:style>
  <w:style w:type="character" w:customStyle="1" w:styleId="36">
    <w:name w:val="发布"/>
    <w:basedOn w:val="16"/>
    <w:qFormat/>
    <w:uiPriority w:val="0"/>
    <w:rPr>
      <w:rFonts w:hint="eastAsia" w:ascii="黑体" w:hAnsi="黑体" w:eastAsia="黑体"/>
      <w:spacing w:val="85"/>
      <w:w w:val="100"/>
      <w:position w:val="3"/>
      <w:sz w:val="28"/>
      <w:szCs w:val="28"/>
    </w:rPr>
  </w:style>
  <w:style w:type="paragraph" w:customStyle="1" w:styleId="37">
    <w:name w:val="标准文件_文件编号"/>
    <w:basedOn w:val="22"/>
    <w:qFormat/>
    <w:uiPriority w:val="0"/>
    <w:pPr>
      <w:framePr w:w="9356" w:h="624"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38">
    <w:name w:val="标准文件_替换文件编号"/>
    <w:basedOn w:val="37"/>
    <w:qFormat/>
    <w:uiPriority w:val="0"/>
    <w:pPr>
      <w:spacing w:before="57"/>
    </w:pPr>
    <w:rPr>
      <w:sz w:val="21"/>
    </w:rPr>
  </w:style>
  <w:style w:type="paragraph" w:customStyle="1" w:styleId="39">
    <w:name w:val="标准文件_一级条标题"/>
    <w:basedOn w:val="32"/>
    <w:next w:val="22"/>
    <w:qFormat/>
    <w:uiPriority w:val="99"/>
    <w:pPr>
      <w:numPr>
        <w:ilvl w:val="2"/>
      </w:numPr>
      <w:spacing w:beforeLines="50" w:afterLines="50"/>
      <w:outlineLvl w:val="1"/>
    </w:pPr>
  </w:style>
  <w:style w:type="paragraph" w:customStyle="1" w:styleId="40">
    <w:name w:val="一级条标题"/>
    <w:basedOn w:val="39"/>
    <w:next w:val="28"/>
    <w:qFormat/>
    <w:uiPriority w:val="0"/>
    <w:pPr>
      <w:numPr>
        <w:ilvl w:val="0"/>
        <w:numId w:val="0"/>
      </w:numPr>
      <w:tabs>
        <w:tab w:val="left" w:pos="2258"/>
      </w:tabs>
    </w:pPr>
    <w:rPr>
      <w:rFonts w:ascii="Times New Roman" w:cs="黑体"/>
      <w:szCs w:val="21"/>
    </w:rPr>
  </w:style>
  <w:style w:type="character" w:customStyle="1" w:styleId="41">
    <w:name w:val="标题 字符"/>
    <w:basedOn w:val="16"/>
    <w:link w:val="13"/>
    <w:qFormat/>
    <w:uiPriority w:val="10"/>
    <w:rPr>
      <w:rFonts w:asciiTheme="majorHAnsi" w:hAnsiTheme="majorHAnsi" w:eastAsiaTheme="majorEastAsia" w:cstheme="majorBidi"/>
      <w:b/>
      <w:bCs/>
      <w:sz w:val="32"/>
      <w:szCs w:val="32"/>
    </w:rPr>
  </w:style>
  <w:style w:type="character" w:customStyle="1" w:styleId="42">
    <w:name w:val="页脚 字符"/>
    <w:basedOn w:val="16"/>
    <w:link w:val="7"/>
    <w:qFormat/>
    <w:uiPriority w:val="99"/>
    <w:rPr>
      <w:rFonts w:ascii="Calibri" w:hAnsi="Calibri" w:eastAsia="宋体" w:cs="Times New Roman"/>
      <w:sz w:val="18"/>
      <w:szCs w:val="18"/>
    </w:rPr>
  </w:style>
  <w:style w:type="paragraph" w:customStyle="1" w:styleId="43">
    <w:name w:val="二级条标题"/>
    <w:basedOn w:val="34"/>
    <w:next w:val="28"/>
    <w:qFormat/>
    <w:uiPriority w:val="0"/>
    <w:pPr>
      <w:numPr>
        <w:ilvl w:val="0"/>
        <w:numId w:val="0"/>
      </w:numPr>
      <w:tabs>
        <w:tab w:val="left" w:pos="2678"/>
      </w:tabs>
    </w:pPr>
    <w:rPr>
      <w:rFonts w:ascii="Times New Roman" w:cs="黑体"/>
      <w:szCs w:val="21"/>
    </w:rPr>
  </w:style>
  <w:style w:type="paragraph" w:customStyle="1" w:styleId="4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45">
    <w:name w:val="列项——（一级）"/>
    <w:basedOn w:val="1"/>
    <w:unhideWhenUsed/>
    <w:qFormat/>
    <w:uiPriority w:val="0"/>
    <w:pPr>
      <w:adjustRightInd/>
      <w:spacing w:line="240" w:lineRule="auto"/>
      <w:ind w:left="200" w:leftChars="200" w:hanging="200" w:hangingChars="200"/>
    </w:pPr>
    <w:rPr>
      <w:rFonts w:hint="eastAsia" w:ascii="宋体" w:hAnsi="等线" w:eastAsia="等线"/>
      <w:kern w:val="0"/>
      <w:sz w:val="21"/>
      <w:szCs w:val="21"/>
      <w:lang w:bidi="ar"/>
    </w:rPr>
  </w:style>
  <w:style w:type="paragraph" w:customStyle="1" w:styleId="46">
    <w:name w:val="注"/>
    <w:basedOn w:val="28"/>
    <w:next w:val="28"/>
    <w:unhideWhenUsed/>
    <w:qFormat/>
    <w:uiPriority w:val="0"/>
    <w:pPr>
      <w:widowControl/>
      <w:tabs>
        <w:tab w:val="center" w:pos="4201"/>
        <w:tab w:val="right" w:leader="dot" w:pos="9298"/>
      </w:tabs>
      <w:autoSpaceDE w:val="0"/>
      <w:autoSpaceDN w:val="0"/>
      <w:adjustRightInd/>
      <w:spacing w:beforeLines="0" w:afterLines="0"/>
      <w:ind w:firstLine="360"/>
    </w:pPr>
    <w:rPr>
      <w:rFonts w:hint="eastAsia" w:cs="Times New Roman"/>
      <w:sz w:val="18"/>
      <w:szCs w:val="18"/>
    </w:rPr>
  </w:style>
  <w:style w:type="paragraph" w:customStyle="1" w:styleId="47">
    <w:name w:val="正文图题"/>
    <w:basedOn w:val="10"/>
    <w:next w:val="28"/>
    <w:unhideWhenUsed/>
    <w:qFormat/>
    <w:uiPriority w:val="0"/>
    <w:pPr>
      <w:numPr>
        <w:ilvl w:val="0"/>
        <w:numId w:val="3"/>
      </w:numPr>
      <w:spacing w:before="50" w:beforeLines="50" w:after="50" w:afterLines="50" w:line="240" w:lineRule="auto"/>
      <w:ind w:left="0" w:leftChars="0" w:firstLine="0" w:firstLineChars="0"/>
      <w:jc w:val="center"/>
    </w:pPr>
    <w:rPr>
      <w:rFonts w:hint="eastAsia" w:ascii="Times New Roman" w:hAnsi="Times New Roman" w:eastAsia="Times New Roman"/>
      <w:sz w:val="21"/>
      <w:szCs w:val="21"/>
    </w:rPr>
  </w:style>
  <w:style w:type="paragraph" w:customStyle="1" w:styleId="48">
    <w:name w:val="正文表标题"/>
    <w:basedOn w:val="47"/>
    <w:next w:val="28"/>
    <w:unhideWhenUsed/>
    <w:qFormat/>
    <w:uiPriority w:val="0"/>
    <w:pPr>
      <w:numPr>
        <w:numId w:val="4"/>
      </w:numPr>
    </w:pPr>
    <w:rPr>
      <w:rFonts w:hint="eastAsia"/>
      <w:sz w:val="21"/>
      <w:szCs w:val="21"/>
    </w:rPr>
  </w:style>
  <w:style w:type="paragraph" w:customStyle="1" w:styleId="49">
    <w:name w:val="附录标题"/>
    <w:basedOn w:val="50"/>
    <w:next w:val="28"/>
    <w:link w:val="53"/>
    <w:unhideWhenUsed/>
    <w:qFormat/>
    <w:uiPriority w:val="0"/>
    <w:pPr>
      <w:tabs>
        <w:tab w:val="left" w:pos="360"/>
        <w:tab w:val="left" w:pos="6405"/>
      </w:tabs>
      <w:adjustRightInd/>
      <w:spacing w:beforeLines="0" w:after="360" w:afterLines="0" w:line="360" w:lineRule="exact"/>
    </w:pPr>
    <w:rPr>
      <w:rFonts w:hint="eastAsia"/>
      <w:sz w:val="21"/>
      <w:szCs w:val="20"/>
    </w:rPr>
  </w:style>
  <w:style w:type="paragraph" w:customStyle="1" w:styleId="50">
    <w:name w:val="附录标识"/>
    <w:basedOn w:val="1"/>
    <w:next w:val="28"/>
    <w:unhideWhenUsed/>
    <w:qFormat/>
    <w:uiPriority w:val="0"/>
    <w:pPr>
      <w:keepNext/>
      <w:widowControl/>
      <w:shd w:val="clear" w:color="FFFFFF" w:fill="FFFFFF"/>
      <w:tabs>
        <w:tab w:val="left" w:pos="360"/>
        <w:tab w:val="left" w:pos="6405"/>
      </w:tabs>
      <w:spacing w:before="640" w:beforeLines="0" w:after="280" w:afterLines="0"/>
      <w:jc w:val="center"/>
      <w:outlineLvl w:val="0"/>
    </w:pPr>
    <w:rPr>
      <w:rFonts w:hint="eastAsia" w:ascii="黑体" w:hAnsi="Times New Roman" w:eastAsia="黑体" w:cs="Times New Roman"/>
      <w:kern w:val="0"/>
      <w:sz w:val="21"/>
      <w:szCs w:val="20"/>
    </w:rPr>
  </w:style>
  <w:style w:type="paragraph" w:customStyle="1" w:styleId="51">
    <w:name w:val="附录章标题"/>
    <w:basedOn w:val="49"/>
    <w:next w:val="28"/>
    <w:link w:val="52"/>
    <w:unhideWhenUsed/>
    <w:qFormat/>
    <w:uiPriority w:val="0"/>
    <w:pPr>
      <w:tabs>
        <w:tab w:val="clear" w:pos="360"/>
        <w:tab w:val="clear" w:pos="6405"/>
      </w:tabs>
      <w:spacing w:before="100" w:beforeLines="100" w:after="100" w:afterLines="100" w:line="240" w:lineRule="auto"/>
      <w:jc w:val="left"/>
    </w:pPr>
    <w:rPr>
      <w:rFonts w:hint="eastAsia"/>
      <w:sz w:val="21"/>
      <w:szCs w:val="20"/>
    </w:rPr>
  </w:style>
  <w:style w:type="character" w:customStyle="1" w:styleId="52">
    <w:name w:val="附录章标题 字符"/>
    <w:basedOn w:val="53"/>
    <w:link w:val="51"/>
    <w:unhideWhenUsed/>
    <w:qFormat/>
    <w:uiPriority w:val="0"/>
    <w:rPr>
      <w:rFonts w:hint="eastAsia"/>
      <w:sz w:val="21"/>
      <w:szCs w:val="24"/>
    </w:rPr>
  </w:style>
  <w:style w:type="character" w:customStyle="1" w:styleId="53">
    <w:name w:val="附录标题 字符"/>
    <w:basedOn w:val="16"/>
    <w:link w:val="49"/>
    <w:unhideWhenUsed/>
    <w:qFormat/>
    <w:uiPriority w:val="0"/>
    <w:rPr>
      <w:rFonts w:hint="eastAsia" w:ascii="黑体" w:hAnsi="黑体" w:eastAsia="黑体"/>
      <w:sz w:val="21"/>
      <w:szCs w:val="24"/>
      <w:shd w:val="clear" w:color="FFFFFF" w:fill="FFFFFF"/>
    </w:rPr>
  </w:style>
  <w:style w:type="paragraph" w:customStyle="1" w:styleId="54">
    <w:name w:val="附录一级条标题"/>
    <w:qFormat/>
    <w:uiPriority w:val="0"/>
    <w:pPr>
      <w:keepNext/>
      <w:keepLines w:val="0"/>
      <w:widowControl/>
      <w:suppressLineNumbers w:val="0"/>
      <w:shd w:val="clear" w:fill="FFFFFF"/>
      <w:spacing w:before="156" w:beforeLines="50" w:beforeAutospacing="0" w:after="156" w:afterLines="50" w:afterAutospacing="0"/>
      <w:ind w:left="0" w:firstLine="0"/>
      <w:jc w:val="left"/>
      <w:outlineLvl w:val="0"/>
    </w:pPr>
    <w:rPr>
      <w:rFonts w:hint="eastAsia" w:ascii="黑体" w:hAnsi="Times New Roman" w:eastAsia="黑体" w:cs="Times New Roman"/>
      <w:kern w:val="0"/>
      <w:sz w:val="21"/>
      <w:szCs w:val="21"/>
      <w:shd w:val="clear" w:fill="auto"/>
      <w:lang w:val="en-US" w:eastAsia="zh-CN" w:bidi="ar"/>
    </w:rPr>
  </w:style>
  <w:style w:type="paragraph" w:customStyle="1" w:styleId="55">
    <w:name w:val="标准样式目录"/>
    <w:basedOn w:val="1"/>
    <w:link w:val="57"/>
    <w:qFormat/>
    <w:uiPriority w:val="0"/>
    <w:pPr>
      <w:widowControl/>
      <w:tabs>
        <w:tab w:val="right" w:leader="dot" w:pos="9354"/>
      </w:tabs>
      <w:adjustRightInd/>
    </w:pPr>
    <w:rPr>
      <w:rFonts w:ascii="宋体" w:hAnsi="宋体" w:eastAsia="宋体" w:cs="宋体"/>
      <w:bCs/>
    </w:rPr>
  </w:style>
  <w:style w:type="character" w:customStyle="1" w:styleId="56">
    <w:name w:val="字母列项 Char"/>
    <w:link w:val="35"/>
    <w:qFormat/>
    <w:uiPriority w:val="0"/>
    <w:rPr>
      <w:rFonts w:ascii="Times New Roman" w:hAnsi="Times New Roman" w:cs="宋体"/>
      <w:kern w:val="0"/>
    </w:rPr>
  </w:style>
  <w:style w:type="character" w:customStyle="1" w:styleId="57">
    <w:name w:val="标准样式 Char"/>
    <w:link w:val="55"/>
    <w:qFormat/>
    <w:uiPriority w:val="0"/>
    <w:rPr>
      <w:rFonts w:ascii="宋体" w:hAnsi="宋体" w:eastAsia="宋体" w:cs="宋体"/>
      <w:bCs/>
      <w:kern w:val="2"/>
      <w:sz w:val="21"/>
      <w:szCs w:val="21"/>
      <w:lang w:val="en-US" w:eastAsia="zh-CN" w:bidi="ar-SA"/>
    </w:rPr>
  </w:style>
  <w:style w:type="paragraph" w:customStyle="1" w:styleId="58">
    <w:name w:val="正文公式1"/>
    <w:qFormat/>
    <w:uiPriority w:val="0"/>
    <w:pPr>
      <w:keepNext w:val="0"/>
      <w:keepLines w:val="0"/>
      <w:widowControl w:val="0"/>
      <w:suppressLineNumbers w:val="0"/>
      <w:tabs>
        <w:tab w:val="center" w:pos="4200"/>
        <w:tab w:val="right" w:leader="dot" w:pos="9030"/>
      </w:tabs>
      <w:adjustRightInd w:val="0"/>
      <w:spacing w:before="0" w:beforeAutospacing="0" w:after="0" w:afterAutospacing="0"/>
      <w:ind w:left="0" w:right="0" w:firstLine="0" w:firstLineChars="0"/>
      <w:jc w:val="left"/>
    </w:pPr>
    <w:rPr>
      <w:rFonts w:hint="default" w:ascii="Times New Roman" w:hAnsi="Times New Roman" w:eastAsia="宋体" w:cs="Calibri"/>
      <w:kern w:val="2"/>
      <w:sz w:val="21"/>
      <w:szCs w:val="21"/>
      <w:lang w:val="en-US" w:eastAsia="zh-CN" w:bidi="ar"/>
    </w:rPr>
  </w:style>
  <w:style w:type="paragraph" w:styleId="5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51750C52DB14F53B7DE011DAE6F20C8"/>
        <w:style w:val=""/>
        <w:category>
          <w:name w:val="常规"/>
          <w:gallery w:val="placeholder"/>
        </w:category>
        <w:types>
          <w:type w:val="bbPlcHdr"/>
        </w:types>
        <w:behaviors>
          <w:behavior w:val="content"/>
        </w:behaviors>
        <w:description w:val=""/>
        <w:guid w:val="{FE97DF96-9BF0-4B3A-9A76-5695338A088F}"/>
      </w:docPartPr>
      <w:docPartBody>
        <w:p w14:paraId="6863814B">
          <w:pPr>
            <w:pStyle w:val="6"/>
          </w:pPr>
          <w:r>
            <w:rPr>
              <w:rStyle w:val="4"/>
              <w:rFonts w:hint="eastAsia"/>
            </w:rPr>
            <w:t>单击或点击此处输入文字。</w:t>
          </w:r>
        </w:p>
      </w:docPartBody>
    </w:docPart>
    <w:docPart>
      <w:docPartPr>
        <w:name w:val="{27d5d44f-7fb3-4638-87d2-6d1fb8ed357f}"/>
        <w:style w:val=""/>
        <w:category>
          <w:name w:val="常规"/>
          <w:gallery w:val="placeholder"/>
        </w:category>
        <w:types>
          <w:type w:val="bbPlcHdr"/>
        </w:types>
        <w:behaviors>
          <w:behavior w:val="content"/>
        </w:behaviors>
        <w:description w:val=""/>
        <w:guid w:val="{27d5d44f-7fb3-4638-87d2-6d1fb8ed357f}"/>
      </w:docPartPr>
      <w:docPartBody>
        <w:p w14:paraId="6DE2D49D">
          <w:pPr>
            <w:pStyle w:val="7"/>
          </w:pPr>
          <w:r>
            <w:rPr>
              <w:rStyle w:val="4"/>
              <w:rFonts w:hint="eastAsia"/>
            </w:rPr>
            <w:t>选择一项。</w:t>
          </w:r>
        </w:p>
      </w:docPartBody>
    </w:docPart>
    <w:docPart>
      <w:docPartPr>
        <w:name w:val="{287455c3-8bd1-49e5-b0d1-ac263100b82c}"/>
        <w:style w:val=""/>
        <w:category>
          <w:name w:val="常规"/>
          <w:gallery w:val="placeholder"/>
        </w:category>
        <w:types>
          <w:type w:val="bbPlcHdr"/>
        </w:types>
        <w:behaviors>
          <w:behavior w:val="content"/>
        </w:behaviors>
        <w:description w:val=""/>
        <w:guid w:val="{287455c3-8bd1-49e5-b0d1-ac263100b82c}"/>
      </w:docPartPr>
      <w:docPartBody>
        <w:p w14:paraId="408CAF63">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BFF"/>
    <w:rsid w:val="001D5882"/>
    <w:rsid w:val="002055F0"/>
    <w:rsid w:val="00211824"/>
    <w:rsid w:val="00223446"/>
    <w:rsid w:val="00224AE7"/>
    <w:rsid w:val="0022648C"/>
    <w:rsid w:val="002F7F6F"/>
    <w:rsid w:val="007D1BFF"/>
    <w:rsid w:val="009F474E"/>
    <w:rsid w:val="00D6495B"/>
    <w:rsid w:val="00EA7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54ADC33F69BA4C3C8030D0CABE6EF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51750C52DB14F53B7DE011DAE6F20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E2E4DD8F30F7499B8F2E9EF63130012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5321</Words>
  <Characters>5897</Characters>
  <Lines>1</Lines>
  <Paragraphs>1</Paragraphs>
  <TotalTime>6</TotalTime>
  <ScaleCrop>false</ScaleCrop>
  <LinksUpToDate>false</LinksUpToDate>
  <CharactersWithSpaces>6106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2024-08-31T10:37:00Z</dcterms:created>
  <dc:creator>xuyuanyuan</dc:creator>
  <cp:lastModifiedBy>王贵宝</cp:lastModifiedBy>
  <cp:lastPrinted>2026-07-18T00:18:00Z</cp:lastPrinted>
  <dcterms:modified xsi:type="dcterms:W3CDTF">2026-07-24T08:00:58Z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
    <vt:lpwstr>居家快检服务规范（讨论稿）-20240830 1.docx</vt:lpwstr>
  </property>
  <property fmtid="{D5CDD505-2E9C-101B-9397-08002B2CF9AE}" pid="3" name="o">
    <vt:lpwstr>ORG_INFO</vt:lpwstr>
  </property>
  <property fmtid="{D5CDD505-2E9C-101B-9397-08002B2CF9AE}" pid="4" name="d">
    <vt:lpwstr>XM</vt:lpwstr>
  </property>
  <property fmtid="{D5CDD505-2E9C-101B-9397-08002B2CF9AE}" pid="5" name="i">
    <vt:lpwstr>1</vt:lpwstr>
  </property>
  <property fmtid="{D5CDD505-2E9C-101B-9397-08002B2CF9AE}" pid="6" name="s">
    <vt:lpwstr>5cbb4f6d3a317790a7f78ac5af5a0c409682fd54</vt:lpwstr>
  </property>
  <property fmtid="{D5CDD505-2E9C-101B-9397-08002B2CF9AE}" pid="7" name="KSOProductBuildVer">
    <vt:lpwstr>2052-12.1.0.26895</vt:lpwstr>
  </property>
  <property fmtid="{D5CDD505-2E9C-101B-9397-08002B2CF9AE}" pid="8" name="ICV">
    <vt:lpwstr>EA518A4AB52145FD84036F4813F44299_13</vt:lpwstr>
  </property>
  <property fmtid="{D5CDD505-2E9C-101B-9397-08002B2CF9AE}" pid="9" name="KSOTemplateDocerSaveRecord">
    <vt:lpwstr>eyJoZGlkIjoiMGYzNGYyMThjMDI1NGRlZGM5NTgxYzJmNWYxNDY3MjciLCJ1c2VySWQiOiIyNTUwODIzMDQifQ==</vt:lpwstr>
  </property>
</Properties>
</file>