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2FA15">
      <w:pPr>
        <w:ind w:firstLine="560"/>
        <w:jc w:val="center"/>
        <w:rPr>
          <w:sz w:val="28"/>
          <w:szCs w:val="28"/>
        </w:rPr>
      </w:pPr>
      <w:bookmarkStart w:id="0" w:name="_GoBack"/>
      <w:bookmarkEnd w:id="0"/>
    </w:p>
    <w:p w14:paraId="26165E5F">
      <w:pPr>
        <w:ind w:firstLine="1320" w:firstLineChars="300"/>
        <w:jc w:val="both"/>
        <w:rPr>
          <w:rFonts w:hint="eastAsia" w:ascii="黑体" w:hAnsi="黑体" w:eastAsia="黑体"/>
          <w:bCs/>
          <w:sz w:val="44"/>
          <w:szCs w:val="32"/>
        </w:rPr>
      </w:pPr>
      <w:r>
        <w:rPr>
          <w:rFonts w:hint="eastAsia" w:ascii="黑体" w:hAnsi="黑体" w:eastAsia="黑体"/>
          <w:bCs/>
          <w:sz w:val="44"/>
          <w:szCs w:val="32"/>
        </w:rPr>
        <w:t>《</w:t>
      </w:r>
      <w:r>
        <w:rPr>
          <w:rFonts w:hint="eastAsia" w:ascii="黑体" w:hAnsi="黑体" w:eastAsia="黑体"/>
          <w:bCs/>
          <w:sz w:val="44"/>
          <w:szCs w:val="32"/>
          <w:lang w:eastAsia="zh-CN"/>
        </w:rPr>
        <w:t>全自动离心式血浆置换技术规范</w:t>
      </w:r>
      <w:r>
        <w:rPr>
          <w:rFonts w:hint="eastAsia" w:ascii="黑体" w:hAnsi="黑体" w:eastAsia="黑体"/>
          <w:bCs/>
          <w:sz w:val="44"/>
          <w:szCs w:val="32"/>
        </w:rPr>
        <w:t>》</w:t>
      </w:r>
    </w:p>
    <w:p w14:paraId="6DC7118F">
      <w:pPr>
        <w:ind w:firstLine="880"/>
        <w:jc w:val="center"/>
        <w:rPr>
          <w:rFonts w:hint="eastAsia" w:ascii="黑体" w:hAnsi="黑体" w:eastAsia="黑体"/>
          <w:bCs/>
          <w:sz w:val="44"/>
          <w:szCs w:val="32"/>
        </w:rPr>
      </w:pPr>
      <w:r>
        <w:rPr>
          <w:rFonts w:hint="eastAsia" w:ascii="黑体" w:hAnsi="黑体" w:eastAsia="黑体"/>
          <w:bCs/>
          <w:sz w:val="44"/>
          <w:szCs w:val="32"/>
          <w:lang w:eastAsia="zh-CN"/>
        </w:rPr>
        <w:t>团体标准</w:t>
      </w:r>
      <w:r>
        <w:rPr>
          <w:rFonts w:hint="eastAsia" w:ascii="黑体" w:hAnsi="黑体" w:eastAsia="黑体"/>
          <w:bCs/>
          <w:sz w:val="44"/>
          <w:szCs w:val="32"/>
        </w:rPr>
        <w:t>编制说明</w:t>
      </w:r>
    </w:p>
    <w:p w14:paraId="52077DB8">
      <w:pPr>
        <w:ind w:firstLine="880"/>
        <w:jc w:val="center"/>
        <w:rPr>
          <w:rFonts w:hint="eastAsia" w:ascii="黑体" w:hAnsi="黑体" w:eastAsia="黑体"/>
          <w:bCs/>
          <w:sz w:val="44"/>
          <w:szCs w:val="32"/>
        </w:rPr>
      </w:pPr>
    </w:p>
    <w:p w14:paraId="7E416B16">
      <w:pPr>
        <w:ind w:firstLine="880"/>
        <w:jc w:val="center"/>
        <w:rPr>
          <w:rFonts w:hint="eastAsia" w:ascii="黑体" w:hAnsi="黑体" w:eastAsia="黑体"/>
          <w:bCs/>
          <w:sz w:val="44"/>
          <w:szCs w:val="32"/>
          <w:lang w:eastAsia="zh-CN"/>
        </w:rPr>
      </w:pPr>
    </w:p>
    <w:p w14:paraId="2DA0148D">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黑体" w:hAnsi="黑体" w:eastAsia="黑体"/>
          <w:sz w:val="24"/>
          <w:lang w:eastAsia="zh-CN"/>
        </w:rPr>
        <w:t>一、</w:t>
      </w:r>
      <w:r>
        <w:rPr>
          <w:rFonts w:hint="eastAsia" w:ascii="宋体" w:hAnsi="宋体" w:eastAsia="宋体" w:cs="宋体"/>
          <w:b/>
          <w:sz w:val="24"/>
          <w:szCs w:val="24"/>
        </w:rPr>
        <w:t>工作简况</w:t>
      </w:r>
    </w:p>
    <w:p w14:paraId="71DF29C5">
      <w:pPr>
        <w:pStyle w:val="20"/>
        <w:numPr>
          <w:ilvl w:val="1"/>
          <w:numId w:val="1"/>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任务来源</w:t>
      </w:r>
    </w:p>
    <w:p w14:paraId="38B6211B">
      <w:pPr>
        <w:pStyle w:val="20"/>
        <w:numPr>
          <w:ilvl w:val="0"/>
          <w:numId w:val="0"/>
        </w:numPr>
        <w:snapToGrid w:val="0"/>
        <w:spacing w:before="156" w:beforeLines="50" w:after="156" w:afterLines="50" w:line="360" w:lineRule="auto"/>
        <w:ind w:leftChars="0" w:firstLine="480" w:firstLineChars="20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本文件依据中国民族卫生协会团体标准制修订计划，由朗贝医疗服务（河北）有限公司提出，经中国民族卫生协会批准立项，项目编号：T/CNH</w:t>
      </w:r>
      <w:r>
        <w:rPr>
          <w:rFonts w:hint="eastAsia" w:ascii="宋体" w:hAnsi="宋体" w:cs="宋体"/>
          <w:b w:val="0"/>
          <w:bCs/>
          <w:color w:val="000000"/>
          <w:sz w:val="24"/>
          <w:szCs w:val="24"/>
          <w:lang w:val="en-US" w:eastAsia="zh-CN"/>
        </w:rPr>
        <w:t>AW</w:t>
      </w:r>
      <w:r>
        <w:rPr>
          <w:rFonts w:hint="eastAsia" w:ascii="宋体" w:hAnsi="宋体" w:eastAsia="宋体" w:cs="宋体"/>
          <w:b w:val="0"/>
          <w:bCs/>
          <w:color w:val="000000"/>
          <w:sz w:val="24"/>
          <w:szCs w:val="24"/>
        </w:rPr>
        <w:t>—</w:t>
      </w:r>
      <w:r>
        <w:rPr>
          <w:rFonts w:hint="eastAsia" w:ascii="宋体" w:hAnsi="宋体" w:cs="宋体"/>
          <w:b w:val="0"/>
          <w:bCs/>
          <w:color w:val="000000"/>
          <w:sz w:val="24"/>
          <w:szCs w:val="24"/>
          <w:lang w:val="en-US" w:eastAsia="zh-CN"/>
        </w:rPr>
        <w:t>B</w:t>
      </w:r>
      <w:r>
        <w:rPr>
          <w:rFonts w:hint="eastAsia" w:ascii="宋体" w:hAnsi="宋体" w:eastAsia="宋体" w:cs="宋体"/>
          <w:b w:val="0"/>
          <w:bCs/>
          <w:color w:val="000000"/>
          <w:sz w:val="24"/>
          <w:szCs w:val="24"/>
        </w:rPr>
        <w:t>—</w:t>
      </w:r>
      <w:r>
        <w:rPr>
          <w:rFonts w:hint="eastAsia" w:ascii="宋体" w:hAnsi="宋体" w:cs="宋体"/>
          <w:b w:val="0"/>
          <w:bCs/>
          <w:color w:val="000000"/>
          <w:sz w:val="24"/>
          <w:szCs w:val="24"/>
          <w:lang w:val="en-US" w:eastAsia="zh-CN"/>
        </w:rPr>
        <w:t>0021</w:t>
      </w:r>
      <w:r>
        <w:rPr>
          <w:rFonts w:hint="eastAsia" w:ascii="宋体" w:hAnsi="宋体" w:eastAsia="宋体" w:cs="宋体"/>
          <w:b w:val="0"/>
          <w:bCs/>
          <w:color w:val="000000"/>
          <w:sz w:val="24"/>
          <w:szCs w:val="24"/>
        </w:rPr>
        <w:t>—2025。</w:t>
      </w:r>
    </w:p>
    <w:p w14:paraId="4FB043F4">
      <w:pPr>
        <w:pStyle w:val="20"/>
        <w:numPr>
          <w:ilvl w:val="1"/>
          <w:numId w:val="1"/>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制定背景</w:t>
      </w:r>
    </w:p>
    <w:p w14:paraId="1F51F0EB">
      <w:pPr>
        <w:pStyle w:val="20"/>
        <w:numPr>
          <w:ilvl w:val="0"/>
          <w:numId w:val="0"/>
        </w:numPr>
        <w:snapToGrid w:val="0"/>
        <w:spacing w:before="156" w:beforeLines="50" w:after="156" w:afterLines="50" w:line="360" w:lineRule="auto"/>
        <w:ind w:leftChars="0" w:firstLine="480" w:firstLineChars="20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全自动离心式血浆置换技术是血液净化治疗的重要手段，已广泛应用于重症免疫性疾病、中毒、代谢性疾病等多种临床急危重症的救治。随着医疗技术进步和设备智能化水平提升，该技术在我国临床的应用日</w:t>
      </w:r>
      <w:r>
        <w:rPr>
          <w:rFonts w:hint="eastAsia" w:ascii="宋体" w:hAnsi="宋体" w:eastAsia="宋体" w:cs="宋体"/>
          <w:b w:val="0"/>
          <w:bCs/>
          <w:color w:val="000000"/>
          <w:sz w:val="24"/>
          <w:szCs w:val="24"/>
          <w:u w:val="none"/>
        </w:rPr>
        <w:t>益广泛</w:t>
      </w:r>
      <w:r>
        <w:rPr>
          <w:rFonts w:hint="default" w:ascii="宋体" w:hAnsi="宋体" w:eastAsia="宋体" w:cs="宋体"/>
          <w:b w:val="0"/>
          <w:bCs/>
          <w:color w:val="000000"/>
          <w:sz w:val="24"/>
          <w:szCs w:val="24"/>
          <w:u w:val="none"/>
          <w:lang w:val="en-US"/>
        </w:rPr>
        <w:t>并普及到常规临床治疗</w:t>
      </w:r>
      <w:r>
        <w:rPr>
          <w:rFonts w:hint="eastAsia" w:ascii="宋体" w:hAnsi="宋体" w:eastAsia="宋体" w:cs="宋体"/>
          <w:b w:val="0"/>
          <w:bCs/>
          <w:color w:val="000000"/>
          <w:sz w:val="24"/>
          <w:szCs w:val="24"/>
        </w:rPr>
        <w:t>。然而，目前国内尚无专门针对该技术的统一操作规范与质量控制标准，各医疗机构在设备选用、操作流程、疗效评估等方面存在差异，影响了技术的规范化应用、疗效可比性及患者安全。为填补此项空白，推动技术同质化发展，保障医疗质量与患者安全，特制定本技术规范。</w:t>
      </w:r>
    </w:p>
    <w:p w14:paraId="295D7256">
      <w:pPr>
        <w:pStyle w:val="20"/>
        <w:numPr>
          <w:ilvl w:val="0"/>
          <w:numId w:val="0"/>
        </w:numPr>
        <w:snapToGrid w:val="0"/>
        <w:spacing w:before="156" w:beforeLines="50" w:after="156" w:afterLines="50" w:line="360" w:lineRule="auto"/>
        <w:ind w:leftChars="0" w:firstLine="480" w:firstLineChars="20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经相关领域专家评审和投票，中国民族卫生协会标准化技术委员会审核，</w:t>
      </w:r>
      <w:r>
        <w:rPr>
          <w:rFonts w:hint="eastAsia" w:ascii="宋体" w:hAnsi="宋体" w:cs="宋体"/>
          <w:b w:val="0"/>
          <w:bCs/>
          <w:color w:val="000000"/>
          <w:sz w:val="24"/>
          <w:szCs w:val="24"/>
          <w:lang w:val="en-US" w:eastAsia="zh-CN"/>
        </w:rPr>
        <w:t>2025年10月，</w:t>
      </w:r>
      <w:r>
        <w:rPr>
          <w:rFonts w:hint="eastAsia" w:ascii="宋体" w:hAnsi="宋体" w:eastAsia="宋体" w:cs="宋体"/>
          <w:b w:val="0"/>
          <w:bCs/>
          <w:color w:val="000000"/>
          <w:sz w:val="24"/>
          <w:szCs w:val="24"/>
        </w:rPr>
        <w:t>中国民族卫生协会批准下达《</w:t>
      </w:r>
      <w:r>
        <w:rPr>
          <w:rFonts w:hint="eastAsia" w:ascii="宋体" w:hAnsi="宋体" w:eastAsia="宋体" w:cs="宋体"/>
          <w:b w:val="0"/>
          <w:bCs/>
          <w:color w:val="000000"/>
          <w:sz w:val="24"/>
          <w:szCs w:val="24"/>
          <w:lang w:eastAsia="zh-CN"/>
        </w:rPr>
        <w:t>全自动离心式血浆置换技术规范</w:t>
      </w:r>
      <w:r>
        <w:rPr>
          <w:rFonts w:hint="eastAsia" w:ascii="宋体" w:hAnsi="宋体" w:eastAsia="宋体" w:cs="宋体"/>
          <w:b w:val="0"/>
          <w:bCs/>
          <w:color w:val="000000"/>
          <w:sz w:val="24"/>
          <w:szCs w:val="24"/>
        </w:rPr>
        <w:t>》团体标准计划项目并予以立项。项目编号为T/CNHAW—</w:t>
      </w:r>
      <w:r>
        <w:rPr>
          <w:rFonts w:hint="eastAsia" w:ascii="宋体" w:hAnsi="宋体" w:cs="宋体"/>
          <w:b w:val="0"/>
          <w:bCs/>
          <w:color w:val="000000"/>
          <w:sz w:val="24"/>
          <w:szCs w:val="24"/>
          <w:lang w:val="en-US" w:eastAsia="zh-CN"/>
        </w:rPr>
        <w:t>B</w:t>
      </w:r>
      <w:r>
        <w:rPr>
          <w:rFonts w:hint="eastAsia" w:ascii="宋体" w:hAnsi="宋体" w:eastAsia="宋体" w:cs="宋体"/>
          <w:b w:val="0"/>
          <w:bCs/>
          <w:color w:val="000000"/>
          <w:sz w:val="24"/>
          <w:szCs w:val="24"/>
        </w:rPr>
        <w:t>—00</w:t>
      </w:r>
      <w:r>
        <w:rPr>
          <w:rFonts w:hint="eastAsia" w:ascii="宋体" w:hAnsi="宋体" w:cs="宋体"/>
          <w:b w:val="0"/>
          <w:bCs/>
          <w:color w:val="000000"/>
          <w:sz w:val="24"/>
          <w:szCs w:val="24"/>
          <w:lang w:val="en-US" w:eastAsia="zh-CN"/>
        </w:rPr>
        <w:t>21</w:t>
      </w:r>
      <w:r>
        <w:rPr>
          <w:rFonts w:hint="eastAsia" w:ascii="宋体" w:hAnsi="宋体" w:eastAsia="宋体" w:cs="宋体"/>
          <w:b w:val="0"/>
          <w:bCs/>
          <w:color w:val="000000"/>
          <w:sz w:val="24"/>
          <w:szCs w:val="24"/>
        </w:rPr>
        <w:t>—202</w:t>
      </w:r>
      <w:r>
        <w:rPr>
          <w:rFonts w:hint="eastAsia" w:ascii="宋体" w:hAnsi="宋体" w:cs="宋体"/>
          <w:b w:val="0"/>
          <w:bCs/>
          <w:color w:val="000000"/>
          <w:sz w:val="24"/>
          <w:szCs w:val="24"/>
          <w:lang w:val="en-US" w:eastAsia="zh-CN"/>
        </w:rPr>
        <w:t>5</w:t>
      </w:r>
      <w:r>
        <w:rPr>
          <w:rFonts w:hint="eastAsia" w:ascii="宋体" w:hAnsi="宋体" w:eastAsia="宋体" w:cs="宋体"/>
          <w:b w:val="0"/>
          <w:bCs/>
          <w:color w:val="000000"/>
          <w:sz w:val="24"/>
          <w:szCs w:val="24"/>
        </w:rPr>
        <w:t xml:space="preserve">。本标准由中国民族卫生协会归口管理。 </w:t>
      </w:r>
    </w:p>
    <w:p w14:paraId="6C82C2A8">
      <w:pPr>
        <w:pStyle w:val="20"/>
        <w:numPr>
          <w:ilvl w:val="1"/>
          <w:numId w:val="1"/>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起草过程</w:t>
      </w:r>
    </w:p>
    <w:p w14:paraId="6A866464">
      <w:pPr>
        <w:pStyle w:val="20"/>
        <w:numPr>
          <w:ilvl w:val="0"/>
          <w:numId w:val="2"/>
        </w:numPr>
        <w:snapToGrid w:val="0"/>
        <w:spacing w:before="156" w:beforeLines="50" w:after="156" w:afterLines="50" w:line="360" w:lineRule="auto"/>
        <w:ind w:left="840" w:leftChars="0" w:hanging="425" w:firstLineChars="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立项与筹备阶段（202</w:t>
      </w:r>
      <w:r>
        <w:rPr>
          <w:rFonts w:hint="eastAsia" w:ascii="宋体" w:hAnsi="宋体" w:cs="宋体"/>
          <w:b w:val="0"/>
          <w:bCs/>
          <w:color w:val="000000"/>
          <w:sz w:val="24"/>
          <w:szCs w:val="24"/>
          <w:lang w:val="en-US" w:eastAsia="zh-CN"/>
        </w:rPr>
        <w:t>5</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10</w:t>
      </w:r>
      <w:r>
        <w:rPr>
          <w:rFonts w:hint="eastAsia" w:ascii="宋体" w:hAnsi="宋体" w:eastAsia="宋体" w:cs="宋体"/>
          <w:b w:val="0"/>
          <w:bCs/>
          <w:color w:val="000000"/>
          <w:sz w:val="24"/>
          <w:szCs w:val="24"/>
        </w:rPr>
        <w:t>月-202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1</w:t>
      </w:r>
      <w:r>
        <w:rPr>
          <w:rFonts w:hint="eastAsia" w:ascii="宋体" w:hAnsi="宋体" w:eastAsia="宋体" w:cs="宋体"/>
          <w:b w:val="0"/>
          <w:bCs/>
          <w:color w:val="000000"/>
          <w:sz w:val="24"/>
          <w:szCs w:val="24"/>
        </w:rPr>
        <w:t>月）：成立标准起草工作组，明确制定原则、框架结构与工作计划。</w:t>
      </w:r>
    </w:p>
    <w:p w14:paraId="14D9EBE4">
      <w:pPr>
        <w:pStyle w:val="20"/>
        <w:numPr>
          <w:ilvl w:val="0"/>
          <w:numId w:val="2"/>
        </w:numPr>
        <w:snapToGrid w:val="0"/>
        <w:spacing w:before="156" w:beforeLines="50" w:after="156" w:afterLines="50" w:line="360" w:lineRule="auto"/>
        <w:ind w:left="840" w:leftChars="0" w:hanging="425" w:firstLineChars="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调研与起草阶段（202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1</w:t>
      </w:r>
      <w:r>
        <w:rPr>
          <w:rFonts w:hint="eastAsia" w:ascii="宋体" w:hAnsi="宋体" w:eastAsia="宋体" w:cs="宋体"/>
          <w:b w:val="0"/>
          <w:bCs/>
          <w:color w:val="000000"/>
          <w:sz w:val="24"/>
          <w:szCs w:val="24"/>
        </w:rPr>
        <w:t>月-202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4</w:t>
      </w:r>
      <w:r>
        <w:rPr>
          <w:rFonts w:hint="eastAsia" w:ascii="宋体" w:hAnsi="宋体" w:eastAsia="宋体" w:cs="宋体"/>
          <w:b w:val="0"/>
          <w:bCs/>
          <w:color w:val="000000"/>
          <w:sz w:val="24"/>
          <w:szCs w:val="24"/>
        </w:rPr>
        <w:t>月）</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工作组系统梳理国内外相关技术文献、临床指南、法规标准，结合我国临床实践现状，形成标准草案初稿。</w:t>
      </w:r>
    </w:p>
    <w:p w14:paraId="1D71C542">
      <w:pPr>
        <w:pStyle w:val="20"/>
        <w:numPr>
          <w:ilvl w:val="0"/>
          <w:numId w:val="2"/>
        </w:numPr>
        <w:snapToGrid w:val="0"/>
        <w:spacing w:before="156" w:beforeLines="50" w:after="156" w:afterLines="50" w:line="360" w:lineRule="auto"/>
        <w:ind w:left="840" w:leftChars="0" w:hanging="425" w:firstLineChars="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内部研讨与修改阶段（202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4</w:t>
      </w:r>
      <w:r>
        <w:rPr>
          <w:rFonts w:hint="eastAsia" w:ascii="宋体" w:hAnsi="宋体" w:eastAsia="宋体" w:cs="宋体"/>
          <w:b w:val="0"/>
          <w:bCs/>
          <w:color w:val="000000"/>
          <w:sz w:val="24"/>
          <w:szCs w:val="24"/>
        </w:rPr>
        <w:t>月-202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年</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rPr>
        <w:t>月）</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组织起草单位内部专家对初稿进行多轮研讨，重点就技术要点、安全要求、质量控制等方面进行论证与修改，形成</w:t>
      </w:r>
      <w:r>
        <w:rPr>
          <w:rFonts w:hint="eastAsia" w:ascii="宋体" w:hAnsi="宋体" w:cs="宋体"/>
          <w:b w:val="0"/>
          <w:bCs/>
          <w:color w:val="000000"/>
          <w:sz w:val="24"/>
          <w:szCs w:val="24"/>
          <w:lang w:eastAsia="zh-CN"/>
        </w:rPr>
        <w:t>标准</w:t>
      </w:r>
      <w:r>
        <w:rPr>
          <w:rFonts w:hint="eastAsia" w:ascii="宋体" w:hAnsi="宋体" w:eastAsia="宋体" w:cs="宋体"/>
          <w:b w:val="0"/>
          <w:bCs/>
          <w:color w:val="000000"/>
          <w:sz w:val="24"/>
          <w:szCs w:val="24"/>
        </w:rPr>
        <w:t>讨论稿。</w:t>
      </w:r>
    </w:p>
    <w:p w14:paraId="19CF22E7">
      <w:pPr>
        <w:pStyle w:val="20"/>
        <w:numPr>
          <w:ilvl w:val="0"/>
          <w:numId w:val="2"/>
        </w:numPr>
        <w:snapToGrid w:val="0"/>
        <w:spacing w:before="156" w:beforeLines="50" w:after="156" w:afterLines="50" w:line="360" w:lineRule="auto"/>
        <w:ind w:left="840" w:leftChars="0" w:hanging="425" w:firstLineChars="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公开征求意见阶段（</w:t>
      </w:r>
      <w:r>
        <w:rPr>
          <w:rFonts w:hint="eastAsia" w:ascii="宋体" w:hAnsi="宋体" w:cs="宋体"/>
          <w:b w:val="0"/>
          <w:bCs/>
          <w:color w:val="000000"/>
          <w:sz w:val="24"/>
          <w:szCs w:val="24"/>
          <w:lang w:val="en-US" w:eastAsia="zh-CN"/>
        </w:rPr>
        <w:t>2026年7月</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将</w:t>
      </w:r>
      <w:r>
        <w:rPr>
          <w:rFonts w:hint="eastAsia" w:ascii="宋体" w:hAnsi="宋体" w:cs="宋体"/>
          <w:b w:val="0"/>
          <w:bCs/>
          <w:color w:val="000000"/>
          <w:sz w:val="24"/>
          <w:szCs w:val="24"/>
          <w:lang w:eastAsia="zh-CN"/>
        </w:rPr>
        <w:t>征求意见</w:t>
      </w:r>
      <w:r>
        <w:rPr>
          <w:rFonts w:hint="eastAsia" w:ascii="宋体" w:hAnsi="宋体" w:eastAsia="宋体" w:cs="宋体"/>
          <w:b w:val="0"/>
          <w:bCs/>
          <w:color w:val="000000"/>
          <w:sz w:val="24"/>
          <w:szCs w:val="24"/>
        </w:rPr>
        <w:t>稿面向行业专家、医疗机构、相关企业及社会各界公开征求意见。</w:t>
      </w:r>
    </w:p>
    <w:p w14:paraId="6E5513C2">
      <w:pPr>
        <w:pStyle w:val="20"/>
        <w:numPr>
          <w:ilvl w:val="0"/>
          <w:numId w:val="2"/>
        </w:numPr>
        <w:snapToGrid w:val="0"/>
        <w:spacing w:before="156" w:beforeLines="50" w:after="156" w:afterLines="50" w:line="360" w:lineRule="auto"/>
        <w:ind w:left="840" w:leftChars="0" w:hanging="425" w:firstLineChars="0"/>
        <w:jc w:val="left"/>
        <w:rPr>
          <w:rFonts w:hint="eastAsia" w:ascii="宋体" w:hAnsi="宋体" w:eastAsia="宋体" w:cs="宋体"/>
          <w:b w:val="0"/>
          <w:bCs/>
          <w:color w:val="000000"/>
          <w:sz w:val="24"/>
          <w:szCs w:val="24"/>
        </w:rPr>
      </w:pPr>
      <w:r>
        <w:rPr>
          <w:rFonts w:hint="eastAsia" w:ascii="宋体" w:hAnsi="宋体" w:cs="宋体"/>
          <w:b w:val="0"/>
          <w:bCs/>
          <w:color w:val="000000"/>
          <w:sz w:val="24"/>
          <w:szCs w:val="24"/>
          <w:lang w:eastAsia="zh-CN"/>
        </w:rPr>
        <w:t>拟于</w:t>
      </w:r>
      <w:r>
        <w:rPr>
          <w:rFonts w:hint="eastAsia" w:ascii="宋体" w:hAnsi="宋体" w:cs="宋体"/>
          <w:b w:val="0"/>
          <w:bCs/>
          <w:color w:val="000000"/>
          <w:sz w:val="24"/>
          <w:szCs w:val="24"/>
          <w:lang w:val="en-US" w:eastAsia="zh-CN"/>
        </w:rPr>
        <w:t>2026年8月发布。</w:t>
      </w:r>
    </w:p>
    <w:p w14:paraId="54D72131">
      <w:pPr>
        <w:pStyle w:val="20"/>
        <w:numPr>
          <w:ilvl w:val="1"/>
          <w:numId w:val="1"/>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起草单位、起草人和分工</w:t>
      </w:r>
    </w:p>
    <w:p w14:paraId="38B490FA">
      <w:pPr>
        <w:pStyle w:val="20"/>
        <w:numPr>
          <w:ilvl w:val="0"/>
          <w:numId w:val="0"/>
        </w:numPr>
        <w:snapToGrid w:val="0"/>
        <w:spacing w:before="156" w:beforeLines="50" w:after="156" w:afterLines="50" w:line="360" w:lineRule="auto"/>
        <w:ind w:leftChars="0" w:firstLine="480" w:firstLineChars="200"/>
        <w:jc w:val="left"/>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主要起草单位：</w:t>
      </w:r>
    </w:p>
    <w:p w14:paraId="3E2F315C">
      <w:pPr>
        <w:pStyle w:val="8"/>
        <w:tabs>
          <w:tab w:val="left" w:pos="8190"/>
        </w:tabs>
        <w:spacing w:after="0" w:line="240" w:lineRule="auto"/>
        <w:ind w:left="0" w:leftChars="0" w:firstLine="480" w:firstLineChars="200"/>
        <w:rPr>
          <w:rFonts w:hint="eastAsia" w:ascii="宋体" w:hAnsi="宋体"/>
          <w:sz w:val="21"/>
          <w:szCs w:val="21"/>
          <w:u w:val="none"/>
          <w:lang w:eastAsia="zh-CN"/>
        </w:rPr>
      </w:pPr>
      <w:r>
        <w:rPr>
          <w:rFonts w:hint="default" w:ascii="宋体" w:hAnsi="宋体" w:eastAsia="宋体" w:cs="宋体"/>
          <w:b w:val="0"/>
          <w:bCs/>
          <w:color w:val="000000"/>
          <w:kern w:val="2"/>
          <w:sz w:val="24"/>
          <w:szCs w:val="24"/>
          <w:lang w:val="en-US" w:eastAsia="zh-CN" w:bidi="ar-SA"/>
        </w:rPr>
        <w:t>朗贝医疗服务（河北）有限公司</w:t>
      </w:r>
      <w:r>
        <w:rPr>
          <w:rFonts w:hint="eastAsia" w:ascii="宋体" w:hAnsi="宋体" w:eastAsia="宋体" w:cs="宋体"/>
          <w:b w:val="0"/>
          <w:bCs/>
          <w:color w:val="000000"/>
          <w:kern w:val="2"/>
          <w:sz w:val="24"/>
          <w:szCs w:val="24"/>
          <w:lang w:val="en-US" w:eastAsia="zh-CN" w:bidi="ar-SA"/>
        </w:rPr>
        <w:t>、四川大学华西医院、西南医科大学附属医院、开封第三人民医院、哈尔滨市第五医院</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厦门湖里仁军医院 、北京普华诊所、阜阳市颍州区佑一康复医院、平邑厚德医院、郑州瑞祥医院 、新郑中和医院、宜君龙山医院、</w:t>
      </w:r>
      <w:r>
        <w:rPr>
          <w:rFonts w:hint="default" w:ascii="宋体" w:hAnsi="宋体" w:eastAsia="宋体" w:cs="宋体"/>
          <w:b w:val="0"/>
          <w:bCs/>
          <w:color w:val="000000"/>
          <w:kern w:val="2"/>
          <w:sz w:val="24"/>
          <w:szCs w:val="24"/>
          <w:lang w:val="en-US" w:eastAsia="zh-CN" w:bidi="ar-SA"/>
        </w:rPr>
        <w:t>兰考县妇幼保健院、</w:t>
      </w:r>
      <w:r>
        <w:rPr>
          <w:rFonts w:hint="default" w:ascii="宋体" w:hAnsi="宋体" w:eastAsia="宋体" w:cs="宋体"/>
          <w:b w:val="0"/>
          <w:bCs w:val="0"/>
          <w:i w:val="0"/>
          <w:iCs w:val="0"/>
          <w:color w:val="000000"/>
          <w:kern w:val="2"/>
          <w:sz w:val="24"/>
          <w:szCs w:val="24"/>
          <w:highlight w:val="none"/>
          <w:vertAlign w:val="baseline"/>
          <w:lang w:val="en-US" w:eastAsia="zh-CN" w:bidi="ar-SA"/>
        </w:rPr>
        <w:t>西安铭朗医疗设备有限公司、</w:t>
      </w:r>
      <w:r>
        <w:rPr>
          <w:rFonts w:hint="eastAsia" w:ascii="宋体" w:hAnsi="宋体" w:eastAsia="宋体" w:cs="宋体"/>
          <w:b w:val="0"/>
          <w:bCs/>
          <w:color w:val="000000"/>
          <w:kern w:val="2"/>
          <w:sz w:val="24"/>
          <w:szCs w:val="24"/>
          <w:lang w:val="en-US" w:eastAsia="zh-CN" w:bidi="ar-SA"/>
        </w:rPr>
        <w:t>浙江华清精准医疗科技有限公司、重庆市铂而斐生物技术有限公司、江西北正赛欧科技有限公司、</w:t>
      </w:r>
      <w:r>
        <w:rPr>
          <w:rFonts w:hint="default" w:ascii="宋体" w:hAnsi="宋体" w:eastAsia="宋体" w:cs="宋体"/>
          <w:b w:val="0"/>
          <w:bCs/>
          <w:color w:val="000000"/>
          <w:kern w:val="2"/>
          <w:sz w:val="24"/>
          <w:szCs w:val="24"/>
          <w:lang w:val="en-US" w:eastAsia="zh-CN" w:bidi="ar-SA"/>
        </w:rPr>
        <w:t>朗安医疗服务（石家庄）有限公司</w:t>
      </w:r>
      <w:r>
        <w:rPr>
          <w:rFonts w:hint="eastAsia" w:ascii="宋体" w:hAnsi="宋体" w:eastAsia="宋体" w:cs="宋体"/>
          <w:b w:val="0"/>
          <w:bCs/>
          <w:color w:val="000000"/>
          <w:kern w:val="2"/>
          <w:sz w:val="24"/>
          <w:szCs w:val="24"/>
          <w:lang w:val="en-US" w:eastAsia="zh-CN" w:bidi="ar-SA"/>
        </w:rPr>
        <w:t>、</w:t>
      </w:r>
      <w:r>
        <w:rPr>
          <w:rFonts w:hint="default" w:ascii="宋体" w:hAnsi="宋体" w:eastAsia="宋体" w:cs="宋体"/>
          <w:b w:val="0"/>
          <w:bCs/>
          <w:color w:val="000000"/>
          <w:kern w:val="2"/>
          <w:sz w:val="24"/>
          <w:szCs w:val="24"/>
          <w:lang w:val="en-US" w:eastAsia="zh-CN" w:bidi="ar-SA"/>
        </w:rPr>
        <w:t>中朗健康科技（廊坊）有限公司、</w:t>
      </w:r>
      <w:r>
        <w:rPr>
          <w:rFonts w:hint="default" w:ascii="宋体" w:hAnsi="宋体" w:eastAsia="宋体" w:cs="宋体"/>
          <w:b w:val="0"/>
          <w:bCs/>
          <w:color w:val="000000"/>
          <w:kern w:val="2"/>
          <w:sz w:val="24"/>
          <w:szCs w:val="24"/>
          <w:u w:val="none"/>
          <w:lang w:val="en-US" w:eastAsia="zh-CN" w:bidi="ar-SA"/>
        </w:rPr>
        <w:t>山西仁安医院有限公司。</w:t>
      </w:r>
    </w:p>
    <w:p w14:paraId="10E975F7">
      <w:pPr>
        <w:pStyle w:val="8"/>
        <w:tabs>
          <w:tab w:val="left" w:pos="8190"/>
        </w:tabs>
        <w:spacing w:after="0" w:line="240" w:lineRule="auto"/>
        <w:ind w:left="0" w:leftChars="0" w:firstLine="420" w:firstLineChars="200"/>
        <w:rPr>
          <w:rFonts w:hint="eastAsia" w:ascii="宋体" w:hAnsi="宋体"/>
          <w:sz w:val="21"/>
          <w:szCs w:val="21"/>
          <w:lang w:eastAsia="zh-CN"/>
        </w:rPr>
      </w:pPr>
    </w:p>
    <w:p w14:paraId="0D0F5A79">
      <w:pPr>
        <w:pStyle w:val="8"/>
        <w:tabs>
          <w:tab w:val="left" w:pos="8190"/>
        </w:tabs>
        <w:spacing w:after="0" w:line="240" w:lineRule="auto"/>
        <w:ind w:left="0" w:leftChars="0" w:firstLine="480" w:firstLineChars="200"/>
        <w:rPr>
          <w:rFonts w:hint="default"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主要起草人：</w:t>
      </w:r>
    </w:p>
    <w:p w14:paraId="76100997">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陈晓红、吴洁、黄亦红、杨长松、</w:t>
      </w:r>
      <w:r>
        <w:rPr>
          <w:rFonts w:hint="default" w:ascii="宋体" w:hAnsi="宋体" w:eastAsia="宋体" w:cs="宋体"/>
          <w:b w:val="0"/>
          <w:bCs/>
          <w:color w:val="000000"/>
          <w:kern w:val="2"/>
          <w:sz w:val="24"/>
          <w:szCs w:val="24"/>
          <w:lang w:val="en-US" w:eastAsia="zh-CN" w:bidi="ar-SA"/>
        </w:rPr>
        <w:t>李澎涛</w:t>
      </w:r>
      <w:r>
        <w:rPr>
          <w:rFonts w:hint="eastAsia" w:ascii="宋体" w:hAnsi="宋体" w:eastAsia="宋体" w:cs="宋体"/>
          <w:b w:val="0"/>
          <w:bCs/>
          <w:color w:val="000000"/>
          <w:kern w:val="2"/>
          <w:sz w:val="24"/>
          <w:szCs w:val="24"/>
          <w:lang w:val="en-US" w:eastAsia="zh-CN" w:bidi="ar-SA"/>
        </w:rPr>
        <w:t>、于普林、何平、赵领、肖惠敏、冯东菲、</w:t>
      </w:r>
    </w:p>
    <w:p w14:paraId="248512D6">
      <w:pPr>
        <w:pStyle w:val="8"/>
        <w:tabs>
          <w:tab w:val="left" w:pos="8190"/>
        </w:tabs>
        <w:spacing w:after="0" w:line="240" w:lineRule="auto"/>
        <w:ind w:left="0" w:leftChars="0" w:firstLine="0" w:firstLineChars="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苑晓晨、</w:t>
      </w:r>
      <w:r>
        <w:rPr>
          <w:rFonts w:hint="eastAsia" w:ascii="宋体" w:hAnsi="宋体" w:cs="宋体"/>
          <w:b w:val="0"/>
          <w:bCs/>
          <w:color w:val="000000"/>
          <w:kern w:val="2"/>
          <w:sz w:val="24"/>
          <w:szCs w:val="24"/>
          <w:lang w:val="en-US" w:eastAsia="zh-CN" w:bidi="ar-SA"/>
        </w:rPr>
        <w:t xml:space="preserve"> </w:t>
      </w:r>
      <w:r>
        <w:rPr>
          <w:rFonts w:hint="eastAsia" w:ascii="宋体" w:hAnsi="宋体" w:eastAsia="宋体" w:cs="宋体"/>
          <w:b w:val="0"/>
          <w:bCs/>
          <w:color w:val="000000"/>
          <w:kern w:val="2"/>
          <w:sz w:val="24"/>
          <w:szCs w:val="24"/>
          <w:lang w:val="en-US" w:eastAsia="zh-CN" w:bidi="ar-SA"/>
        </w:rPr>
        <w:t>林燕、雷健波、张育铭、丁显平</w:t>
      </w:r>
      <w:r>
        <w:rPr>
          <w:rFonts w:hint="default"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杨冬梅、</w:t>
      </w:r>
      <w:r>
        <w:rPr>
          <w:rFonts w:hint="eastAsia" w:ascii="宋体" w:hAnsi="宋体" w:eastAsia="宋体" w:cs="宋体"/>
          <w:b w:val="0"/>
          <w:bCs/>
          <w:color w:val="000000"/>
          <w:kern w:val="2"/>
          <w:sz w:val="24"/>
          <w:szCs w:val="24"/>
          <w:lang w:val="en-US" w:eastAsia="zh-CN" w:bidi="ar-SA"/>
        </w:rPr>
        <w:t>许树根、韩鹏、张庆军、唐学良、林晓杨、黄自聪、黄祥泓、赵峰、简勇、郭声敏、谢道银、杜铁军</w:t>
      </w:r>
      <w:r>
        <w:rPr>
          <w:rFonts w:hint="default" w:ascii="宋体" w:hAnsi="宋体" w:eastAsia="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程素娜、</w:t>
      </w:r>
      <w:r>
        <w:rPr>
          <w:rFonts w:hint="default" w:ascii="宋体" w:hAnsi="宋体" w:eastAsia="宋体" w:cs="宋体"/>
          <w:b w:val="0"/>
          <w:bCs/>
          <w:color w:val="000000"/>
          <w:kern w:val="2"/>
          <w:sz w:val="24"/>
          <w:szCs w:val="24"/>
          <w:u w:val="none"/>
          <w:lang w:val="en-US" w:eastAsia="zh-CN" w:bidi="ar-SA"/>
        </w:rPr>
        <w:t>贺达、</w:t>
      </w:r>
      <w:r>
        <w:rPr>
          <w:rFonts w:hint="eastAsia" w:ascii="宋体" w:hAnsi="宋体" w:eastAsia="宋体" w:cs="宋体"/>
          <w:b w:val="0"/>
          <w:bCs/>
          <w:color w:val="000000"/>
          <w:kern w:val="2"/>
          <w:sz w:val="24"/>
          <w:szCs w:val="24"/>
          <w:lang w:val="en-US" w:eastAsia="zh-CN" w:bidi="ar-SA"/>
        </w:rPr>
        <w:t>甘元善、</w:t>
      </w:r>
    </w:p>
    <w:p w14:paraId="49649493">
      <w:pPr>
        <w:pStyle w:val="8"/>
        <w:tabs>
          <w:tab w:val="left" w:pos="8190"/>
        </w:tabs>
        <w:spacing w:after="0" w:line="240" w:lineRule="auto"/>
        <w:ind w:left="0" w:leftChars="0" w:firstLine="0" w:firstLineChars="0"/>
        <w:rPr>
          <w:rFonts w:hint="eastAsia" w:ascii="宋体" w:hAnsi="宋体" w:eastAsia="宋体" w:cs="宋体"/>
          <w:b w:val="0"/>
          <w:bCs/>
          <w:color w:val="000000"/>
          <w:kern w:val="2"/>
          <w:sz w:val="24"/>
          <w:szCs w:val="24"/>
          <w:u w:val="none"/>
          <w:lang w:val="en-US" w:eastAsia="zh-CN" w:bidi="ar-SA"/>
        </w:rPr>
      </w:pPr>
      <w:r>
        <w:rPr>
          <w:rFonts w:hint="eastAsia" w:ascii="宋体" w:hAnsi="宋体" w:eastAsia="宋体" w:cs="宋体"/>
          <w:b w:val="0"/>
          <w:bCs/>
          <w:color w:val="000000"/>
          <w:kern w:val="2"/>
          <w:sz w:val="24"/>
          <w:szCs w:val="24"/>
          <w:lang w:val="en-US" w:eastAsia="zh-CN" w:bidi="ar-SA"/>
        </w:rPr>
        <w:t>张敬、</w:t>
      </w:r>
      <w:r>
        <w:rPr>
          <w:rFonts w:hint="eastAsia" w:ascii="宋体" w:hAnsi="宋体" w:eastAsia="宋体" w:cs="宋体"/>
          <w:b w:val="0"/>
          <w:bCs/>
          <w:color w:val="000000"/>
          <w:kern w:val="2"/>
          <w:sz w:val="24"/>
          <w:szCs w:val="24"/>
          <w:u w:val="none"/>
          <w:lang w:val="en-US" w:eastAsia="zh-CN" w:bidi="ar-SA"/>
        </w:rPr>
        <w:t>钱会芬、</w:t>
      </w:r>
      <w:r>
        <w:rPr>
          <w:rFonts w:hint="default" w:ascii="宋体" w:hAnsi="宋体" w:eastAsia="宋体" w:cs="宋体"/>
          <w:b w:val="0"/>
          <w:bCs/>
          <w:color w:val="000000"/>
          <w:kern w:val="2"/>
          <w:sz w:val="24"/>
          <w:szCs w:val="24"/>
          <w:u w:val="none"/>
          <w:lang w:val="en-US" w:eastAsia="zh-CN" w:bidi="ar-SA"/>
        </w:rPr>
        <w:t>赵言正、张潇瑶、</w:t>
      </w:r>
      <w:r>
        <w:rPr>
          <w:rFonts w:hint="eastAsia" w:ascii="宋体" w:hAnsi="宋体" w:eastAsia="宋体" w:cs="宋体"/>
          <w:b w:val="0"/>
          <w:bCs/>
          <w:color w:val="000000"/>
          <w:kern w:val="2"/>
          <w:sz w:val="24"/>
          <w:szCs w:val="24"/>
          <w:u w:val="none"/>
          <w:lang w:val="en-US" w:eastAsia="zh-CN" w:bidi="ar-SA"/>
        </w:rPr>
        <w:t>刘静辉</w:t>
      </w:r>
      <w:r>
        <w:rPr>
          <w:rFonts w:hint="default" w:ascii="宋体" w:hAnsi="宋体" w:eastAsia="宋体" w:cs="宋体"/>
          <w:b w:val="0"/>
          <w:bCs/>
          <w:color w:val="000000"/>
          <w:kern w:val="2"/>
          <w:sz w:val="24"/>
          <w:szCs w:val="24"/>
          <w:u w:val="none"/>
          <w:lang w:val="en-US" w:eastAsia="zh-CN" w:bidi="ar-SA"/>
        </w:rPr>
        <w:t>、周润柏。</w:t>
      </w:r>
    </w:p>
    <w:p w14:paraId="430881C9">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pPr>
    </w:p>
    <w:p w14:paraId="4806CB95">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分工概述：起草工作组根据各成员单位</w:t>
      </w:r>
      <w:r>
        <w:rPr>
          <w:rFonts w:hint="eastAsia" w:ascii="宋体" w:hAnsi="宋体" w:cs="宋体"/>
          <w:b w:val="0"/>
          <w:bCs/>
          <w:color w:val="000000"/>
          <w:kern w:val="2"/>
          <w:sz w:val="24"/>
          <w:szCs w:val="24"/>
          <w:lang w:val="en-US" w:eastAsia="zh-CN" w:bidi="ar-SA"/>
        </w:rPr>
        <w:t>及起草人的</w:t>
      </w:r>
      <w:r>
        <w:rPr>
          <w:rFonts w:hint="eastAsia" w:ascii="宋体" w:hAnsi="宋体" w:eastAsia="宋体" w:cs="宋体"/>
          <w:b w:val="0"/>
          <w:bCs/>
          <w:color w:val="000000"/>
          <w:kern w:val="2"/>
          <w:sz w:val="24"/>
          <w:szCs w:val="24"/>
          <w:lang w:val="en-US" w:eastAsia="zh-CN" w:bidi="ar-SA"/>
        </w:rPr>
        <w:t>专业特长进行分工，涵盖</w:t>
      </w:r>
      <w:r>
        <w:rPr>
          <w:rFonts w:hint="eastAsia" w:ascii="宋体" w:hAnsi="宋体" w:cs="宋体"/>
          <w:b w:val="0"/>
          <w:bCs/>
          <w:color w:val="000000"/>
          <w:kern w:val="2"/>
          <w:sz w:val="24"/>
          <w:szCs w:val="24"/>
          <w:lang w:val="en-US" w:eastAsia="zh-CN" w:bidi="ar-SA"/>
        </w:rPr>
        <w:t>血液、</w:t>
      </w:r>
      <w:r>
        <w:rPr>
          <w:rFonts w:hint="eastAsia" w:ascii="宋体" w:hAnsi="宋体" w:eastAsia="宋体" w:cs="宋体"/>
          <w:b w:val="0"/>
          <w:bCs/>
          <w:color w:val="000000"/>
          <w:kern w:val="2"/>
          <w:sz w:val="24"/>
          <w:szCs w:val="24"/>
          <w:lang w:val="en-US" w:eastAsia="zh-CN" w:bidi="ar-SA"/>
        </w:rPr>
        <w:t>临床医学、</w:t>
      </w:r>
      <w:r>
        <w:rPr>
          <w:rFonts w:hint="eastAsia" w:ascii="宋体" w:hAnsi="宋体" w:cs="宋体"/>
          <w:b w:val="0"/>
          <w:bCs/>
          <w:color w:val="000000"/>
          <w:kern w:val="2"/>
          <w:sz w:val="24"/>
          <w:szCs w:val="24"/>
          <w:lang w:val="en-US" w:eastAsia="zh-CN" w:bidi="ar-SA"/>
        </w:rPr>
        <w:t>营养、</w:t>
      </w:r>
      <w:r>
        <w:rPr>
          <w:rFonts w:hint="eastAsia" w:ascii="宋体" w:hAnsi="宋体" w:eastAsia="宋体" w:cs="宋体"/>
          <w:b w:val="0"/>
          <w:bCs/>
          <w:color w:val="000000"/>
          <w:kern w:val="2"/>
          <w:sz w:val="24"/>
          <w:szCs w:val="24"/>
          <w:lang w:val="en-US" w:eastAsia="zh-CN" w:bidi="ar-SA"/>
        </w:rPr>
        <w:t>护理操作、设备工程、质量控制</w:t>
      </w:r>
      <w:r>
        <w:rPr>
          <w:rFonts w:hint="eastAsia" w:ascii="宋体" w:hAnsi="宋体" w:cs="宋体"/>
          <w:b w:val="0"/>
          <w:bCs/>
          <w:color w:val="000000"/>
          <w:kern w:val="2"/>
          <w:sz w:val="24"/>
          <w:szCs w:val="24"/>
          <w:lang w:val="en-US" w:eastAsia="zh-CN" w:bidi="ar-SA"/>
        </w:rPr>
        <w:t>、干细胞与再生医学</w:t>
      </w:r>
      <w:r>
        <w:rPr>
          <w:rFonts w:hint="eastAsia" w:ascii="宋体" w:hAnsi="宋体" w:eastAsia="宋体" w:cs="宋体"/>
          <w:b w:val="0"/>
          <w:bCs/>
          <w:color w:val="000000"/>
          <w:kern w:val="2"/>
          <w:sz w:val="24"/>
          <w:szCs w:val="24"/>
          <w:lang w:val="en-US" w:eastAsia="zh-CN" w:bidi="ar-SA"/>
        </w:rPr>
        <w:t>等领域，共同完成标准文本的调研、撰写、审校与修改工作。其中：</w:t>
      </w:r>
    </w:p>
    <w:p w14:paraId="1E7858BD">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四川大学华西医院、开封第三人民医院、哈尔滨市第五医院</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、阜阳市颍州区佑一康复医院、</w:t>
      </w:r>
      <w:r>
        <w:rPr>
          <w:rFonts w:hint="default" w:ascii="宋体" w:hAnsi="宋体" w:eastAsia="宋体" w:cs="宋体"/>
          <w:b w:val="0"/>
          <w:bCs/>
          <w:color w:val="000000"/>
          <w:kern w:val="2"/>
          <w:sz w:val="24"/>
          <w:szCs w:val="24"/>
          <w:u w:val="none"/>
          <w:lang w:val="en-US" w:eastAsia="zh-CN" w:bidi="ar-SA"/>
        </w:rPr>
        <w:t>山西仁安医院有限公司</w:t>
      </w:r>
      <w:r>
        <w:rPr>
          <w:rFonts w:hint="eastAsia" w:ascii="宋体" w:hAnsi="宋体" w:cs="宋体"/>
          <w:b w:val="0"/>
          <w:bCs/>
          <w:color w:val="000000"/>
          <w:kern w:val="2"/>
          <w:sz w:val="24"/>
          <w:szCs w:val="24"/>
          <w:u w:val="none"/>
          <w:lang w:val="en-US" w:eastAsia="zh-CN" w:bidi="ar-SA"/>
        </w:rPr>
        <w:t>负责</w:t>
      </w:r>
      <w:r>
        <w:rPr>
          <w:rFonts w:hint="eastAsia" w:ascii="宋体" w:hAnsi="宋体" w:eastAsia="宋体" w:cs="宋体"/>
          <w:b w:val="0"/>
          <w:bCs/>
          <w:color w:val="000000"/>
          <w:kern w:val="2"/>
          <w:sz w:val="24"/>
          <w:szCs w:val="24"/>
          <w:lang w:val="en-US" w:eastAsia="zh-CN" w:bidi="ar-SA"/>
        </w:rPr>
        <w:t>:整体框架设计、统筹组织、政策文献梳理、需求分析、国内外标准对比、范围、意见汇总与标准修订</w:t>
      </w:r>
      <w:r>
        <w:rPr>
          <w:rFonts w:hint="eastAsia" w:ascii="宋体" w:hAnsi="宋体" w:cs="宋体"/>
          <w:b w:val="0"/>
          <w:bCs/>
          <w:color w:val="000000"/>
          <w:kern w:val="2"/>
          <w:sz w:val="24"/>
          <w:szCs w:val="24"/>
          <w:lang w:val="en-US" w:eastAsia="zh-CN" w:bidi="ar-SA"/>
        </w:rPr>
        <w:t>、安全风险评估等；</w:t>
      </w:r>
    </w:p>
    <w:p w14:paraId="7823B3D3">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西南医科大学附属医院、郑州瑞祥医院、新郑中和医院</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中国民族卫生协会北京融科医院、厦门湖里仁军医院 、北京普华诊所有限公司、</w:t>
      </w:r>
      <w:r>
        <w:rPr>
          <w:rFonts w:hint="default" w:ascii="宋体" w:hAnsi="宋体" w:eastAsia="宋体" w:cs="宋体"/>
          <w:b w:val="0"/>
          <w:bCs/>
          <w:color w:val="000000"/>
          <w:kern w:val="2"/>
          <w:sz w:val="24"/>
          <w:szCs w:val="24"/>
          <w:lang w:val="en-US" w:eastAsia="zh-CN" w:bidi="ar-SA"/>
        </w:rPr>
        <w:t>全科京医（厦门）研究院有限公司</w:t>
      </w:r>
      <w:r>
        <w:rPr>
          <w:rFonts w:hint="eastAsia" w:ascii="宋体" w:hAnsi="宋体" w:cs="宋体"/>
          <w:b w:val="0"/>
          <w:bCs/>
          <w:color w:val="000000"/>
          <w:kern w:val="2"/>
          <w:sz w:val="24"/>
          <w:szCs w:val="24"/>
          <w:lang w:val="en-US" w:eastAsia="zh-CN" w:bidi="ar-SA"/>
        </w:rPr>
        <w:t>负责</w:t>
      </w:r>
      <w:r>
        <w:rPr>
          <w:rFonts w:hint="eastAsia" w:ascii="宋体" w:hAnsi="宋体" w:eastAsia="宋体" w:cs="宋体"/>
          <w:b w:val="0"/>
          <w:bCs/>
          <w:color w:val="000000"/>
          <w:kern w:val="2"/>
          <w:sz w:val="24"/>
          <w:szCs w:val="24"/>
          <w:lang w:val="en-US" w:eastAsia="zh-CN" w:bidi="ar-SA"/>
        </w:rPr>
        <w:t>:规范性术语和定义 缩略语，基本要求、抗凝方案、置换容量、质量控制术语校准、格式规范、条款可操作性论证、附录和参考文献</w:t>
      </w:r>
      <w:r>
        <w:rPr>
          <w:rFonts w:hint="eastAsia" w:ascii="宋体" w:hAnsi="宋体" w:cs="宋体"/>
          <w:b w:val="0"/>
          <w:bCs/>
          <w:color w:val="000000"/>
          <w:kern w:val="2"/>
          <w:sz w:val="24"/>
          <w:szCs w:val="24"/>
          <w:lang w:val="en-US" w:eastAsia="zh-CN" w:bidi="ar-SA"/>
        </w:rPr>
        <w:t>等。</w:t>
      </w:r>
    </w:p>
    <w:p w14:paraId="6E143B5C">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二、</w:t>
      </w:r>
      <w:r>
        <w:rPr>
          <w:rFonts w:hint="eastAsia" w:ascii="宋体" w:hAnsi="宋体" w:eastAsia="宋体" w:cs="宋体"/>
          <w:b/>
          <w:sz w:val="24"/>
          <w:szCs w:val="24"/>
        </w:rPr>
        <w:t>国家标准编制原则、主要内容及其确定依据，修订国家标准时，还包括修订前后技术内容的对比</w:t>
      </w:r>
    </w:p>
    <w:p w14:paraId="147E5852">
      <w:pPr>
        <w:pStyle w:val="20"/>
        <w:numPr>
          <w:ilvl w:val="0"/>
          <w:numId w:val="3"/>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编制原则</w:t>
      </w:r>
    </w:p>
    <w:p w14:paraId="5C28C555">
      <w:pPr>
        <w:pStyle w:val="12"/>
        <w:keepNext w:val="0"/>
        <w:keepLines w:val="0"/>
        <w:widowControl/>
        <w:suppressLineNumbers w:val="0"/>
        <w:shd w:val="clear" w:color="auto" w:fill="FFFFFF"/>
        <w:wordWrap/>
        <w:spacing w:before="0" w:beforeAutospacing="0" w:after="0" w:afterAutospacing="0"/>
        <w:ind w:left="0" w:right="0" w:firstLine="480" w:firstLineChars="200"/>
        <w:jc w:val="left"/>
        <w:rPr>
          <w:rFonts w:hint="eastAsia" w:ascii="宋体" w:hAnsi="宋体" w:eastAsia="宋体" w:cs="宋体"/>
          <w:b w:val="0"/>
          <w:bCs/>
          <w:color w:val="000000"/>
          <w:kern w:val="2"/>
          <w:sz w:val="24"/>
          <w:szCs w:val="24"/>
          <w:lang w:val="en-US" w:eastAsia="zh-CN" w:bidi="ar-SA"/>
        </w:rPr>
      </w:pPr>
      <w:r>
        <w:rPr>
          <w:rFonts w:hint="eastAsia" w:cs="宋体"/>
          <w:b w:val="0"/>
          <w:bCs/>
          <w:color w:val="000000"/>
          <w:sz w:val="24"/>
          <w:szCs w:val="24"/>
          <w:lang w:eastAsia="zh-CN"/>
        </w:rPr>
        <w:t>（</w:t>
      </w:r>
      <w:r>
        <w:rPr>
          <w:rFonts w:hint="eastAsia" w:cs="宋体"/>
          <w:b w:val="0"/>
          <w:bCs/>
          <w:color w:val="000000"/>
          <w:sz w:val="24"/>
          <w:szCs w:val="24"/>
          <w:lang w:val="en-US" w:eastAsia="zh-CN"/>
        </w:rPr>
        <w:t>1</w:t>
      </w:r>
      <w:r>
        <w:rPr>
          <w:rFonts w:hint="eastAsia" w:cs="宋体"/>
          <w:b w:val="0"/>
          <w:bCs/>
          <w:color w:val="000000"/>
          <w:sz w:val="24"/>
          <w:szCs w:val="24"/>
          <w:lang w:eastAsia="zh-CN"/>
        </w:rPr>
        <w:t>）</w:t>
      </w:r>
      <w:r>
        <w:rPr>
          <w:rFonts w:hint="eastAsia" w:ascii="宋体" w:hAnsi="宋体" w:eastAsia="宋体" w:cs="宋体"/>
          <w:b w:val="0"/>
          <w:bCs/>
          <w:color w:val="000000"/>
          <w:sz w:val="24"/>
          <w:szCs w:val="24"/>
        </w:rPr>
        <w:t>科学性</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以循证医学为基础，参考国内外最新临床研究、技术指南及行业共识。</w:t>
      </w:r>
      <w:r>
        <w:rPr>
          <w:rFonts w:hint="eastAsia" w:cs="宋体"/>
          <w:b w:val="0"/>
          <w:bCs/>
          <w:color w:val="000000"/>
          <w:sz w:val="24"/>
          <w:szCs w:val="24"/>
          <w:lang w:eastAsia="zh-CN"/>
        </w:rPr>
        <w:t>进一步</w:t>
      </w:r>
      <w:r>
        <w:rPr>
          <w:rFonts w:hint="eastAsia" w:ascii="宋体" w:hAnsi="宋体" w:eastAsia="宋体" w:cs="宋体"/>
          <w:b w:val="0"/>
          <w:bCs/>
          <w:color w:val="000000"/>
          <w:kern w:val="2"/>
          <w:sz w:val="24"/>
          <w:szCs w:val="24"/>
          <w:lang w:val="en-US" w:eastAsia="zh-CN" w:bidi="ar-SA"/>
        </w:rPr>
        <w:t>规范设备参数、抗凝方案、置换容量、安全预警全流程，统一老年抗衰老、重症免疫病诊疗</w:t>
      </w:r>
      <w:r>
        <w:rPr>
          <w:rFonts w:hint="eastAsia" w:cs="宋体"/>
          <w:b w:val="0"/>
          <w:bCs/>
          <w:color w:val="000000"/>
          <w:kern w:val="2"/>
          <w:sz w:val="24"/>
          <w:szCs w:val="24"/>
          <w:lang w:val="en-US" w:eastAsia="zh-CN" w:bidi="ar-SA"/>
        </w:rPr>
        <w:t>等</w:t>
      </w:r>
      <w:r>
        <w:rPr>
          <w:rFonts w:hint="eastAsia" w:ascii="宋体" w:hAnsi="宋体" w:eastAsia="宋体" w:cs="宋体"/>
          <w:b w:val="0"/>
          <w:bCs/>
          <w:color w:val="000000"/>
          <w:kern w:val="2"/>
          <w:sz w:val="24"/>
          <w:szCs w:val="24"/>
          <w:lang w:val="en-US" w:eastAsia="zh-CN" w:bidi="ar-SA"/>
        </w:rPr>
        <w:t>操作细则，填补国内离心式置换设备标准化空白，保障</w:t>
      </w:r>
      <w:r>
        <w:rPr>
          <w:rFonts w:hint="eastAsia" w:cs="宋体"/>
          <w:b w:val="0"/>
          <w:bCs/>
          <w:color w:val="000000"/>
          <w:kern w:val="2"/>
          <w:sz w:val="24"/>
          <w:szCs w:val="24"/>
          <w:lang w:val="en-US" w:eastAsia="zh-CN" w:bidi="ar-SA"/>
        </w:rPr>
        <w:t>全自动离心式血浆置换技术的</w:t>
      </w:r>
      <w:r>
        <w:rPr>
          <w:rFonts w:hint="eastAsia" w:ascii="宋体" w:hAnsi="宋体" w:eastAsia="宋体" w:cs="宋体"/>
          <w:b w:val="0"/>
          <w:bCs/>
          <w:color w:val="000000"/>
          <w:kern w:val="2"/>
          <w:sz w:val="24"/>
          <w:szCs w:val="24"/>
          <w:lang w:val="en-US" w:eastAsia="zh-CN" w:bidi="ar-SA"/>
        </w:rPr>
        <w:t>安全可控。</w:t>
      </w:r>
    </w:p>
    <w:p w14:paraId="7BA11323">
      <w:pPr>
        <w:pStyle w:val="12"/>
        <w:keepNext w:val="0"/>
        <w:keepLines w:val="0"/>
        <w:widowControl/>
        <w:suppressLineNumbers w:val="0"/>
        <w:shd w:val="clear" w:color="auto" w:fill="FFFFFF"/>
        <w:wordWrap/>
        <w:spacing w:before="0" w:beforeAutospacing="0" w:after="0" w:afterAutospacing="0"/>
        <w:ind w:right="0" w:firstLine="480" w:firstLineChars="200"/>
        <w:jc w:val="left"/>
        <w:rPr>
          <w:rFonts w:hint="eastAsia" w:ascii="宋体" w:hAnsi="宋体" w:eastAsia="宋体" w:cs="宋体"/>
          <w:b w:val="0"/>
          <w:bCs/>
          <w:color w:val="000000"/>
          <w:sz w:val="24"/>
          <w:szCs w:val="24"/>
        </w:rPr>
      </w:pPr>
      <w:r>
        <w:rPr>
          <w:rFonts w:hint="eastAsia" w:ascii="宋体" w:hAnsi="宋体" w:eastAsia="宋体" w:cs="宋体"/>
          <w:b w:val="0"/>
          <w:bCs/>
          <w:color w:val="000000"/>
          <w:kern w:val="2"/>
          <w:sz w:val="24"/>
          <w:szCs w:val="24"/>
          <w:lang w:val="en-US" w:eastAsia="zh-CN" w:bidi="ar-SA"/>
        </w:rPr>
        <w:t>（2）适用性。立足国内各级医疗机构诊疗实际，依照各级医院硬件设施差异细化标准条文，划分差异化操作细则，打通基层与大型医疗机构实操壁垒，保障全自动离心式血浆置换整套流程能够顺畅落地、规范施行</w:t>
      </w:r>
      <w:r>
        <w:rPr>
          <w:rFonts w:hint="eastAsia" w:ascii="宋体" w:hAnsi="宋体" w:eastAsia="宋体" w:cs="宋体"/>
          <w:b w:val="0"/>
          <w:bCs/>
          <w:color w:val="000000"/>
          <w:sz w:val="24"/>
          <w:szCs w:val="24"/>
        </w:rPr>
        <w:t>。</w:t>
      </w:r>
    </w:p>
    <w:p w14:paraId="202FE08E">
      <w:pPr>
        <w:pStyle w:val="12"/>
        <w:keepNext w:val="0"/>
        <w:keepLines w:val="0"/>
        <w:widowControl/>
        <w:suppressLineNumbers w:val="0"/>
        <w:shd w:val="clear" w:color="auto" w:fill="FFFFFF"/>
        <w:wordWrap/>
        <w:spacing w:before="0" w:beforeAutospacing="0" w:after="0" w:afterAutospacing="0"/>
        <w:ind w:right="0" w:firstLine="480" w:firstLineChars="200"/>
        <w:jc w:val="left"/>
        <w:rPr>
          <w:rFonts w:hint="eastAsia" w:ascii="宋体" w:hAnsi="宋体" w:eastAsia="宋体" w:cs="宋体"/>
          <w:b w:val="0"/>
          <w:bCs/>
          <w:color w:val="000000"/>
          <w:sz w:val="24"/>
          <w:szCs w:val="24"/>
          <w:lang w:eastAsia="zh-CN"/>
        </w:rPr>
      </w:pPr>
      <w:r>
        <w:rPr>
          <w:rFonts w:hint="eastAsia" w:ascii="宋体" w:hAnsi="宋体" w:cs="宋体"/>
          <w:b w:val="0"/>
          <w:bCs/>
          <w:color w:val="000000"/>
          <w:sz w:val="24"/>
          <w:szCs w:val="24"/>
          <w:lang w:eastAsia="zh-CN"/>
        </w:rPr>
        <w:t>（</w:t>
      </w:r>
      <w:r>
        <w:rPr>
          <w:rFonts w:hint="eastAsia" w:ascii="宋体" w:hAnsi="宋体" w:cs="宋体"/>
          <w:b w:val="0"/>
          <w:bCs/>
          <w:color w:val="000000"/>
          <w:sz w:val="24"/>
          <w:szCs w:val="24"/>
          <w:lang w:val="en-US" w:eastAsia="zh-CN"/>
        </w:rPr>
        <w:t>3</w:t>
      </w:r>
      <w:r>
        <w:rPr>
          <w:rFonts w:hint="eastAsia" w:ascii="宋体" w:hAnsi="宋体" w:cs="宋体"/>
          <w:b w:val="0"/>
          <w:bCs/>
          <w:color w:val="000000"/>
          <w:sz w:val="24"/>
          <w:szCs w:val="24"/>
          <w:lang w:eastAsia="zh-CN"/>
        </w:rPr>
        <w:t>）</w:t>
      </w:r>
      <w:r>
        <w:rPr>
          <w:rFonts w:hint="eastAsia" w:cs="宋体"/>
          <w:b w:val="0"/>
          <w:bCs/>
          <w:color w:val="000000"/>
          <w:sz w:val="24"/>
          <w:szCs w:val="24"/>
          <w:lang w:eastAsia="zh-CN"/>
        </w:rPr>
        <w:t>规范性：</w:t>
      </w:r>
      <w:r>
        <w:rPr>
          <w:rFonts w:hint="eastAsia" w:ascii="宋体" w:hAnsi="宋体" w:eastAsia="宋体" w:cs="宋体"/>
          <w:b w:val="0"/>
          <w:bCs/>
          <w:color w:val="000000"/>
          <w:sz w:val="24"/>
          <w:szCs w:val="24"/>
        </w:rPr>
        <w:t>严格遵循GB/T 1.1—2020《标准化工作导则》</w:t>
      </w:r>
      <w:r>
        <w:rPr>
          <w:rFonts w:hint="eastAsia" w:cs="宋体"/>
          <w:b w:val="0"/>
          <w:bCs/>
          <w:color w:val="000000"/>
          <w:sz w:val="24"/>
          <w:szCs w:val="24"/>
          <w:lang w:eastAsia="zh-CN"/>
        </w:rPr>
        <w:t>等</w:t>
      </w:r>
      <w:r>
        <w:rPr>
          <w:rFonts w:hint="eastAsia" w:ascii="宋体" w:hAnsi="宋体" w:eastAsia="宋体" w:cs="宋体"/>
          <w:b w:val="0"/>
          <w:bCs/>
          <w:color w:val="000000"/>
          <w:sz w:val="24"/>
          <w:szCs w:val="24"/>
        </w:rPr>
        <w:t>要求</w:t>
      </w:r>
      <w:r>
        <w:rPr>
          <w:rFonts w:hint="eastAsia" w:cs="宋体"/>
          <w:b w:val="0"/>
          <w:bCs/>
          <w:color w:val="000000"/>
          <w:sz w:val="24"/>
          <w:szCs w:val="24"/>
          <w:lang w:eastAsia="zh-CN"/>
        </w:rPr>
        <w:t>，</w:t>
      </w:r>
      <w:r>
        <w:rPr>
          <w:rFonts w:hint="eastAsia" w:ascii="宋体" w:hAnsi="宋体" w:eastAsia="宋体" w:cs="宋体"/>
          <w:b w:val="0"/>
          <w:bCs/>
          <w:color w:val="000000"/>
          <w:sz w:val="24"/>
          <w:szCs w:val="24"/>
        </w:rPr>
        <w:t>进行结构和内容编排</w:t>
      </w:r>
      <w:r>
        <w:rPr>
          <w:rFonts w:hint="eastAsia" w:cs="宋体"/>
          <w:b w:val="0"/>
          <w:bCs/>
          <w:color w:val="000000"/>
          <w:sz w:val="24"/>
          <w:szCs w:val="24"/>
          <w:lang w:eastAsia="zh-CN"/>
        </w:rPr>
        <w:t>，确保规范有序。</w:t>
      </w:r>
    </w:p>
    <w:p w14:paraId="451162E2">
      <w:pPr>
        <w:pStyle w:val="12"/>
        <w:keepNext w:val="0"/>
        <w:keepLines w:val="0"/>
        <w:widowControl/>
        <w:suppressLineNumbers w:val="0"/>
        <w:shd w:val="clear" w:color="auto" w:fill="FFFFFF"/>
        <w:wordWrap/>
        <w:spacing w:before="0" w:beforeAutospacing="0" w:after="0" w:afterAutospacing="0"/>
        <w:ind w:right="0" w:firstLine="480" w:firstLineChars="200"/>
        <w:jc w:val="left"/>
        <w:rPr>
          <w:rFonts w:hint="eastAsia" w:ascii="宋体" w:hAnsi="宋体" w:eastAsia="宋体" w:cs="宋体"/>
          <w:b w:val="0"/>
          <w:bCs/>
          <w:color w:val="000000"/>
          <w:kern w:val="2"/>
          <w:sz w:val="24"/>
          <w:szCs w:val="24"/>
          <w:lang w:val="en-US" w:eastAsia="zh-CN" w:bidi="ar-SA"/>
        </w:rPr>
      </w:pPr>
      <w:r>
        <w:rPr>
          <w:rFonts w:hint="eastAsia" w:cs="宋体"/>
          <w:b w:val="0"/>
          <w:bCs/>
          <w:color w:val="000000"/>
          <w:sz w:val="24"/>
          <w:szCs w:val="24"/>
          <w:lang w:eastAsia="zh-CN"/>
        </w:rPr>
        <w:t>（</w:t>
      </w:r>
      <w:r>
        <w:rPr>
          <w:rFonts w:hint="eastAsia" w:cs="宋体"/>
          <w:b w:val="0"/>
          <w:bCs/>
          <w:color w:val="000000"/>
          <w:sz w:val="24"/>
          <w:szCs w:val="24"/>
          <w:lang w:val="en-US" w:eastAsia="zh-CN"/>
        </w:rPr>
        <w:t>4</w:t>
      </w:r>
      <w:r>
        <w:rPr>
          <w:rFonts w:hint="eastAsia" w:cs="宋体"/>
          <w:b w:val="0"/>
          <w:bCs/>
          <w:color w:val="000000"/>
          <w:sz w:val="24"/>
          <w:szCs w:val="24"/>
          <w:lang w:eastAsia="zh-CN"/>
        </w:rPr>
        <w:t>）</w:t>
      </w:r>
      <w:r>
        <w:rPr>
          <w:rFonts w:hint="eastAsia" w:ascii="宋体" w:hAnsi="宋体" w:eastAsia="宋体" w:cs="宋体"/>
          <w:b w:val="0"/>
          <w:bCs/>
          <w:color w:val="000000"/>
          <w:sz w:val="24"/>
          <w:szCs w:val="24"/>
        </w:rPr>
        <w:t>安全性</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将患者安全置于首位，对设备安全、操作风险、并发症防治等环节提出明确要求。</w:t>
      </w:r>
      <w:r>
        <w:rPr>
          <w:rFonts w:hint="eastAsia" w:ascii="宋体" w:hAnsi="宋体" w:cs="宋体"/>
          <w:b w:val="0"/>
          <w:bCs/>
          <w:color w:val="000000"/>
          <w:sz w:val="24"/>
          <w:szCs w:val="24"/>
          <w:lang w:eastAsia="zh-CN"/>
        </w:rPr>
        <w:t>始终</w:t>
      </w:r>
      <w:r>
        <w:rPr>
          <w:rFonts w:hint="eastAsia" w:ascii="宋体" w:hAnsi="宋体" w:eastAsia="宋体" w:cs="宋体"/>
          <w:b w:val="0"/>
          <w:bCs/>
          <w:color w:val="000000"/>
          <w:kern w:val="2"/>
          <w:sz w:val="24"/>
          <w:szCs w:val="24"/>
          <w:lang w:val="en-US" w:eastAsia="zh-CN" w:bidi="ar-SA"/>
        </w:rPr>
        <w:t>恪守安全底线，结合国内各级医疗机构诊疗条件划分管控细则，从筛查、监护到</w:t>
      </w:r>
      <w:r>
        <w:rPr>
          <w:rFonts w:hint="eastAsia" w:ascii="宋体" w:hAnsi="宋体" w:cs="宋体"/>
          <w:b w:val="0"/>
          <w:bCs/>
          <w:color w:val="000000"/>
          <w:kern w:val="2"/>
          <w:sz w:val="24"/>
          <w:szCs w:val="24"/>
          <w:lang w:val="en-US" w:eastAsia="zh-CN" w:bidi="ar-SA"/>
        </w:rPr>
        <w:t>跟踪</w:t>
      </w:r>
      <w:r>
        <w:rPr>
          <w:rFonts w:hint="eastAsia" w:ascii="宋体" w:hAnsi="宋体" w:eastAsia="宋体" w:cs="宋体"/>
          <w:b w:val="0"/>
          <w:bCs/>
          <w:color w:val="000000"/>
          <w:kern w:val="2"/>
          <w:sz w:val="24"/>
          <w:szCs w:val="24"/>
          <w:lang w:val="en-US" w:eastAsia="zh-CN" w:bidi="ar-SA"/>
        </w:rPr>
        <w:t>随访划定规范，全方位规避诊疗风险，筑牢临床医疗安全防线。</w:t>
      </w:r>
    </w:p>
    <w:p w14:paraId="1993AF1A">
      <w:pPr>
        <w:pStyle w:val="12"/>
        <w:keepNext w:val="0"/>
        <w:keepLines w:val="0"/>
        <w:widowControl/>
        <w:suppressLineNumbers w:val="0"/>
        <w:shd w:val="clear" w:color="auto" w:fill="FFFFFF"/>
        <w:wordWrap/>
        <w:spacing w:before="0" w:beforeAutospacing="0" w:after="0" w:afterAutospacing="0"/>
        <w:ind w:right="0" w:firstLine="480" w:firstLineChars="200"/>
        <w:jc w:val="left"/>
        <w:rPr>
          <w:rFonts w:hint="default" w:ascii="宋体" w:hAnsi="宋体" w:eastAsia="宋体" w:cs="宋体"/>
          <w:b w:val="0"/>
          <w:bCs/>
          <w:color w:val="000000"/>
          <w:kern w:val="2"/>
          <w:sz w:val="24"/>
          <w:szCs w:val="24"/>
          <w:lang w:val="en-US" w:eastAsia="zh-CN" w:bidi="ar-SA"/>
        </w:rPr>
      </w:pPr>
      <w:r>
        <w:rPr>
          <w:rFonts w:hint="eastAsia" w:cs="宋体"/>
          <w:b w:val="0"/>
          <w:bCs/>
          <w:color w:val="000000"/>
          <w:kern w:val="2"/>
          <w:sz w:val="24"/>
          <w:szCs w:val="24"/>
          <w:lang w:val="en-US" w:eastAsia="zh-CN" w:bidi="ar-SA"/>
        </w:rPr>
        <w:t>（5）</w:t>
      </w:r>
      <w:r>
        <w:rPr>
          <w:rFonts w:hint="eastAsia" w:ascii="宋体" w:hAnsi="宋体" w:eastAsia="宋体" w:cs="宋体"/>
          <w:b w:val="0"/>
          <w:bCs/>
          <w:color w:val="000000"/>
          <w:sz w:val="24"/>
          <w:szCs w:val="24"/>
        </w:rPr>
        <w:t>前瞻性</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kern w:val="2"/>
          <w:sz w:val="24"/>
          <w:szCs w:val="24"/>
          <w:lang w:val="en-US" w:eastAsia="zh-CN" w:bidi="ar-SA"/>
        </w:rPr>
        <w:t>立足国内各级医疗机构</w:t>
      </w:r>
      <w:r>
        <w:rPr>
          <w:rFonts w:hint="eastAsia" w:cs="宋体"/>
          <w:b w:val="0"/>
          <w:bCs/>
          <w:color w:val="000000"/>
          <w:kern w:val="2"/>
          <w:sz w:val="24"/>
          <w:szCs w:val="24"/>
          <w:lang w:val="en-US" w:eastAsia="zh-CN" w:bidi="ar-SA"/>
        </w:rPr>
        <w:t>血浆置换</w:t>
      </w:r>
      <w:r>
        <w:rPr>
          <w:rFonts w:hint="eastAsia" w:ascii="宋体" w:hAnsi="宋体" w:eastAsia="宋体" w:cs="宋体"/>
          <w:b w:val="0"/>
          <w:bCs/>
          <w:color w:val="000000"/>
          <w:kern w:val="2"/>
          <w:sz w:val="24"/>
          <w:szCs w:val="24"/>
          <w:lang w:val="en-US" w:eastAsia="zh-CN" w:bidi="ar-SA"/>
        </w:rPr>
        <w:t>发展实情，优化现有临床诊疗规范。在落地当下诊疗需求之余，对标海内外</w:t>
      </w:r>
      <w:r>
        <w:rPr>
          <w:rFonts w:hint="eastAsia" w:cs="宋体"/>
          <w:b w:val="0"/>
          <w:bCs/>
          <w:color w:val="000000"/>
          <w:kern w:val="2"/>
          <w:sz w:val="24"/>
          <w:szCs w:val="24"/>
          <w:lang w:val="en-US" w:eastAsia="zh-CN" w:bidi="ar-SA"/>
        </w:rPr>
        <w:t>血浆置换的</w:t>
      </w:r>
      <w:r>
        <w:rPr>
          <w:rFonts w:hint="eastAsia" w:ascii="宋体" w:hAnsi="宋体" w:eastAsia="宋体" w:cs="宋体"/>
          <w:b w:val="0"/>
          <w:bCs/>
          <w:color w:val="000000"/>
          <w:kern w:val="2"/>
          <w:sz w:val="24"/>
          <w:szCs w:val="24"/>
          <w:lang w:val="en-US" w:eastAsia="zh-CN" w:bidi="ar-SA"/>
        </w:rPr>
        <w:t>前沿技术预留适配条款，持续推动国内血液净化行业技术迭代,助力产业稳健发展</w:t>
      </w:r>
      <w:r>
        <w:rPr>
          <w:rFonts w:hint="eastAsia" w:ascii="宋体" w:hAnsi="宋体" w:cs="宋体"/>
          <w:b w:val="0"/>
          <w:bCs/>
          <w:color w:val="000000"/>
          <w:kern w:val="2"/>
          <w:sz w:val="24"/>
          <w:szCs w:val="24"/>
          <w:lang w:val="en-US" w:eastAsia="zh-CN" w:bidi="ar-SA"/>
        </w:rPr>
        <w:t>。</w:t>
      </w:r>
    </w:p>
    <w:p w14:paraId="07A98A68">
      <w:pPr>
        <w:pStyle w:val="8"/>
        <w:tabs>
          <w:tab w:val="left" w:pos="8190"/>
        </w:tabs>
        <w:spacing w:after="0" w:line="240" w:lineRule="auto"/>
        <w:ind w:left="0" w:leftChars="0" w:firstLine="480" w:firstLineChars="200"/>
        <w:rPr>
          <w:rFonts w:hint="eastAsia" w:ascii="宋体" w:hAnsi="宋体" w:eastAsia="宋体" w:cs="宋体"/>
          <w:b w:val="0"/>
          <w:bCs/>
          <w:color w:val="000000"/>
          <w:kern w:val="2"/>
          <w:sz w:val="24"/>
          <w:szCs w:val="24"/>
          <w:lang w:val="en-US" w:eastAsia="zh-CN" w:bidi="ar-SA"/>
        </w:rPr>
        <w:sectPr>
          <w:headerReference r:id="rId3" w:type="default"/>
          <w:footerReference r:id="rId5" w:type="default"/>
          <w:headerReference r:id="rId4" w:type="even"/>
          <w:footerReference r:id="rId6" w:type="even"/>
          <w:pgSz w:w="11906" w:h="16838"/>
          <w:pgMar w:top="1984" w:right="1134" w:bottom="1417" w:left="1134" w:header="1417" w:footer="1134" w:gutter="0"/>
          <w:pgNumType w:fmt="decimal" w:start="1"/>
          <w:cols w:space="425" w:num="1"/>
          <w:docGrid w:type="lines" w:linePitch="312" w:charSpace="0"/>
        </w:sectPr>
      </w:pPr>
    </w:p>
    <w:p w14:paraId="41D269C7">
      <w:pPr>
        <w:pStyle w:val="20"/>
        <w:numPr>
          <w:ilvl w:val="0"/>
          <w:numId w:val="3"/>
        </w:numPr>
        <w:snapToGrid w:val="0"/>
        <w:spacing w:before="156" w:beforeLines="50" w:after="156" w:afterLines="50" w:line="360" w:lineRule="auto"/>
        <w:ind w:left="0" w:firstLine="0" w:firstLineChars="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主要内容及其确定依据</w:t>
      </w:r>
    </w:p>
    <w:p w14:paraId="257008BE">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本文件规定了全自动离心式血浆置换技术的基本要求、操作流程、疗效评估、质量控制及档案管理等全链条内容。</w:t>
      </w:r>
    </w:p>
    <w:p w14:paraId="4DC05BDE">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范围</w:t>
      </w:r>
      <w:r>
        <w:rPr>
          <w:rFonts w:hint="eastAsia" w:ascii="宋体" w:hAnsi="宋体" w:eastAsia="宋体" w:cs="宋体"/>
          <w:sz w:val="24"/>
          <w:szCs w:val="24"/>
          <w:lang w:eastAsia="zh-CN"/>
        </w:rPr>
        <w:t>：</w:t>
      </w:r>
      <w:r>
        <w:rPr>
          <w:rFonts w:hint="eastAsia" w:ascii="宋体" w:hAnsi="宋体" w:eastAsia="宋体" w:cs="宋体"/>
          <w:sz w:val="24"/>
          <w:szCs w:val="24"/>
        </w:rPr>
        <w:t>明确本文件适用于各级医疗机构开展的全自动离心式血浆置换操作。</w:t>
      </w:r>
    </w:p>
    <w:p w14:paraId="74152036">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术语和定义</w:t>
      </w:r>
      <w:r>
        <w:rPr>
          <w:rFonts w:hint="eastAsia" w:ascii="宋体" w:hAnsi="宋体" w:eastAsia="宋体" w:cs="宋体"/>
          <w:sz w:val="24"/>
          <w:szCs w:val="24"/>
          <w:lang w:eastAsia="zh-CN"/>
        </w:rPr>
        <w:t>：</w:t>
      </w:r>
      <w:r>
        <w:rPr>
          <w:rFonts w:hint="eastAsia" w:ascii="宋体" w:hAnsi="宋体" w:eastAsia="宋体" w:cs="宋体"/>
          <w:sz w:val="24"/>
          <w:szCs w:val="24"/>
        </w:rPr>
        <w:t>对核心术语进行界定，确保理解一致，主要依据GB/T 13074—2024《血液净化术语》。</w:t>
      </w:r>
    </w:p>
    <w:p w14:paraId="5644A9E0">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基本要求</w:t>
      </w:r>
      <w:r>
        <w:rPr>
          <w:rFonts w:hint="eastAsia" w:ascii="宋体" w:hAnsi="宋体" w:eastAsia="宋体" w:cs="宋体"/>
          <w:sz w:val="24"/>
          <w:szCs w:val="24"/>
          <w:lang w:eastAsia="zh-CN"/>
        </w:rPr>
        <w:t>：</w:t>
      </w:r>
      <w:r>
        <w:rPr>
          <w:rFonts w:hint="eastAsia" w:ascii="宋体" w:hAnsi="宋体" w:eastAsia="宋体" w:cs="宋体"/>
          <w:sz w:val="24"/>
          <w:szCs w:val="24"/>
        </w:rPr>
        <w:t>从机构资质、人员配置、设备耗材、环境急救四个方面提出准入与基础保障要求，依据相关医疗管理法规及安全标准（如GB 15982, YY 0645等）。</w:t>
      </w:r>
    </w:p>
    <w:p w14:paraId="2622E945">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操作要求</w:t>
      </w:r>
      <w:r>
        <w:rPr>
          <w:rFonts w:hint="eastAsia" w:ascii="宋体" w:hAnsi="宋体" w:eastAsia="宋体" w:cs="宋体"/>
          <w:sz w:val="24"/>
          <w:szCs w:val="24"/>
          <w:lang w:eastAsia="zh-CN"/>
        </w:rPr>
        <w:t>：</w:t>
      </w:r>
      <w:r>
        <w:rPr>
          <w:rFonts w:hint="eastAsia" w:ascii="宋体" w:hAnsi="宋体" w:eastAsia="宋体" w:cs="宋体"/>
          <w:sz w:val="24"/>
          <w:szCs w:val="24"/>
        </w:rPr>
        <w:t>详细规范治疗前评估、方案制定、设备操作、过程监护及治疗结束等全流程，内容基于临床最佳实践和风险管理原则。</w:t>
      </w:r>
    </w:p>
    <w:p w14:paraId="61BA14F2">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疗效评估与治疗终点</w:t>
      </w:r>
      <w:r>
        <w:rPr>
          <w:rFonts w:hint="eastAsia" w:ascii="宋体" w:hAnsi="宋体" w:eastAsia="宋体" w:cs="宋体"/>
          <w:sz w:val="24"/>
          <w:szCs w:val="24"/>
          <w:lang w:eastAsia="zh-CN"/>
        </w:rPr>
        <w:t>：</w:t>
      </w:r>
      <w:r>
        <w:rPr>
          <w:rFonts w:hint="eastAsia" w:ascii="宋体" w:hAnsi="宋体" w:eastAsia="宋体" w:cs="宋体"/>
          <w:sz w:val="24"/>
          <w:szCs w:val="24"/>
        </w:rPr>
        <w:t>建立多维度的疗效评估体系，明确计划性与非计划性治疗终点的判断标准，旨在实现个体化、目标导向的治疗。</w:t>
      </w:r>
    </w:p>
    <w:p w14:paraId="19D8839E">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记录与档案管理</w:t>
      </w:r>
      <w:r>
        <w:rPr>
          <w:rFonts w:hint="eastAsia" w:ascii="宋体" w:hAnsi="宋体" w:eastAsia="宋体" w:cs="宋体"/>
          <w:sz w:val="24"/>
          <w:szCs w:val="24"/>
          <w:lang w:eastAsia="zh-CN"/>
        </w:rPr>
        <w:t>：</w:t>
      </w:r>
      <w:r>
        <w:rPr>
          <w:rFonts w:hint="eastAsia" w:ascii="宋体" w:hAnsi="宋体" w:eastAsia="宋体" w:cs="宋体"/>
          <w:sz w:val="24"/>
          <w:szCs w:val="24"/>
        </w:rPr>
        <w:t>强调医疗文书的规范性、完整性及信息安全，符合《医疗机构病历管理规定》及GB/T 42574等要求。</w:t>
      </w:r>
    </w:p>
    <w:p w14:paraId="1F550317">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质量控制</w:t>
      </w:r>
      <w:r>
        <w:rPr>
          <w:rFonts w:hint="eastAsia" w:ascii="宋体" w:hAnsi="宋体" w:eastAsia="宋体" w:cs="宋体"/>
          <w:sz w:val="24"/>
          <w:szCs w:val="24"/>
          <w:lang w:eastAsia="zh-CN"/>
        </w:rPr>
        <w:t>：</w:t>
      </w:r>
      <w:r>
        <w:rPr>
          <w:rFonts w:hint="eastAsia" w:ascii="宋体" w:hAnsi="宋体" w:eastAsia="宋体" w:cs="宋体"/>
          <w:sz w:val="24"/>
          <w:szCs w:val="24"/>
        </w:rPr>
        <w:t>设定关键操作环节的质量控制要点及监控指标，推动持续质量改进。</w:t>
      </w:r>
    </w:p>
    <w:p w14:paraId="3B7F4D86">
      <w:pPr>
        <w:spacing w:after="156" w:after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附录</w:t>
      </w:r>
      <w:r>
        <w:rPr>
          <w:rFonts w:hint="eastAsia" w:ascii="宋体" w:hAnsi="宋体" w:eastAsia="宋体" w:cs="宋体"/>
          <w:sz w:val="24"/>
          <w:szCs w:val="24"/>
          <w:lang w:eastAsia="zh-CN"/>
        </w:rPr>
        <w:t>：</w:t>
      </w:r>
      <w:r>
        <w:rPr>
          <w:rFonts w:hint="eastAsia" w:ascii="宋体" w:hAnsi="宋体" w:eastAsia="宋体" w:cs="宋体"/>
          <w:sz w:val="24"/>
          <w:szCs w:val="24"/>
        </w:rPr>
        <w:t>提供治疗档案模板、适用疾病范围、计算方法、置换液与抗凝方案选择、并发症处理等实用性资料，辅助标准实施。</w:t>
      </w:r>
    </w:p>
    <w:p w14:paraId="65FF9B48">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三、</w:t>
      </w:r>
      <w:r>
        <w:rPr>
          <w:rFonts w:hint="eastAsia" w:ascii="宋体" w:hAnsi="宋体" w:eastAsia="宋体" w:cs="宋体"/>
          <w:b/>
          <w:sz w:val="24"/>
          <w:szCs w:val="24"/>
        </w:rPr>
        <w:t>试验验证的分析、综述报告，技术经济论证，预期的经济效益、社会效益和生态效益</w:t>
      </w:r>
    </w:p>
    <w:p w14:paraId="0813ED3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经实验验证分析、综述，</w:t>
      </w:r>
      <w:r>
        <w:rPr>
          <w:rFonts w:hint="eastAsia" w:ascii="宋体" w:hAnsi="宋体" w:cs="宋体"/>
          <w:sz w:val="24"/>
          <w:szCs w:val="24"/>
          <w:lang w:eastAsia="zh-CN"/>
        </w:rPr>
        <w:t>全自动</w:t>
      </w:r>
      <w:r>
        <w:rPr>
          <w:rFonts w:hint="eastAsia" w:ascii="宋体" w:hAnsi="宋体" w:eastAsia="宋体" w:cs="宋体"/>
          <w:sz w:val="24"/>
          <w:szCs w:val="24"/>
        </w:rPr>
        <w:t>离心式血浆置换相较于膜式血浆置换（mTPE），在分离效率、治疗时长、适用场景、安全稳定性四大维度具有显著优势，这也是其被临床优先选择并纳入团体标准核心技术方案的关键原因。</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 分离效率更高：临床数据显示，</w:t>
      </w:r>
      <w:r>
        <w:rPr>
          <w:rFonts w:hint="eastAsia" w:ascii="宋体" w:hAnsi="宋体" w:cs="宋体"/>
          <w:sz w:val="24"/>
          <w:szCs w:val="24"/>
          <w:lang w:eastAsia="zh-CN"/>
        </w:rPr>
        <w:t>全自动</w:t>
      </w:r>
      <w:r>
        <w:rPr>
          <w:rFonts w:hint="eastAsia" w:ascii="宋体" w:hAnsi="宋体" w:eastAsia="宋体" w:cs="宋体"/>
          <w:sz w:val="24"/>
          <w:szCs w:val="24"/>
        </w:rPr>
        <w:t>离心式血浆置换</w:t>
      </w:r>
      <w:r>
        <w:rPr>
          <w:rFonts w:hint="eastAsia" w:ascii="宋体" w:hAnsi="宋体" w:eastAsia="宋体" w:cs="宋体"/>
          <w:sz w:val="24"/>
          <w:szCs w:val="24"/>
          <w:lang w:eastAsia="zh-CN"/>
        </w:rPr>
        <w:t>的</w:t>
      </w:r>
      <w:r>
        <w:rPr>
          <w:rFonts w:hint="eastAsia" w:ascii="宋体" w:hAnsi="宋体" w:eastAsia="宋体" w:cs="宋体"/>
          <w:sz w:val="24"/>
          <w:szCs w:val="24"/>
        </w:rPr>
        <w:t>血浆清除率可达30.00（26.25 - 32.50）mL/min，显著高于mTPE的27.00（25.25 - 28.75）mL/min；完成1.2倍总血浆体积置换时，</w:t>
      </w:r>
      <w:r>
        <w:rPr>
          <w:rFonts w:hint="eastAsia" w:ascii="宋体" w:hAnsi="宋体" w:cs="宋体"/>
          <w:sz w:val="24"/>
          <w:szCs w:val="24"/>
          <w:lang w:eastAsia="zh-CN"/>
        </w:rPr>
        <w:t>全自动</w:t>
      </w:r>
      <w:r>
        <w:rPr>
          <w:rFonts w:hint="eastAsia" w:ascii="宋体" w:hAnsi="宋体" w:eastAsia="宋体" w:cs="宋体"/>
          <w:sz w:val="24"/>
          <w:szCs w:val="24"/>
          <w:lang w:eastAsia="zh-CN"/>
        </w:rPr>
        <w:t>离心式血浆置换</w:t>
      </w:r>
      <w:r>
        <w:rPr>
          <w:rFonts w:hint="eastAsia" w:ascii="宋体" w:hAnsi="宋体" w:eastAsia="宋体" w:cs="宋体"/>
          <w:sz w:val="24"/>
          <w:szCs w:val="24"/>
        </w:rPr>
        <w:t>需处理</w:t>
      </w:r>
      <w:r>
        <w:rPr>
          <w:rFonts w:hint="eastAsia" w:ascii="宋体" w:hAnsi="宋体" w:cs="宋体"/>
          <w:sz w:val="24"/>
          <w:szCs w:val="24"/>
          <w:lang w:eastAsia="zh-CN"/>
        </w:rPr>
        <w:t>的</w:t>
      </w:r>
      <w:r>
        <w:rPr>
          <w:rFonts w:hint="eastAsia" w:ascii="宋体" w:hAnsi="宋体" w:eastAsia="宋体" w:cs="宋体"/>
          <w:sz w:val="24"/>
          <w:szCs w:val="24"/>
        </w:rPr>
        <w:t>血液量仅6.46±1.23L，而mTPE高达19.86±3.42L，分离效率提升70%以上。</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 治疗时长更短：</w:t>
      </w:r>
      <w:r>
        <w:rPr>
          <w:rFonts w:hint="eastAsia" w:ascii="宋体" w:hAnsi="宋体" w:cs="宋体"/>
          <w:sz w:val="24"/>
          <w:szCs w:val="24"/>
          <w:lang w:eastAsia="zh-CN"/>
        </w:rPr>
        <w:t>全自动</w:t>
      </w:r>
      <w:r>
        <w:rPr>
          <w:rFonts w:hint="eastAsia" w:ascii="宋体" w:hAnsi="宋体" w:eastAsia="宋体" w:cs="宋体"/>
          <w:sz w:val="24"/>
          <w:szCs w:val="24"/>
        </w:rPr>
        <w:t>离心式血浆置换</w:t>
      </w:r>
      <w:r>
        <w:rPr>
          <w:rFonts w:hint="eastAsia" w:ascii="宋体" w:hAnsi="宋体" w:eastAsia="宋体" w:cs="宋体"/>
          <w:sz w:val="24"/>
          <w:szCs w:val="24"/>
          <w:lang w:eastAsia="zh-CN"/>
        </w:rPr>
        <w:t>的</w:t>
      </w:r>
      <w:r>
        <w:rPr>
          <w:rFonts w:hint="eastAsia" w:ascii="宋体" w:hAnsi="宋体" w:eastAsia="宋体" w:cs="宋体"/>
          <w:sz w:val="24"/>
          <w:szCs w:val="24"/>
        </w:rPr>
        <w:t>单次治疗中位时长为120.0（114.3 - 138.0）min，较mTPE的132.5（125.0 - 148.8）min缩短约10.5%，有效减少患者体外循环暴露时间，提升治疗舒适度。</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 适用范围更广：</w:t>
      </w:r>
      <w:r>
        <w:rPr>
          <w:rFonts w:hint="eastAsia" w:ascii="宋体" w:hAnsi="宋体" w:cs="宋体"/>
          <w:sz w:val="24"/>
          <w:szCs w:val="24"/>
          <w:lang w:eastAsia="zh-CN"/>
        </w:rPr>
        <w:t>全自动</w:t>
      </w:r>
      <w:r>
        <w:rPr>
          <w:rFonts w:hint="eastAsia" w:ascii="宋体" w:hAnsi="宋体" w:eastAsia="宋体" w:cs="宋体"/>
          <w:sz w:val="24"/>
          <w:szCs w:val="24"/>
        </w:rPr>
        <w:t>离心式血浆置换可适配低至20mL/min、高达200mL/min的血流量，既能用于重症患者中心静脉通路，也可通过外周静脉通路开展低容量置换，尤其适用于老年、儿童、凝血功能异常及血管条件差的患者。</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4. 安全稳定性更强：</w:t>
      </w:r>
      <w:r>
        <w:rPr>
          <w:rFonts w:hint="eastAsia" w:ascii="宋体" w:hAnsi="宋体" w:cs="宋体"/>
          <w:sz w:val="24"/>
          <w:szCs w:val="24"/>
          <w:lang w:eastAsia="zh-CN"/>
        </w:rPr>
        <w:t>全自动</w:t>
      </w:r>
      <w:r>
        <w:rPr>
          <w:rFonts w:hint="eastAsia" w:ascii="宋体" w:hAnsi="宋体" w:eastAsia="宋体" w:cs="宋体"/>
          <w:sz w:val="24"/>
          <w:szCs w:val="24"/>
        </w:rPr>
        <w:t>离心式血浆置换采用连续流式离心分离，无膜堵塞、破膜风险，跨膜压波动小，凝血并发症发生率低于mTPE；临床研究证实，离心式血浆置换严重不良反应发生率仅1.2%，显著低于膜式技术的3.5%。</w:t>
      </w:r>
    </w:p>
    <w:p w14:paraId="03462CED">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对15600例患者共完成89200次治疗的团队研究数据显示：总不良反应发生率为4.2%，其中轻度不良反应（皮疹、头晕、恶心、轻微低血压）占比92%，经减慢血流速度、对症处理后100%缓解；中度不良反应（严重过敏、明显低血压、低钙抽搐）占比7.5%，经药物干预后98%缓解；重度不良反应（过敏性休克、严重凝血障碍、心律失常）仅占0.5%，经紧急抢救后90%以上可恢复。</w:t>
      </w:r>
    </w:p>
    <w:p w14:paraId="26DC3B42">
      <w:pPr>
        <w:spacing w:line="360"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因此，</w:t>
      </w:r>
      <w:r>
        <w:rPr>
          <w:rFonts w:hint="eastAsia" w:ascii="宋体" w:hAnsi="宋体" w:cs="宋体"/>
          <w:sz w:val="24"/>
          <w:szCs w:val="24"/>
          <w:lang w:eastAsia="zh-CN"/>
        </w:rPr>
        <w:t>全自动</w:t>
      </w:r>
      <w:r>
        <w:rPr>
          <w:rFonts w:hint="eastAsia" w:ascii="宋体" w:hAnsi="宋体" w:eastAsia="宋体" w:cs="宋体"/>
          <w:kern w:val="2"/>
          <w:sz w:val="24"/>
          <w:szCs w:val="24"/>
          <w:lang w:val="en-US" w:eastAsia="zh-CN" w:bidi="ar-SA"/>
        </w:rPr>
        <w:t>离心式血浆置换不良反应多为轻度、一过性，可控性强，安全性显著优于</w:t>
      </w:r>
      <w:r>
        <w:rPr>
          <w:rFonts w:hint="eastAsia" w:ascii="宋体" w:hAnsi="宋体" w:eastAsia="宋体" w:cs="宋体"/>
          <w:sz w:val="24"/>
          <w:szCs w:val="24"/>
        </w:rPr>
        <w:t>mTPE</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本标准的实施与推广,预期将产生显著的经济与社会效益。在经济效益方面：</w:t>
      </w:r>
    </w:p>
    <w:p w14:paraId="03C6045E">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提升治疗效果与安全性</w:t>
      </w:r>
      <w:r>
        <w:rPr>
          <w:rFonts w:hint="eastAsia" w:ascii="宋体" w:hAnsi="宋体" w:eastAsia="宋体" w:cs="宋体"/>
          <w:sz w:val="24"/>
          <w:szCs w:val="24"/>
          <w:lang w:eastAsia="zh-CN"/>
        </w:rPr>
        <w:t>：</w:t>
      </w:r>
      <w:r>
        <w:rPr>
          <w:rFonts w:hint="eastAsia" w:ascii="宋体" w:hAnsi="宋体" w:eastAsia="宋体" w:cs="宋体"/>
          <w:sz w:val="24"/>
          <w:szCs w:val="24"/>
        </w:rPr>
        <w:t>规范操作降低并发症风险，统一评估标准利于疗效判断。</w:t>
      </w:r>
    </w:p>
    <w:p w14:paraId="610D600D">
      <w:pPr>
        <w:numPr>
          <w:ilvl w:val="0"/>
          <w:numId w:val="4"/>
        </w:numPr>
        <w:spacing w:line="360" w:lineRule="auto"/>
        <w:ind w:left="840" w:leftChars="0" w:hanging="425" w:firstLineChars="0"/>
        <w:rPr>
          <w:rFonts w:hint="eastAsia" w:ascii="宋体" w:hAnsi="宋体" w:eastAsia="宋体" w:cs="宋体"/>
          <w:sz w:val="24"/>
          <w:szCs w:val="24"/>
        </w:rPr>
      </w:pPr>
      <w:r>
        <w:rPr>
          <w:rFonts w:hint="eastAsia" w:ascii="宋体" w:hAnsi="宋体" w:eastAsia="宋体" w:cs="宋体"/>
          <w:sz w:val="24"/>
          <w:szCs w:val="24"/>
        </w:rPr>
        <w:t>促进医疗资源合理配置</w:t>
      </w:r>
      <w:r>
        <w:rPr>
          <w:rFonts w:hint="eastAsia" w:ascii="宋体" w:hAnsi="宋体" w:eastAsia="宋体" w:cs="宋体"/>
          <w:sz w:val="24"/>
          <w:szCs w:val="24"/>
          <w:lang w:eastAsia="zh-CN"/>
        </w:rPr>
        <w:t>：</w:t>
      </w:r>
      <w:r>
        <w:rPr>
          <w:rFonts w:hint="eastAsia" w:ascii="宋体" w:hAnsi="宋体" w:eastAsia="宋体" w:cs="宋体"/>
          <w:sz w:val="24"/>
          <w:szCs w:val="24"/>
        </w:rPr>
        <w:t>明确机构与人员要求，引导技术有序开展。</w:t>
      </w:r>
    </w:p>
    <w:p w14:paraId="5DFEC13B">
      <w:pPr>
        <w:numPr>
          <w:ilvl w:val="0"/>
          <w:numId w:val="4"/>
        </w:numPr>
        <w:spacing w:line="360" w:lineRule="auto"/>
        <w:ind w:left="840" w:leftChars="0" w:hanging="425" w:firstLineChars="0"/>
        <w:rPr>
          <w:rFonts w:hint="eastAsia" w:ascii="宋体" w:hAnsi="宋体" w:eastAsia="宋体" w:cs="宋体"/>
          <w:sz w:val="24"/>
          <w:szCs w:val="24"/>
        </w:rPr>
      </w:pPr>
      <w:r>
        <w:rPr>
          <w:rFonts w:hint="eastAsia" w:ascii="宋体" w:hAnsi="宋体" w:eastAsia="宋体" w:cs="宋体"/>
          <w:sz w:val="24"/>
          <w:szCs w:val="24"/>
        </w:rPr>
        <w:t>降低医疗成本</w:t>
      </w:r>
      <w:r>
        <w:rPr>
          <w:rFonts w:hint="eastAsia" w:ascii="宋体" w:hAnsi="宋体" w:eastAsia="宋体" w:cs="宋体"/>
          <w:sz w:val="24"/>
          <w:szCs w:val="24"/>
          <w:lang w:eastAsia="zh-CN"/>
        </w:rPr>
        <w:t>：</w:t>
      </w:r>
      <w:r>
        <w:rPr>
          <w:rFonts w:hint="eastAsia" w:ascii="宋体" w:hAnsi="宋体" w:eastAsia="宋体" w:cs="宋体"/>
          <w:sz w:val="24"/>
          <w:szCs w:val="24"/>
        </w:rPr>
        <w:t>减少因操作不规范导致的重复治疗或不良事件处理成本。</w:t>
      </w:r>
    </w:p>
    <w:p w14:paraId="6E215EF9">
      <w:pPr>
        <w:numPr>
          <w:ilvl w:val="0"/>
          <w:numId w:val="4"/>
        </w:numPr>
        <w:spacing w:line="360" w:lineRule="auto"/>
        <w:ind w:left="840" w:leftChars="0" w:hanging="425" w:firstLineChars="0"/>
        <w:rPr>
          <w:rFonts w:hint="eastAsia" w:ascii="宋体" w:hAnsi="宋体" w:eastAsia="宋体" w:cs="宋体"/>
          <w:sz w:val="24"/>
          <w:szCs w:val="24"/>
        </w:rPr>
      </w:pPr>
      <w:r>
        <w:rPr>
          <w:rFonts w:hint="eastAsia" w:ascii="宋体" w:hAnsi="宋体" w:eastAsia="宋体" w:cs="宋体"/>
          <w:sz w:val="24"/>
          <w:szCs w:val="24"/>
        </w:rPr>
        <w:t>推动行业规范化发展</w:t>
      </w:r>
      <w:r>
        <w:rPr>
          <w:rFonts w:hint="eastAsia" w:ascii="宋体" w:hAnsi="宋体" w:eastAsia="宋体" w:cs="宋体"/>
          <w:sz w:val="24"/>
          <w:szCs w:val="24"/>
          <w:lang w:eastAsia="zh-CN"/>
        </w:rPr>
        <w:t>：</w:t>
      </w:r>
      <w:r>
        <w:rPr>
          <w:rFonts w:hint="eastAsia" w:ascii="宋体" w:hAnsi="宋体" w:eastAsia="宋体" w:cs="宋体"/>
          <w:sz w:val="24"/>
          <w:szCs w:val="24"/>
        </w:rPr>
        <w:t>为技术培训、质量评价与监管提供依据，促进全行业技术水平提升。</w:t>
      </w:r>
    </w:p>
    <w:p w14:paraId="56B111D4">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生态效益方面，强调</w:t>
      </w:r>
      <w:r>
        <w:rPr>
          <w:rFonts w:hint="eastAsia" w:ascii="宋体" w:hAnsi="宋体" w:cs="宋体"/>
          <w:sz w:val="24"/>
          <w:szCs w:val="24"/>
          <w:lang w:eastAsia="zh-CN"/>
        </w:rPr>
        <w:t>并落实</w:t>
      </w:r>
      <w:r>
        <w:rPr>
          <w:rFonts w:hint="eastAsia" w:ascii="宋体" w:hAnsi="宋体" w:eastAsia="宋体" w:cs="宋体"/>
          <w:sz w:val="24"/>
          <w:szCs w:val="24"/>
        </w:rPr>
        <w:t>医疗废物的规范处置，符合环保要求。</w:t>
      </w:r>
    </w:p>
    <w:p w14:paraId="5DE201AA">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在社会效益方面,统一</w:t>
      </w:r>
      <w:r>
        <w:rPr>
          <w:rFonts w:hint="eastAsia" w:ascii="宋体" w:hAnsi="宋体" w:cs="宋体"/>
          <w:sz w:val="24"/>
          <w:szCs w:val="24"/>
          <w:lang w:eastAsia="zh-CN"/>
        </w:rPr>
        <w:t>血浆置换的</w:t>
      </w:r>
      <w:r>
        <w:rPr>
          <w:rFonts w:hint="eastAsia" w:ascii="宋体" w:hAnsi="宋体" w:eastAsia="宋体" w:cs="宋体"/>
          <w:sz w:val="24"/>
          <w:szCs w:val="24"/>
        </w:rPr>
        <w:t>服务标准,提升专业性、安全性、连续性</w:t>
      </w:r>
      <w:r>
        <w:rPr>
          <w:rFonts w:hint="eastAsia" w:ascii="宋体" w:hAnsi="宋体" w:cs="宋体"/>
          <w:sz w:val="24"/>
          <w:szCs w:val="24"/>
          <w:lang w:val="en-US" w:eastAsia="zh-CN"/>
        </w:rPr>
        <w:t>;</w:t>
      </w:r>
      <w:r>
        <w:rPr>
          <w:rFonts w:hint="eastAsia" w:ascii="宋体" w:hAnsi="宋体" w:eastAsia="宋体" w:cs="宋体"/>
          <w:sz w:val="24"/>
          <w:szCs w:val="24"/>
        </w:rPr>
        <w:t>最终惠及广大患者，提升疑难重症</w:t>
      </w:r>
      <w:r>
        <w:rPr>
          <w:rFonts w:hint="eastAsia" w:ascii="宋体" w:hAnsi="宋体" w:cs="宋体"/>
          <w:sz w:val="24"/>
          <w:szCs w:val="24"/>
          <w:lang w:eastAsia="zh-CN"/>
        </w:rPr>
        <w:t>的</w:t>
      </w:r>
      <w:r>
        <w:rPr>
          <w:rFonts w:hint="eastAsia" w:ascii="宋体" w:hAnsi="宋体" w:eastAsia="宋体" w:cs="宋体"/>
          <w:sz w:val="24"/>
          <w:szCs w:val="24"/>
        </w:rPr>
        <w:t>救治能力与医疗服务满意度。</w:t>
      </w:r>
    </w:p>
    <w:p w14:paraId="5610B865">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四、</w:t>
      </w:r>
      <w:r>
        <w:rPr>
          <w:rFonts w:hint="eastAsia" w:ascii="宋体" w:hAnsi="宋体" w:eastAsia="宋体" w:cs="宋体"/>
          <w:b/>
          <w:sz w:val="24"/>
          <w:szCs w:val="24"/>
        </w:rPr>
        <w:t>与国际、国外同类标准技术内容的对比情况，或与测试的国外样品、样机的有关数据对比情况</w:t>
      </w:r>
    </w:p>
    <w:p w14:paraId="0B2E2C29">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目前，国际上尚无专门针对“全自动离心式血浆置换”的独立国际标准。本文件在制定过程中，参考了美国血浆置换协会（ASFA）指南、欧洲相关血液净化共识及国际血液净化领域的研究进展，</w:t>
      </w:r>
      <w:r>
        <w:rPr>
          <w:rFonts w:hint="eastAsia" w:ascii="宋体" w:hAnsi="宋体" w:cs="宋体"/>
          <w:sz w:val="24"/>
          <w:szCs w:val="24"/>
          <w:lang w:eastAsia="zh-CN"/>
        </w:rPr>
        <w:t>还参考并借鉴了</w:t>
      </w:r>
      <w:r>
        <w:rPr>
          <w:rFonts w:hint="eastAsia" w:ascii="宋体" w:hAnsi="宋体" w:eastAsia="宋体" w:cs="宋体"/>
          <w:sz w:val="24"/>
          <w:szCs w:val="24"/>
        </w:rPr>
        <w:t>中国重症血液净化协作组</w:t>
      </w:r>
      <w:r>
        <w:rPr>
          <w:rFonts w:hint="eastAsia" w:ascii="宋体" w:hAnsi="宋体" w:eastAsia="宋体" w:cs="宋体"/>
          <w:sz w:val="24"/>
          <w:szCs w:val="24"/>
          <w:lang w:eastAsia="zh-CN"/>
        </w:rPr>
        <w:t>有关《</w:t>
      </w:r>
      <w:r>
        <w:rPr>
          <w:rFonts w:hint="eastAsia" w:ascii="宋体" w:hAnsi="宋体" w:eastAsia="宋体" w:cs="宋体"/>
          <w:sz w:val="24"/>
          <w:szCs w:val="24"/>
        </w:rPr>
        <w:t>重症血液净化血管通路的建立与应用中国专家共识(2023年</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》等研究成果，</w:t>
      </w:r>
      <w:r>
        <w:rPr>
          <w:rFonts w:hint="eastAsia" w:ascii="宋体" w:hAnsi="宋体" w:eastAsia="宋体" w:cs="宋体"/>
          <w:sz w:val="24"/>
          <w:szCs w:val="24"/>
        </w:rPr>
        <w:t>同时紧密结合我国医疗体系特点与临床实际需求进行本土化制定，确保了离心式血浆置换技术的先进性与适用性。</w:t>
      </w:r>
    </w:p>
    <w:p w14:paraId="6002FBC4">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五、</w:t>
      </w:r>
      <w:r>
        <w:rPr>
          <w:rFonts w:hint="eastAsia" w:ascii="宋体" w:hAnsi="宋体" w:eastAsia="宋体" w:cs="宋体"/>
          <w:b/>
          <w:sz w:val="24"/>
          <w:szCs w:val="24"/>
        </w:rPr>
        <w:t>以国际标准为基础的起草情况，以及是否合规引用或者采用国际国外标准，并说明未采用国际标准的原因</w:t>
      </w:r>
    </w:p>
    <w:p w14:paraId="126102DD">
      <w:pPr>
        <w:widowControl/>
        <w:spacing w:after="156" w:afterLines="50" w:line="360" w:lineRule="auto"/>
        <w:ind w:firstLine="480" w:firstLineChars="200"/>
        <w:jc w:val="left"/>
        <w:rPr>
          <w:rFonts w:hint="eastAsia" w:ascii="宋体" w:hAnsi="宋体" w:eastAsia="宋体" w:cs="宋体"/>
          <w:b/>
          <w:color w:val="000000"/>
          <w:sz w:val="24"/>
          <w:szCs w:val="24"/>
        </w:rPr>
      </w:pPr>
      <w:r>
        <w:rPr>
          <w:rFonts w:hint="eastAsia" w:ascii="宋体" w:hAnsi="宋体" w:eastAsia="宋体" w:cs="宋体"/>
          <w:sz w:val="24"/>
          <w:szCs w:val="24"/>
        </w:rPr>
        <w:t xml:space="preserve">无。  </w:t>
      </w:r>
    </w:p>
    <w:p w14:paraId="5895081B">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六、</w:t>
      </w:r>
      <w:r>
        <w:rPr>
          <w:rFonts w:hint="eastAsia" w:ascii="宋体" w:hAnsi="宋体" w:eastAsia="宋体" w:cs="宋体"/>
          <w:b/>
          <w:sz w:val="24"/>
          <w:szCs w:val="24"/>
        </w:rPr>
        <w:t>与有关法律、行政法规及相关标准的关系</w:t>
      </w:r>
    </w:p>
    <w:p w14:paraId="03A32FF8">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本文件与《医疗机构管理条例》、《医疗废物管理条例》等国家法律法规无冲突。文中引用了GB 9706.1、GB/T 13074、WS/T 367等一系列国家标准和行业标准，确保了与现有标准体系的协调一致。</w:t>
      </w:r>
    </w:p>
    <w:p w14:paraId="14F229E9">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七、</w:t>
      </w:r>
      <w:r>
        <w:rPr>
          <w:rFonts w:hint="eastAsia" w:ascii="宋体" w:hAnsi="宋体" w:eastAsia="宋体" w:cs="宋体"/>
          <w:b/>
          <w:sz w:val="24"/>
          <w:szCs w:val="24"/>
        </w:rPr>
        <w:t>重大分歧意见的处理经过和依据</w:t>
      </w:r>
    </w:p>
    <w:p w14:paraId="4461EAAB">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本文件在工作组、公开征求前和委员会内进行了充分的讨论，到目前为止，没有出现过重大的分歧意见。</w:t>
      </w:r>
    </w:p>
    <w:p w14:paraId="098FD14F">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八、</w:t>
      </w:r>
      <w:r>
        <w:rPr>
          <w:rFonts w:hint="eastAsia" w:ascii="宋体" w:hAnsi="宋体" w:eastAsia="宋体" w:cs="宋体"/>
          <w:b/>
          <w:sz w:val="24"/>
          <w:szCs w:val="24"/>
        </w:rPr>
        <w:t>涉及专利的有关说明</w:t>
      </w:r>
    </w:p>
    <w:p w14:paraId="59E7BF1D">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在制定过程中，起草单位声明其所提出的技术内容可能涉及多项专利（专利清单已在前言及引言部分列明）。本文件的发布机构不对这些专利的真实性、有效性和范围作出任何评价。专利持有人已承诺愿意在合理且无歧视的条件下进行许可谈判。本文件的实施者应自行评估专利情况并与权利人协商。除已声明的专利外，本文件的发布机构不承担识别其他可能涉及专利的责任。</w:t>
      </w:r>
    </w:p>
    <w:p w14:paraId="28D52E50">
      <w:pPr>
        <w:pStyle w:val="20"/>
        <w:widowControl/>
        <w:numPr>
          <w:ilvl w:val="0"/>
          <w:numId w:val="0"/>
        </w:numPr>
        <w:spacing w:before="156" w:beforeLines="50" w:after="156" w:afterLines="50" w:line="360" w:lineRule="auto"/>
        <w:ind w:leftChars="0"/>
        <w:jc w:val="left"/>
        <w:rPr>
          <w:rFonts w:hint="eastAsia" w:ascii="宋体" w:hAnsi="宋体" w:eastAsia="宋体" w:cs="宋体"/>
          <w:b/>
          <w:sz w:val="24"/>
          <w:szCs w:val="24"/>
        </w:rPr>
      </w:pPr>
      <w:r>
        <w:rPr>
          <w:rFonts w:hint="eastAsia" w:ascii="宋体" w:hAnsi="宋体" w:cs="宋体"/>
          <w:b/>
          <w:sz w:val="24"/>
          <w:szCs w:val="24"/>
          <w:lang w:eastAsia="zh-CN"/>
        </w:rPr>
        <w:t>九、</w:t>
      </w:r>
      <w:r>
        <w:rPr>
          <w:rFonts w:hint="eastAsia" w:ascii="宋体" w:hAnsi="宋体" w:eastAsia="宋体" w:cs="宋体"/>
          <w:b/>
          <w:sz w:val="24"/>
          <w:szCs w:val="24"/>
        </w:rPr>
        <w:t>实施国家标准的要求，以及组织措施、技术措施、过渡期和实施日期的建议等措施建议</w:t>
      </w:r>
    </w:p>
    <w:p w14:paraId="2EF6FB99">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宣贯与培训</w:t>
      </w:r>
      <w:r>
        <w:rPr>
          <w:rFonts w:hint="eastAsia" w:ascii="宋体" w:hAnsi="宋体" w:eastAsia="宋体" w:cs="宋体"/>
          <w:sz w:val="24"/>
          <w:szCs w:val="24"/>
          <w:lang w:eastAsia="zh-CN"/>
        </w:rPr>
        <w:t>：</w:t>
      </w:r>
      <w:r>
        <w:rPr>
          <w:rFonts w:hint="eastAsia" w:ascii="宋体" w:hAnsi="宋体" w:eastAsia="宋体" w:cs="宋体"/>
          <w:sz w:val="24"/>
          <w:szCs w:val="24"/>
        </w:rPr>
        <w:t>建议由中国民族卫生协会牵头，组织标准主要起草单位开展全国性或区域性的标准宣贯与专业技术培训。注重</w:t>
      </w:r>
      <w:r>
        <w:rPr>
          <w:rFonts w:hint="eastAsia" w:ascii="宋体" w:hAnsi="宋体" w:eastAsia="宋体" w:cs="宋体"/>
          <w:sz w:val="24"/>
          <w:szCs w:val="24"/>
          <w:lang w:eastAsia="zh-CN"/>
        </w:rPr>
        <w:t>对</w:t>
      </w:r>
      <w:r>
        <w:rPr>
          <w:rFonts w:hint="eastAsia" w:ascii="宋体" w:hAnsi="宋体" w:eastAsia="宋体" w:cs="宋体"/>
          <w:sz w:val="24"/>
          <w:szCs w:val="24"/>
        </w:rPr>
        <w:t>标准内容</w:t>
      </w:r>
      <w:r>
        <w:rPr>
          <w:rFonts w:hint="eastAsia" w:ascii="宋体" w:hAnsi="宋体" w:eastAsia="宋体" w:cs="宋体"/>
          <w:sz w:val="24"/>
          <w:szCs w:val="24"/>
          <w:lang w:eastAsia="zh-CN"/>
        </w:rPr>
        <w:t>的全面</w:t>
      </w:r>
      <w:r>
        <w:rPr>
          <w:rFonts w:hint="eastAsia" w:ascii="宋体" w:hAnsi="宋体" w:eastAsia="宋体" w:cs="宋体"/>
          <w:sz w:val="24"/>
          <w:szCs w:val="24"/>
        </w:rPr>
        <w:t>宣贯，加强对《</w:t>
      </w:r>
      <w:r>
        <w:rPr>
          <w:rFonts w:hint="eastAsia" w:ascii="宋体" w:hAnsi="宋体" w:eastAsia="宋体" w:cs="宋体"/>
          <w:b w:val="0"/>
          <w:bCs/>
          <w:color w:val="000000"/>
          <w:sz w:val="24"/>
          <w:szCs w:val="24"/>
          <w:lang w:eastAsia="zh-CN"/>
        </w:rPr>
        <w:t>全自动离心式血浆置换技术规范</w:t>
      </w:r>
      <w:r>
        <w:rPr>
          <w:rFonts w:hint="eastAsia" w:ascii="宋体" w:hAnsi="宋体" w:eastAsia="宋体" w:cs="宋体"/>
          <w:sz w:val="24"/>
          <w:szCs w:val="24"/>
        </w:rPr>
        <w:t>》的贯彻落实，通过报纸、网络等媒介，提升</w:t>
      </w:r>
      <w:r>
        <w:rPr>
          <w:rFonts w:hint="eastAsia" w:ascii="宋体" w:hAnsi="宋体" w:cs="宋体"/>
          <w:sz w:val="24"/>
          <w:szCs w:val="24"/>
          <w:lang w:eastAsia="zh-CN"/>
        </w:rPr>
        <w:t>团体</w:t>
      </w:r>
      <w:r>
        <w:rPr>
          <w:rFonts w:hint="eastAsia" w:ascii="宋体" w:hAnsi="宋体" w:eastAsia="宋体" w:cs="宋体"/>
          <w:sz w:val="24"/>
          <w:szCs w:val="24"/>
        </w:rPr>
        <w:t>标准工作在社会中的影响力，形成长效机制。</w:t>
      </w:r>
    </w:p>
    <w:p w14:paraId="7A91CA04">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试点与推广</w:t>
      </w:r>
      <w:r>
        <w:rPr>
          <w:rFonts w:hint="eastAsia" w:ascii="宋体" w:hAnsi="宋体" w:eastAsia="宋体" w:cs="宋体"/>
          <w:sz w:val="24"/>
          <w:szCs w:val="24"/>
          <w:lang w:eastAsia="zh-CN"/>
        </w:rPr>
        <w:t>：</w:t>
      </w:r>
      <w:r>
        <w:rPr>
          <w:rFonts w:hint="eastAsia" w:ascii="宋体" w:hAnsi="宋体" w:eastAsia="宋体" w:cs="宋体"/>
          <w:sz w:val="24"/>
          <w:szCs w:val="24"/>
        </w:rPr>
        <w:t>可在条件成熟的医疗机构先行试点，总结经验后逐步推广至各级适用机构。</w:t>
      </w:r>
    </w:p>
    <w:p w14:paraId="7D5267AE">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配套措施</w:t>
      </w:r>
      <w:r>
        <w:rPr>
          <w:rFonts w:hint="eastAsia" w:ascii="宋体" w:hAnsi="宋体" w:eastAsia="宋体" w:cs="宋体"/>
          <w:sz w:val="24"/>
          <w:szCs w:val="24"/>
          <w:lang w:eastAsia="zh-CN"/>
        </w:rPr>
        <w:t>：</w:t>
      </w:r>
      <w:r>
        <w:rPr>
          <w:rFonts w:hint="eastAsia" w:ascii="宋体" w:hAnsi="宋体" w:eastAsia="宋体" w:cs="宋体"/>
          <w:sz w:val="24"/>
          <w:szCs w:val="24"/>
        </w:rPr>
        <w:t>建议医疗机构对照标准完善内部管理制度、操作流程、人员培训计划及质量控制体系。</w:t>
      </w:r>
    </w:p>
    <w:p w14:paraId="1CADDEA7">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过渡期与实施日期</w:t>
      </w:r>
      <w:r>
        <w:rPr>
          <w:rFonts w:hint="eastAsia" w:ascii="宋体" w:hAnsi="宋体" w:eastAsia="宋体" w:cs="宋体"/>
          <w:sz w:val="24"/>
          <w:szCs w:val="24"/>
          <w:lang w:eastAsia="zh-CN"/>
        </w:rPr>
        <w:t>：</w:t>
      </w:r>
      <w:r>
        <w:rPr>
          <w:rFonts w:hint="eastAsia" w:ascii="宋体" w:hAnsi="宋体" w:eastAsia="宋体" w:cs="宋体"/>
          <w:sz w:val="24"/>
          <w:szCs w:val="24"/>
        </w:rPr>
        <w:t>建议标准自发布之日起，设置</w:t>
      </w:r>
      <w:r>
        <w:rPr>
          <w:rFonts w:hint="eastAsia" w:ascii="宋体" w:hAnsi="宋体" w:eastAsia="宋体" w:cs="宋体"/>
          <w:sz w:val="24"/>
          <w:szCs w:val="24"/>
          <w:lang w:val="en-US" w:eastAsia="zh-CN"/>
        </w:rPr>
        <w:t>3</w:t>
      </w:r>
      <w:r>
        <w:rPr>
          <w:rFonts w:hint="eastAsia" w:ascii="宋体" w:hAnsi="宋体" w:eastAsia="宋体" w:cs="宋体"/>
          <w:sz w:val="24"/>
          <w:szCs w:val="24"/>
        </w:rPr>
        <w:t>个月的过渡期，便于各相关方做好实施准备。过渡期结束后正式实施。</w:t>
      </w:r>
    </w:p>
    <w:p w14:paraId="7765417C">
      <w:pPr>
        <w:pStyle w:val="20"/>
        <w:widowControl/>
        <w:numPr>
          <w:ilvl w:val="0"/>
          <w:numId w:val="0"/>
        </w:numPr>
        <w:spacing w:before="156" w:beforeLines="50" w:after="156" w:afterLines="50" w:line="360" w:lineRule="auto"/>
        <w:jc w:val="left"/>
        <w:rPr>
          <w:rFonts w:hint="eastAsia" w:ascii="宋体" w:hAnsi="宋体" w:eastAsia="宋体" w:cs="宋体"/>
          <w:sz w:val="24"/>
          <w:szCs w:val="24"/>
        </w:rPr>
      </w:pPr>
      <w:r>
        <w:rPr>
          <w:rFonts w:hint="eastAsia" w:ascii="宋体" w:hAnsi="宋体" w:cs="宋体"/>
          <w:b/>
          <w:bCs/>
          <w:sz w:val="24"/>
          <w:szCs w:val="24"/>
          <w:lang w:eastAsia="zh-CN"/>
        </w:rPr>
        <w:t>十、</w:t>
      </w:r>
      <w:r>
        <w:rPr>
          <w:rFonts w:hint="eastAsia" w:ascii="宋体" w:hAnsi="宋体" w:eastAsia="宋体" w:cs="宋体"/>
          <w:b/>
          <w:bCs/>
          <w:sz w:val="24"/>
          <w:szCs w:val="24"/>
        </w:rPr>
        <w:t>经费使用情况</w:t>
      </w:r>
      <w:r>
        <w:rPr>
          <w:rFonts w:hint="eastAsia" w:ascii="宋体" w:hAnsi="宋体" w:eastAsia="宋体" w:cs="宋体"/>
          <w:b/>
          <w:bCs/>
          <w:sz w:val="24"/>
          <w:szCs w:val="24"/>
        </w:rPr>
        <w:br w:type="textWrapping"/>
      </w:r>
      <w:r>
        <w:rPr>
          <w:rFonts w:hint="eastAsia" w:ascii="宋体" w:hAnsi="宋体" w:eastAsia="宋体" w:cs="宋体"/>
          <w:sz w:val="24"/>
          <w:szCs w:val="24"/>
        </w:rPr>
        <w:t>本标准编制经费为自筹资金。主要用于以下方面：</w:t>
      </w:r>
      <w:r>
        <w:rPr>
          <w:rFonts w:hint="eastAsia" w:ascii="宋体" w:hAnsi="宋体" w:eastAsia="宋体" w:cs="宋体"/>
          <w:sz w:val="24"/>
          <w:szCs w:val="24"/>
        </w:rPr>
        <w:br w:type="textWrapping"/>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全自动离心式血浆置换技术规范</w:t>
      </w:r>
      <w:r>
        <w:rPr>
          <w:rFonts w:hint="eastAsia" w:ascii="宋体" w:hAnsi="宋体" w:eastAsia="宋体" w:cs="宋体"/>
          <w:b w:val="0"/>
          <w:bCs/>
          <w:color w:val="000000"/>
          <w:sz w:val="24"/>
          <w:szCs w:val="24"/>
        </w:rPr>
        <w:t>》</w:t>
      </w:r>
      <w:r>
        <w:rPr>
          <w:rFonts w:hint="eastAsia" w:ascii="宋体" w:hAnsi="宋体" w:eastAsia="宋体" w:cs="宋体"/>
          <w:sz w:val="24"/>
          <w:szCs w:val="24"/>
        </w:rPr>
        <w:t>编写过程中的书籍与资料购置、出差调研、材料打印、研讨交流以及项目评审等费用；</w:t>
      </w:r>
      <w:r>
        <w:rPr>
          <w:rFonts w:hint="eastAsia" w:ascii="宋体" w:hAnsi="宋体" w:eastAsia="宋体" w:cs="宋体"/>
          <w:sz w:val="24"/>
          <w:szCs w:val="24"/>
        </w:rPr>
        <w:br w:type="textWrapping"/>
      </w:r>
      <w:r>
        <w:rPr>
          <w:rFonts w:hint="eastAsia" w:ascii="宋体" w:hAnsi="宋体" w:eastAsia="宋体" w:cs="宋体"/>
          <w:sz w:val="24"/>
          <w:szCs w:val="24"/>
        </w:rPr>
        <w:t>后续标准的宣传、推广培训以及评价等相关费用。</w:t>
      </w:r>
    </w:p>
    <w:p w14:paraId="3D1C79FB">
      <w:pPr>
        <w:pStyle w:val="20"/>
        <w:widowControl/>
        <w:numPr>
          <w:ilvl w:val="0"/>
          <w:numId w:val="0"/>
        </w:numPr>
        <w:spacing w:before="156" w:beforeLines="50" w:after="156" w:afterLines="50" w:line="360" w:lineRule="auto"/>
        <w:jc w:val="left"/>
        <w:rPr>
          <w:rFonts w:hint="eastAsia" w:ascii="宋体" w:hAnsi="宋体" w:eastAsia="宋体" w:cs="宋体"/>
          <w:b/>
          <w:sz w:val="24"/>
          <w:szCs w:val="24"/>
        </w:rPr>
      </w:pPr>
      <w:r>
        <w:rPr>
          <w:rFonts w:hint="eastAsia" w:ascii="宋体" w:hAnsi="宋体" w:cs="宋体"/>
          <w:b/>
          <w:sz w:val="24"/>
          <w:szCs w:val="24"/>
          <w:lang w:eastAsia="zh-CN"/>
        </w:rPr>
        <w:t>十一、</w:t>
      </w:r>
      <w:r>
        <w:rPr>
          <w:rFonts w:hint="eastAsia" w:ascii="宋体" w:hAnsi="宋体" w:eastAsia="宋体" w:cs="宋体"/>
          <w:b/>
          <w:sz w:val="24"/>
          <w:szCs w:val="24"/>
        </w:rPr>
        <w:t>其他应当说明的事项</w:t>
      </w:r>
    </w:p>
    <w:p w14:paraId="0FA8264F">
      <w:pPr>
        <w:snapToGrid w:val="0"/>
        <w:spacing w:after="156" w:after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无。</w:t>
      </w:r>
    </w:p>
    <w:p w14:paraId="7030D324">
      <w:pPr>
        <w:spacing w:after="156" w:afterLines="50" w:line="360" w:lineRule="auto"/>
        <w:ind w:firstLine="480" w:firstLineChars="200"/>
        <w:rPr>
          <w:rFonts w:hint="eastAsia" w:ascii="宋体" w:hAnsi="宋体" w:eastAsia="宋体" w:cs="宋体"/>
          <w:sz w:val="24"/>
          <w:szCs w:val="24"/>
        </w:rPr>
      </w:pPr>
    </w:p>
    <w:p w14:paraId="740B600F">
      <w:pPr>
        <w:spacing w:after="156" w:afterLines="50" w:line="360" w:lineRule="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全自动离心式血浆置换技术规范</w:t>
      </w:r>
      <w:r>
        <w:rPr>
          <w:rFonts w:hint="eastAsia" w:ascii="宋体" w:hAnsi="宋体" w:eastAsia="宋体" w:cs="宋体"/>
          <w:b w:val="0"/>
          <w:bCs/>
          <w:color w:val="000000"/>
          <w:sz w:val="24"/>
          <w:szCs w:val="24"/>
        </w:rPr>
        <w:t>》</w:t>
      </w:r>
      <w:r>
        <w:rPr>
          <w:rFonts w:hint="eastAsia" w:ascii="宋体" w:hAnsi="宋体" w:eastAsia="宋体" w:cs="宋体"/>
          <w:sz w:val="24"/>
          <w:szCs w:val="24"/>
        </w:rPr>
        <w:t>起草组</w:t>
      </w:r>
      <w:r>
        <w:rPr>
          <w:rFonts w:hint="eastAsia" w:ascii="宋体" w:hAnsi="宋体" w:eastAsia="宋体" w:cs="宋体"/>
          <w:sz w:val="24"/>
          <w:szCs w:val="24"/>
        </w:rPr>
        <w:br w:type="textWrapping"/>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2026年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日</w:t>
      </w:r>
    </w:p>
    <w:p w14:paraId="3A208F95">
      <w:pPr>
        <w:snapToGrid w:val="0"/>
        <w:spacing w:after="156" w:afterLines="50" w:line="360" w:lineRule="auto"/>
        <w:ind w:firstLine="480" w:firstLineChars="200"/>
        <w:jc w:val="left"/>
        <w:rPr>
          <w:rFonts w:hint="eastAsia" w:ascii="宋体" w:hAnsi="宋体" w:eastAsia="宋体" w:cs="宋体"/>
          <w:sz w:val="24"/>
          <w:szCs w:val="24"/>
        </w:rPr>
      </w:pP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"javascript:;" \o "表情"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t> </w:t>
      </w:r>
    </w:p>
    <w:p w14:paraId="18553157">
      <w:pPr>
        <w:snapToGrid w:val="0"/>
        <w:spacing w:after="156" w:afterLines="50" w:line="360" w:lineRule="auto"/>
        <w:ind w:firstLine="480" w:firstLineChars="200"/>
        <w:jc w:val="left"/>
        <w:rPr>
          <w:rFonts w:hint="eastAsia" w:ascii="宋体" w:hAnsi="宋体" w:eastAsia="宋体" w:cs="宋体"/>
          <w:sz w:val="24"/>
          <w:szCs w:val="24"/>
        </w:rPr>
      </w:pPr>
    </w:p>
    <w:sectPr>
      <w:footerReference r:id="rId7" w:type="default"/>
      <w:pgSz w:w="11906" w:h="16838"/>
      <w:pgMar w:top="1134" w:right="1418"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96948">
    <w:pPr>
      <w:pStyle w:val="10"/>
      <w:tabs>
        <w:tab w:val="clear" w:pos="4153"/>
      </w:tabs>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C6817F9">
                          <w:pPr>
                            <w:pStyle w:val="10"/>
                          </w:pPr>
                          <w:r>
                            <w:fldChar w:fldCharType="begin"/>
                          </w:r>
                          <w:r>
                            <w:instrText xml:space="preserve"> PAGE  \* MERGEFORMAT </w:instrText>
                          </w:r>
                          <w:r>
                            <w:fldChar w:fldCharType="separate"/>
                          </w:r>
                          <w:r>
                            <w:t>I</w:t>
                          </w:r>
                          <w:r>
                            <w:fldChar w:fldCharType="end"/>
                          </w: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smeUn0QEAAJ4DAAAOAAAAAAAAAAEAIAAAAB8BAABk&#10;cnMvZTJvRG9jLnhtbFBLBQYAAAAABgAGAFkBAABiBQAAAAA=&#10;">
              <v:fill on="f" focussize="0,0"/>
              <v:stroke on="f"/>
              <v:imagedata o:title=""/>
              <o:lock v:ext="edit" aspectratio="f"/>
              <v:textbox inset="0mm,0mm,0mm,0mm" style="mso-fit-shape-to-text:t;">
                <w:txbxContent>
                  <w:p w14:paraId="6C6817F9">
                    <w:pPr>
                      <w:pStyle w:val="10"/>
                    </w:pPr>
                    <w:r>
                      <w:fldChar w:fldCharType="begin"/>
                    </w:r>
                    <w:r>
                      <w:instrText xml:space="preserve"> PAGE  \* MERGEFORMAT </w:instrText>
                    </w:r>
                    <w:r>
                      <w:fldChar w:fldCharType="separate"/>
                    </w:r>
                    <w:r>
                      <w:t>I</w:t>
                    </w:r>
                    <w:r>
                      <w:fldChar w:fldCharType="end"/>
                    </w:r>
                  </w:p>
                </w:txbxContent>
              </v:textbox>
            </v:rect>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A1A36">
    <w:pPr>
      <w:pStyle w:val="10"/>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2D0B743">
                          <w:pPr>
                            <w:pStyle w:val="10"/>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II</w:t>
                          </w:r>
                          <w:r>
                            <w:rPr>
                              <w:rFonts w:hint="eastAsia" w:ascii="宋体" w:hAnsi="宋体" w:cs="宋体"/>
                            </w:rP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G7Y9/3KAQAAkgMAAA4AAAAAAAAAAQAgAAAAHwEAAGRycy9lMm9E&#10;b2MueG1sUEsFBgAAAAAGAAYAWQEAAFsFAAAAAA==&#10;">
              <v:fill on="f" focussize="0,0"/>
              <v:stroke on="f"/>
              <v:imagedata o:title=""/>
              <o:lock v:ext="edit" aspectratio="f"/>
              <v:textbox inset="0mm,0mm,0mm,0mm" style="mso-fit-shape-to-text:t;">
                <w:txbxContent>
                  <w:p w14:paraId="02D0B743">
                    <w:pPr>
                      <w:pStyle w:val="10"/>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II</w:t>
                    </w:r>
                    <w:r>
                      <w:rPr>
                        <w:rFonts w:hint="eastAsia" w:ascii="宋体" w:hAnsi="宋体" w:cs="宋体"/>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0ACF">
    <w:pPr>
      <w:pStyle w:val="10"/>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4EB08DC">
                          <w:pPr>
                            <w:pStyle w:val="10"/>
                            <w:rPr>
                              <w:rFonts w:ascii="宋体" w:hAnsi="宋体" w:cs="宋体"/>
                            </w:rPr>
                          </w:pPr>
                          <w:r>
                            <w:rPr>
                              <w:rFonts w:ascii="宋体" w:hAnsi="宋体" w:cs="宋体"/>
                            </w:rPr>
                            <w:fldChar w:fldCharType="begin"/>
                          </w:r>
                          <w:r>
                            <w:rPr>
                              <w:rFonts w:ascii="宋体" w:hAnsi="宋体" w:cs="宋体"/>
                            </w:rPr>
                            <w:instrText xml:space="preserve"> PAGE  \* MERGEFORMAT </w:instrText>
                          </w:r>
                          <w:r>
                            <w:rPr>
                              <w:rFonts w:ascii="宋体" w:hAnsi="宋体" w:cs="宋体"/>
                            </w:rPr>
                            <w:fldChar w:fldCharType="separate"/>
                          </w:r>
                          <w:r>
                            <w:rPr>
                              <w:rFonts w:ascii="宋体" w:hAnsi="宋体" w:cs="宋体"/>
                            </w:rPr>
                            <w:t>3</w:t>
                          </w:r>
                          <w:r>
                            <w:rPr>
                              <w:rFonts w:ascii="宋体" w:hAnsi="宋体" w:cs="宋体"/>
                            </w:rP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De+8sHKAQAAkgMAAA4AAAAAAAAAAQAgAAAAHwEAAGRycy9lMm9E&#10;b2MueG1sUEsFBgAAAAAGAAYAWQEAAFsFAAAAAA==&#10;">
              <v:fill on="f" focussize="0,0"/>
              <v:stroke on="f"/>
              <v:imagedata o:title=""/>
              <o:lock v:ext="edit" aspectratio="f"/>
              <v:textbox inset="0mm,0mm,0mm,0mm" style="mso-fit-shape-to-text:t;">
                <w:txbxContent>
                  <w:p w14:paraId="34EB08DC">
                    <w:pPr>
                      <w:pStyle w:val="10"/>
                      <w:rPr>
                        <w:rFonts w:ascii="宋体" w:hAnsi="宋体" w:cs="宋体"/>
                      </w:rPr>
                    </w:pPr>
                    <w:r>
                      <w:rPr>
                        <w:rFonts w:ascii="宋体" w:hAnsi="宋体" w:cs="宋体"/>
                      </w:rPr>
                      <w:fldChar w:fldCharType="begin"/>
                    </w:r>
                    <w:r>
                      <w:rPr>
                        <w:rFonts w:ascii="宋体" w:hAnsi="宋体" w:cs="宋体"/>
                      </w:rPr>
                      <w:instrText xml:space="preserve"> PAGE  \* MERGEFORMAT </w:instrText>
                    </w:r>
                    <w:r>
                      <w:rPr>
                        <w:rFonts w:ascii="宋体" w:hAnsi="宋体" w:cs="宋体"/>
                      </w:rPr>
                      <w:fldChar w:fldCharType="separate"/>
                    </w:r>
                    <w:r>
                      <w:rPr>
                        <w:rFonts w:ascii="宋体" w:hAnsi="宋体" w:cs="宋体"/>
                      </w:rPr>
                      <w:t>3</w:t>
                    </w:r>
                    <w:r>
                      <w:rPr>
                        <w:rFonts w:ascii="宋体" w:hAnsi="宋体" w:cs="宋体"/>
                      </w:rPr>
                      <w:fldChar w:fldCharType="end"/>
                    </w:r>
                  </w:p>
                </w:txbxContent>
              </v:textbox>
            </v:rect>
          </w:pict>
        </mc:Fallback>
      </mc:AlternateContent>
    </w:r>
    <w:r>
      <w:rPr>
        <w:rFonts w:hint="eastAsia"/>
        <w:lang w:eastAsia="zh-CN"/>
      </w:rPr>
      <w:tab/>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C7539">
    <w:pPr>
      <w:spacing w:after="120" w:afterLines="50" w:line="240" w:lineRule="auto"/>
      <w:jc w:val="right"/>
      <w:rPr>
        <w:rFonts w:hint="eastAsia" w:eastAsia="黑体"/>
        <w:lang w:eastAsia="zh-CN"/>
      </w:rPr>
    </w:pPr>
    <w:r>
      <w:rPr>
        <w:rFonts w:hint="eastAsia" w:ascii="黑体" w:hAnsi="黑体" w:eastAsia="黑体" w:cs="黑体"/>
        <w:bCs/>
      </w:rPr>
      <w:t>T/</w:t>
    </w:r>
    <w:r>
      <w:rPr>
        <w:rFonts w:hint="eastAsia" w:ascii="黑体" w:hAnsi="黑体" w:eastAsia="黑体" w:cs="黑体"/>
        <w:bCs/>
        <w:lang w:val="en-US" w:eastAsia="zh-CN"/>
      </w:rPr>
      <w:t>CNHAW</w:t>
    </w:r>
    <w:r>
      <w:rPr>
        <w:rFonts w:hint="eastAsia" w:ascii="黑体" w:hAnsi="黑体" w:eastAsia="黑体" w:cs="黑体"/>
        <w:bCs/>
      </w:rPr>
      <w:t>—</w:t>
    </w:r>
    <w:r>
      <w:rPr>
        <w:rFonts w:hint="eastAsia" w:ascii="黑体" w:hAnsi="黑体" w:eastAsia="黑体" w:cs="黑体"/>
        <w:bCs/>
        <w:lang w:val="en-US" w:eastAsia="zh-CN"/>
      </w:rPr>
      <w:t>B</w:t>
    </w:r>
    <w:r>
      <w:rPr>
        <w:rFonts w:hint="eastAsia" w:ascii="黑体" w:hAnsi="黑体" w:eastAsia="黑体" w:cs="黑体"/>
        <w:bCs/>
      </w:rPr>
      <w:t>—</w:t>
    </w:r>
    <w:r>
      <w:rPr>
        <w:rFonts w:hint="eastAsia" w:ascii="黑体" w:hAnsi="黑体" w:eastAsia="黑体" w:cs="黑体"/>
        <w:bCs/>
        <w:lang w:val="en-US" w:eastAsia="zh-CN"/>
      </w:rPr>
      <w:t>0021</w:t>
    </w:r>
    <w:r>
      <w:rPr>
        <w:rFonts w:hint="eastAsia" w:ascii="黑体" w:hAnsi="黑体" w:eastAsia="黑体" w:cs="黑体"/>
        <w:bCs/>
      </w:rPr>
      <w:t>—202</w:t>
    </w:r>
    <w:r>
      <w:rPr>
        <w:rFonts w:hint="eastAsia" w:ascii="黑体" w:hAnsi="黑体" w:eastAsia="黑体" w:cs="黑体"/>
        <w:bCs/>
        <w:lang w:val="en-US" w:eastAsia="zh-CN"/>
      </w:rPr>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2E627">
    <w:pPr>
      <w:spacing w:after="120" w:afterLines="50" w:line="240" w:lineRule="auto"/>
      <w:jc w:val="left"/>
      <w:rPr>
        <w:rFonts w:hint="eastAsia" w:eastAsia="黑体"/>
        <w:lang w:eastAsia="zh-CN"/>
      </w:rPr>
    </w:pPr>
    <w:r>
      <w:rPr>
        <w:rFonts w:hint="eastAsia" w:ascii="黑体" w:hAnsi="黑体" w:eastAsia="黑体" w:cs="黑体"/>
        <w:bCs/>
      </w:rPr>
      <w:t>T/</w:t>
    </w:r>
    <w:r>
      <w:rPr>
        <w:rFonts w:hint="eastAsia" w:ascii="黑体" w:hAnsi="黑体" w:eastAsia="黑体" w:cs="黑体"/>
        <w:bCs/>
        <w:lang w:val="en-US" w:eastAsia="zh-CN"/>
      </w:rPr>
      <w:t>CHNHN</w:t>
    </w:r>
    <w:r>
      <w:rPr>
        <w:rFonts w:hint="eastAsia" w:ascii="黑体" w:hAnsi="黑体" w:eastAsia="黑体" w:cs="黑体"/>
        <w:bCs/>
      </w:rPr>
      <w:t xml:space="preserve"> </w:t>
    </w:r>
    <w:r>
      <w:rPr>
        <w:rFonts w:ascii="黑体" w:hAnsi="黑体" w:eastAsia="黑体" w:cs="黑体"/>
        <w:bCs/>
      </w:rPr>
      <w:t>XXXX</w:t>
    </w:r>
    <w:r>
      <w:rPr>
        <w:rFonts w:hint="eastAsia" w:ascii="黑体" w:hAnsi="黑体" w:eastAsia="黑体" w:cs="黑体"/>
        <w:bCs/>
      </w:rPr>
      <w:t>—202</w:t>
    </w:r>
    <w:r>
      <w:rPr>
        <w:rFonts w:hint="eastAsia" w:ascii="黑体" w:hAnsi="黑体" w:eastAsia="黑体" w:cs="黑体"/>
        <w:bCs/>
        <w:lang w:val="en-US" w:eastAsia="zh-CN"/>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ind w:left="425" w:hanging="425"/>
      </w:pPr>
      <w:rPr>
        <w:rFonts w:hint="default"/>
      </w:rPr>
    </w:lvl>
  </w:abstractNum>
  <w:abstractNum w:abstractNumId="1">
    <w:nsid w:val="00000001"/>
    <w:multiLevelType w:val="singleLevel"/>
    <w:tmpl w:val="00000001"/>
    <w:lvl w:ilvl="0" w:tentative="0">
      <w:start w:val="1"/>
      <w:numFmt w:val="decimal"/>
      <w:lvlText w:val="(%1)"/>
      <w:lvlJc w:val="left"/>
      <w:pPr>
        <w:ind w:left="425" w:hanging="425"/>
      </w:pPr>
      <w:rPr>
        <w:rFonts w:hint="default"/>
      </w:rPr>
    </w:lvl>
  </w:abstractNum>
  <w:abstractNum w:abstractNumId="2">
    <w:nsid w:val="00000002"/>
    <w:multiLevelType w:val="multilevel"/>
    <w:tmpl w:val="00000002"/>
    <w:lvl w:ilvl="0" w:tentative="0">
      <w:start w:val="1"/>
      <w:numFmt w:val="decimal"/>
      <w:lvlText w:val="%1."/>
      <w:lvlJc w:val="left"/>
      <w:pPr>
        <w:ind w:left="1240" w:hanging="440"/>
      </w:pPr>
    </w:lvl>
    <w:lvl w:ilvl="1" w:tentative="0">
      <w:start w:val="1"/>
      <w:numFmt w:val="lowerLetter"/>
      <w:lvlText w:val="%2)"/>
      <w:lvlJc w:val="left"/>
      <w:pPr>
        <w:ind w:left="1680" w:hanging="440"/>
      </w:pPr>
    </w:lvl>
    <w:lvl w:ilvl="2" w:tentative="0">
      <w:start w:val="1"/>
      <w:numFmt w:val="lowerRoman"/>
      <w:lvlText w:val="%3."/>
      <w:lvlJc w:val="right"/>
      <w:pPr>
        <w:ind w:left="2120" w:hanging="440"/>
      </w:pPr>
    </w:lvl>
    <w:lvl w:ilvl="3" w:tentative="0">
      <w:start w:val="1"/>
      <w:numFmt w:val="decimal"/>
      <w:lvlText w:val="%4."/>
      <w:lvlJc w:val="left"/>
      <w:pPr>
        <w:ind w:left="2560" w:hanging="440"/>
      </w:pPr>
    </w:lvl>
    <w:lvl w:ilvl="4" w:tentative="0">
      <w:start w:val="1"/>
      <w:numFmt w:val="lowerLetter"/>
      <w:lvlText w:val="%5)"/>
      <w:lvlJc w:val="left"/>
      <w:pPr>
        <w:ind w:left="3000" w:hanging="440"/>
      </w:pPr>
    </w:lvl>
    <w:lvl w:ilvl="5" w:tentative="0">
      <w:start w:val="1"/>
      <w:numFmt w:val="lowerRoman"/>
      <w:lvlText w:val="%6."/>
      <w:lvlJc w:val="right"/>
      <w:pPr>
        <w:ind w:left="3440" w:hanging="440"/>
      </w:pPr>
    </w:lvl>
    <w:lvl w:ilvl="6" w:tentative="0">
      <w:start w:val="1"/>
      <w:numFmt w:val="decimal"/>
      <w:lvlText w:val="%7."/>
      <w:lvlJc w:val="left"/>
      <w:pPr>
        <w:ind w:left="3880" w:hanging="440"/>
      </w:pPr>
    </w:lvl>
    <w:lvl w:ilvl="7" w:tentative="0">
      <w:start w:val="1"/>
      <w:numFmt w:val="lowerLetter"/>
      <w:lvlText w:val="%8)"/>
      <w:lvlJc w:val="left"/>
      <w:pPr>
        <w:ind w:left="4320" w:hanging="440"/>
      </w:pPr>
    </w:lvl>
    <w:lvl w:ilvl="8" w:tentative="0">
      <w:start w:val="1"/>
      <w:numFmt w:val="lowerRoman"/>
      <w:lvlText w:val="%9."/>
      <w:lvlJc w:val="right"/>
      <w:pPr>
        <w:ind w:left="4760" w:hanging="440"/>
      </w:pPr>
    </w:lvl>
  </w:abstractNum>
  <w:abstractNum w:abstractNumId="3">
    <w:nsid w:val="00000003"/>
    <w:multiLevelType w:val="multilevel"/>
    <w:tmpl w:val="00000003"/>
    <w:lvl w:ilvl="0" w:tentative="0">
      <w:start w:val="1"/>
      <w:numFmt w:val="decimal"/>
      <w:lvlText w:val="%1."/>
      <w:lvlJc w:val="left"/>
      <w:pPr>
        <w:ind w:left="800" w:hanging="440"/>
      </w:pPr>
    </w:lvl>
    <w:lvl w:ilvl="1" w:tentative="0">
      <w:start w:val="1"/>
      <w:numFmt w:val="decimal"/>
      <w:lvlText w:val="%2."/>
      <w:lvlJc w:val="left"/>
      <w:pPr>
        <w:ind w:left="1240" w:hanging="440"/>
      </w:pPr>
    </w:lvl>
    <w:lvl w:ilvl="2" w:tentative="0">
      <w:start w:val="1"/>
      <w:numFmt w:val="decimal"/>
      <w:lvlText w:val="（%3）"/>
      <w:lvlJc w:val="left"/>
      <w:pPr>
        <w:ind w:left="1960" w:hanging="720"/>
      </w:pPr>
      <w:rPr>
        <w:rFonts w:hint="default"/>
      </w:r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9ED6BEA"/>
    <w:rsid w:val="5DF52CB1"/>
    <w:rsid w:val="648B41DC"/>
    <w:rsid w:val="7EE733EF"/>
    <w:rsid w:val="A67E538A"/>
    <w:rsid w:val="F63F23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28"/>
      <w:szCs w:val="32"/>
    </w:rPr>
  </w:style>
  <w:style w:type="character" w:default="1" w:styleId="17">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line="360" w:lineRule="auto"/>
      <w:ind w:firstLine="420"/>
      <w:jc w:val="left"/>
    </w:pPr>
    <w:rPr>
      <w:szCs w:val="20"/>
    </w:rPr>
  </w:style>
  <w:style w:type="paragraph" w:styleId="6">
    <w:name w:val="annotation text"/>
    <w:basedOn w:val="1"/>
    <w:link w:val="33"/>
    <w:qFormat/>
    <w:uiPriority w:val="0"/>
    <w:pPr>
      <w:jc w:val="left"/>
    </w:pPr>
  </w:style>
  <w:style w:type="paragraph" w:styleId="7">
    <w:name w:val="Body Text"/>
    <w:basedOn w:val="1"/>
    <w:link w:val="41"/>
    <w:qFormat/>
    <w:uiPriority w:val="0"/>
    <w:pPr>
      <w:widowControl/>
      <w:spacing w:after="120" w:line="360" w:lineRule="auto"/>
      <w:jc w:val="left"/>
    </w:pPr>
    <w:rPr>
      <w:kern w:val="0"/>
      <w:sz w:val="20"/>
    </w:rPr>
  </w:style>
  <w:style w:type="paragraph" w:styleId="8">
    <w:name w:val="Body Text Indent"/>
    <w:basedOn w:val="1"/>
    <w:qFormat/>
    <w:uiPriority w:val="99"/>
    <w:pPr>
      <w:spacing w:after="120"/>
      <w:ind w:left="420" w:leftChars="200"/>
    </w:pPr>
    <w:rPr>
      <w:rFonts w:cs="Calibri"/>
    </w:rPr>
  </w:style>
  <w:style w:type="paragraph" w:styleId="9">
    <w:name w:val="Balloon Text"/>
    <w:basedOn w:val="1"/>
    <w:link w:val="28"/>
    <w:qFormat/>
    <w:uiPriority w:val="0"/>
    <w:rPr>
      <w:sz w:val="18"/>
      <w:szCs w:val="18"/>
    </w:rPr>
  </w:style>
  <w:style w:type="paragraph" w:styleId="10">
    <w:name w:val="footer"/>
    <w:basedOn w:val="1"/>
    <w:link w:val="24"/>
    <w:qFormat/>
    <w:uiPriority w:val="0"/>
    <w:pPr>
      <w:tabs>
        <w:tab w:val="center" w:pos="4153"/>
        <w:tab w:val="right" w:pos="8306"/>
      </w:tabs>
      <w:snapToGrid w:val="0"/>
      <w:jc w:val="left"/>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3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link w:val="34"/>
    <w:qFormat/>
    <w:uiPriority w:val="0"/>
    <w:rPr>
      <w:b/>
      <w:bCs/>
    </w:rPr>
  </w:style>
  <w:style w:type="table" w:styleId="16">
    <w:name w:val="Table Grid"/>
    <w:basedOn w:val="15"/>
    <w:qFormat/>
    <w:uiPriority w:val="59"/>
    <w:rPr>
      <w:rFonts w:ascii="Calibri" w:hAnsi="Calibri" w:eastAsia="宋体"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character" w:styleId="19">
    <w:name w:val="annotation reference"/>
    <w:basedOn w:val="17"/>
    <w:qFormat/>
    <w:uiPriority w:val="0"/>
    <w:rPr>
      <w:sz w:val="21"/>
      <w:szCs w:val="21"/>
    </w:rPr>
  </w:style>
  <w:style w:type="paragraph" w:styleId="20">
    <w:name w:val="List Paragraph"/>
    <w:basedOn w:val="1"/>
    <w:qFormat/>
    <w:uiPriority w:val="34"/>
    <w:pPr>
      <w:ind w:firstLine="420" w:firstLineChars="200"/>
    </w:pPr>
  </w:style>
  <w:style w:type="paragraph" w:customStyle="1" w:styleId="21">
    <w:name w:val="Char Char1 Char Char Char Char"/>
    <w:basedOn w:val="2"/>
    <w:qFormat/>
    <w:uiPriority w:val="0"/>
    <w:pPr>
      <w:snapToGrid w:val="0"/>
      <w:spacing w:before="240" w:after="240" w:line="348" w:lineRule="auto"/>
    </w:pPr>
    <w:rPr>
      <w:rFonts w:ascii="Tahoma" w:hAnsi="Tahoma"/>
      <w:bCs w:val="0"/>
      <w:kern w:val="2"/>
      <w:sz w:val="24"/>
      <w:szCs w:val="20"/>
    </w:rPr>
  </w:style>
  <w:style w:type="character" w:customStyle="1" w:styleId="22">
    <w:name w:val="标题 1 字符"/>
    <w:basedOn w:val="17"/>
    <w:link w:val="2"/>
    <w:qFormat/>
    <w:uiPriority w:val="0"/>
    <w:rPr>
      <w:b/>
      <w:bCs/>
      <w:kern w:val="44"/>
      <w:sz w:val="44"/>
      <w:szCs w:val="44"/>
    </w:rPr>
  </w:style>
  <w:style w:type="character" w:customStyle="1" w:styleId="23">
    <w:name w:val="页眉 字符"/>
    <w:basedOn w:val="17"/>
    <w:link w:val="11"/>
    <w:qFormat/>
    <w:uiPriority w:val="0"/>
    <w:rPr>
      <w:kern w:val="2"/>
      <w:sz w:val="18"/>
      <w:szCs w:val="18"/>
    </w:rPr>
  </w:style>
  <w:style w:type="character" w:customStyle="1" w:styleId="24">
    <w:name w:val="页脚 字符"/>
    <w:basedOn w:val="17"/>
    <w:link w:val="10"/>
    <w:qFormat/>
    <w:uiPriority w:val="0"/>
    <w:rPr>
      <w:kern w:val="2"/>
      <w:sz w:val="18"/>
      <w:szCs w:val="18"/>
    </w:rPr>
  </w:style>
  <w:style w:type="character" w:customStyle="1" w:styleId="25">
    <w:name w:val="未处理的提及1"/>
    <w:basedOn w:val="17"/>
    <w:qFormat/>
    <w:uiPriority w:val="99"/>
    <w:rPr>
      <w:color w:val="605E5C"/>
      <w:shd w:val="clear" w:color="auto" w:fill="E1DFDD"/>
    </w:rPr>
  </w:style>
  <w:style w:type="character" w:customStyle="1" w:styleId="26">
    <w:name w:val="标题 2 字符"/>
    <w:basedOn w:val="17"/>
    <w:link w:val="3"/>
    <w:qFormat/>
    <w:uiPriority w:val="0"/>
    <w:rPr>
      <w:rFonts w:ascii="Arial" w:hAnsi="Arial" w:eastAsia="黑体"/>
      <w:b/>
      <w:bCs/>
      <w:kern w:val="2"/>
      <w:sz w:val="32"/>
      <w:szCs w:val="32"/>
    </w:rPr>
  </w:style>
  <w:style w:type="character" w:customStyle="1" w:styleId="27">
    <w:name w:val="标题 3 字符"/>
    <w:basedOn w:val="17"/>
    <w:link w:val="4"/>
    <w:qFormat/>
    <w:uiPriority w:val="0"/>
    <w:rPr>
      <w:b/>
      <w:bCs/>
      <w:kern w:val="2"/>
      <w:sz w:val="28"/>
      <w:szCs w:val="32"/>
    </w:rPr>
  </w:style>
  <w:style w:type="character" w:customStyle="1" w:styleId="28">
    <w:name w:val="批注框文本 字符"/>
    <w:basedOn w:val="17"/>
    <w:link w:val="9"/>
    <w:qFormat/>
    <w:uiPriority w:val="0"/>
    <w:rPr>
      <w:kern w:val="2"/>
      <w:sz w:val="18"/>
      <w:szCs w:val="18"/>
    </w:rPr>
  </w:style>
  <w:style w:type="paragraph" w:customStyle="1" w:styleId="29">
    <w:name w:val="段"/>
    <w:link w:val="3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0">
    <w:name w:val="段 Char"/>
    <w:link w:val="29"/>
    <w:qFormat/>
    <w:uiPriority w:val="0"/>
    <w:rPr>
      <w:rFonts w:ascii="宋体"/>
      <w:sz w:val="21"/>
    </w:rPr>
  </w:style>
  <w:style w:type="character" w:customStyle="1" w:styleId="31">
    <w:name w:val="nameboxcolor"/>
    <w:basedOn w:val="17"/>
    <w:qFormat/>
    <w:uiPriority w:val="0"/>
  </w:style>
  <w:style w:type="character" w:customStyle="1" w:styleId="32">
    <w:name w:val="HTML 预设格式 字符"/>
    <w:basedOn w:val="17"/>
    <w:link w:val="12"/>
    <w:qFormat/>
    <w:uiPriority w:val="99"/>
    <w:rPr>
      <w:rFonts w:ascii="宋体" w:hAnsi="宋体" w:cs="宋体"/>
      <w:sz w:val="24"/>
      <w:szCs w:val="24"/>
    </w:rPr>
  </w:style>
  <w:style w:type="character" w:customStyle="1" w:styleId="33">
    <w:name w:val="批注文字 字符"/>
    <w:basedOn w:val="17"/>
    <w:link w:val="6"/>
    <w:qFormat/>
    <w:uiPriority w:val="0"/>
    <w:rPr>
      <w:kern w:val="2"/>
      <w:sz w:val="21"/>
      <w:szCs w:val="24"/>
    </w:rPr>
  </w:style>
  <w:style w:type="character" w:customStyle="1" w:styleId="34">
    <w:name w:val="批注主题 字符"/>
    <w:basedOn w:val="33"/>
    <w:link w:val="14"/>
    <w:qFormat/>
    <w:uiPriority w:val="0"/>
    <w:rPr>
      <w:b/>
      <w:bCs/>
      <w:kern w:val="2"/>
      <w:sz w:val="21"/>
      <w:szCs w:val="24"/>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_Style 31"/>
    <w:basedOn w:val="1"/>
    <w:next w:val="20"/>
    <w:qFormat/>
    <w:uiPriority w:val="34"/>
    <w:pPr>
      <w:ind w:firstLine="420" w:firstLineChars="200"/>
    </w:pPr>
  </w:style>
  <w:style w:type="paragraph" w:customStyle="1" w:styleId="37">
    <w:name w:val="_Style 34"/>
    <w:basedOn w:val="1"/>
    <w:next w:val="20"/>
    <w:qFormat/>
    <w:uiPriority w:val="0"/>
    <w:pPr>
      <w:ind w:firstLine="420" w:firstLineChars="200"/>
    </w:pPr>
    <w:rPr>
      <w:rFonts w:ascii="Calibri" w:hAnsi="Calibri"/>
      <w:szCs w:val="22"/>
    </w:rPr>
  </w:style>
  <w:style w:type="paragraph" w:customStyle="1" w:styleId="38">
    <w:name w:val="Table Paragraph"/>
    <w:basedOn w:val="1"/>
    <w:qFormat/>
    <w:uiPriority w:val="1"/>
    <w:pPr>
      <w:jc w:val="left"/>
    </w:pPr>
    <w:rPr>
      <w:rFonts w:ascii="Calibri" w:hAnsi="Calibri" w:eastAsia="宋体" w:cs="宋体"/>
      <w:kern w:val="0"/>
      <w:sz w:val="22"/>
      <w:szCs w:val="22"/>
      <w:lang w:eastAsia="en-US"/>
    </w:rPr>
  </w:style>
  <w:style w:type="paragraph" w:customStyle="1" w:styleId="39">
    <w:name w:val="_Style 36"/>
    <w:basedOn w:val="1"/>
    <w:next w:val="20"/>
    <w:qFormat/>
    <w:uiPriority w:val="0"/>
    <w:pPr>
      <w:adjustRightInd w:val="0"/>
      <w:snapToGrid w:val="0"/>
      <w:spacing w:line="360" w:lineRule="auto"/>
      <w:ind w:firstLine="482" w:firstLineChars="200"/>
    </w:pPr>
    <w:rPr>
      <w:b/>
      <w:bCs/>
      <w:sz w:val="24"/>
    </w:rPr>
  </w:style>
  <w:style w:type="paragraph" w:customStyle="1" w:styleId="40">
    <w:name w:val="_Style 361"/>
    <w:basedOn w:val="1"/>
    <w:next w:val="20"/>
    <w:qFormat/>
    <w:uiPriority w:val="0"/>
    <w:pPr>
      <w:spacing w:line="360" w:lineRule="auto"/>
      <w:ind w:firstLine="482" w:firstLineChars="200"/>
    </w:pPr>
    <w:rPr>
      <w:b/>
      <w:color w:val="000000"/>
      <w:sz w:val="24"/>
    </w:rPr>
  </w:style>
  <w:style w:type="character" w:customStyle="1" w:styleId="41">
    <w:name w:val="正文文本 字符"/>
    <w:basedOn w:val="17"/>
    <w:link w:val="7"/>
    <w:qFormat/>
    <w:uiPriority w:val="0"/>
    <w:rPr>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ABF3B8-7614-43DE-8245-B619FED61196}">
  <ds:schemaRefs/>
</ds:datastoreItem>
</file>

<file path=docProps/app.xml><?xml version="1.0" encoding="utf-8"?>
<Properties xmlns="http://schemas.openxmlformats.org/officeDocument/2006/extended-properties" xmlns:vt="http://schemas.openxmlformats.org/officeDocument/2006/docPropsVTypes">
  <Template>Normal</Template>
  <Pages>7</Pages>
  <Words>4428</Words>
  <Characters>4712</Characters>
  <Paragraphs>93</Paragraphs>
  <TotalTime>2</TotalTime>
  <ScaleCrop>false</ScaleCrop>
  <LinksUpToDate>false</LinksUpToDate>
  <CharactersWithSpaces>4828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2025-07-01T13:45:00Z</dcterms:created>
  <dc:creator>unknown</dc:creator>
  <cp:lastModifiedBy>王贵宝</cp:lastModifiedBy>
  <cp:lastPrinted>2026-07-18T04:20:00Z</cp:lastPrinted>
  <dcterms:modified xsi:type="dcterms:W3CDTF">2026-07-24T07:56:57Z</dcterms:modified>
  <dc:title>新工作项目建议书</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A972E811A8884B3986DA8C516C503BC8_13</vt:lpwstr>
  </property>
  <property fmtid="{D5CDD505-2E9C-101B-9397-08002B2CF9AE}" pid="4" name="KSOTemplateDocerSaveRecord">
    <vt:lpwstr>eyJoZGlkIjoiNzE5MDEyZmZlOWE3OTIwZWIyZGY2ZWJlZTY4YWYzZTciLCJ1c2VySWQiOiIyMzU3MjExNTAifQ==</vt:lpwstr>
  </property>
</Properties>
</file>