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E48CD">
      <w:pPr>
        <w:spacing w:before="255" w:line="320" w:lineRule="auto"/>
        <w:ind w:left="2751" w:right="1268" w:hanging="1619"/>
        <w:jc w:val="center"/>
        <w:rPr>
          <w:rFonts w:ascii="黑体" w:hAnsi="黑体" w:eastAsia="黑体" w:cs="黑体"/>
          <w:spacing w:val="10"/>
          <w:sz w:val="43"/>
          <w:szCs w:val="43"/>
        </w:rPr>
      </w:pPr>
      <w:r>
        <w:rPr>
          <w:rFonts w:ascii="黑体" w:hAnsi="黑体" w:eastAsia="黑体" w:cs="黑体"/>
          <w:b/>
          <w:bCs/>
          <w:spacing w:val="15"/>
          <w:sz w:val="43"/>
          <w:szCs w:val="43"/>
        </w:rPr>
        <w:t>《</w:t>
      </w:r>
      <w:r>
        <w:rPr>
          <w:rFonts w:hint="eastAsia" w:ascii="黑体" w:hAnsi="黑体" w:eastAsia="黑体" w:cs="黑体"/>
          <w:b/>
          <w:bCs/>
          <w:spacing w:val="15"/>
          <w:sz w:val="43"/>
          <w:szCs w:val="43"/>
          <w:lang w:val="en-US" w:eastAsia="zh-CN"/>
        </w:rPr>
        <w:t>平衡火罐技术操作规范</w:t>
      </w:r>
      <w:r>
        <w:rPr>
          <w:rFonts w:ascii="黑体" w:hAnsi="黑体" w:eastAsia="黑体" w:cs="黑体"/>
          <w:b/>
          <w:bCs/>
          <w:spacing w:val="15"/>
          <w:sz w:val="43"/>
          <w:szCs w:val="43"/>
        </w:rPr>
        <w:t>》</w:t>
      </w:r>
      <w:r>
        <w:rPr>
          <w:rFonts w:ascii="黑体" w:hAnsi="黑体" w:eastAsia="黑体" w:cs="黑体"/>
          <w:spacing w:val="10"/>
          <w:sz w:val="43"/>
          <w:szCs w:val="43"/>
        </w:rPr>
        <w:t xml:space="preserve"> </w:t>
      </w:r>
    </w:p>
    <w:p w14:paraId="76AC1139">
      <w:pPr>
        <w:spacing w:before="255" w:line="320" w:lineRule="auto"/>
        <w:ind w:left="2751" w:right="1268" w:hanging="1619"/>
        <w:jc w:val="center"/>
        <w:rPr>
          <w:rFonts w:ascii="黑体" w:hAnsi="黑体" w:eastAsia="黑体" w:cs="黑体"/>
          <w:sz w:val="43"/>
          <w:szCs w:val="43"/>
        </w:rPr>
      </w:pPr>
      <w:r>
        <w:rPr>
          <w:rFonts w:ascii="黑体" w:hAnsi="黑体" w:eastAsia="黑体" w:cs="黑体"/>
          <w:b/>
          <w:bCs/>
          <w:spacing w:val="10"/>
          <w:sz w:val="43"/>
          <w:szCs w:val="43"/>
        </w:rPr>
        <w:t>团体标准编制说明</w:t>
      </w:r>
    </w:p>
    <w:p w14:paraId="24367FEC">
      <w:pPr>
        <w:spacing w:before="133" w:line="226" w:lineRule="auto"/>
        <w:rPr>
          <w:rFonts w:ascii="黑体" w:hAnsi="黑体" w:eastAsia="黑体" w:cs="黑体"/>
          <w:spacing w:val="8"/>
          <w:sz w:val="31"/>
          <w:szCs w:val="31"/>
        </w:rPr>
      </w:pPr>
      <w:r>
        <w:rPr>
          <w:rFonts w:ascii="黑体" w:hAnsi="黑体" w:eastAsia="黑体" w:cs="黑体"/>
          <w:spacing w:val="8"/>
          <w:sz w:val="31"/>
          <w:szCs w:val="31"/>
        </w:rPr>
        <w:t>一、标准编制背景及任务来源</w:t>
      </w:r>
    </w:p>
    <w:p w14:paraId="6B36EE20">
      <w:pPr>
        <w:spacing w:line="318" w:lineRule="auto"/>
        <w:rPr>
          <w:rFonts w:ascii="Arial"/>
          <w:sz w:val="21"/>
        </w:rPr>
      </w:pPr>
    </w:p>
    <w:p w14:paraId="094A8A63">
      <w:pPr>
        <w:spacing w:before="101" w:line="231" w:lineRule="auto"/>
        <w:ind w:left="658"/>
        <w:rPr>
          <w:rFonts w:ascii="楷体" w:hAnsi="楷体" w:eastAsia="楷体" w:cs="楷体"/>
          <w:b/>
          <w:bCs/>
          <w:sz w:val="31"/>
          <w:szCs w:val="31"/>
        </w:rPr>
      </w:pPr>
      <w:r>
        <w:rPr>
          <w:rFonts w:ascii="楷体" w:hAnsi="楷体" w:eastAsia="楷体" w:cs="楷体"/>
          <w:b/>
          <w:bCs/>
          <w:spacing w:val="5"/>
          <w:sz w:val="31"/>
          <w:szCs w:val="31"/>
        </w:rPr>
        <w:t>（一）标准编制背景</w:t>
      </w:r>
    </w:p>
    <w:p w14:paraId="1ABC6566">
      <w:pPr>
        <w:spacing w:before="54" w:line="360" w:lineRule="auto"/>
        <w:ind w:left="658"/>
        <w:outlineLvl w:val="0"/>
        <w:rPr>
          <w:rFonts w:hint="eastAsia" w:ascii="仿宋" w:hAnsi="仿宋" w:eastAsia="仿宋" w:cs="仿宋"/>
          <w:spacing w:val="4"/>
          <w:sz w:val="31"/>
          <w:szCs w:val="31"/>
        </w:rPr>
      </w:pPr>
      <w:r>
        <w:rPr>
          <w:rFonts w:hint="eastAsia" w:ascii="仿宋" w:hAnsi="仿宋" w:eastAsia="仿宋" w:cs="仿宋"/>
          <w:spacing w:val="4"/>
          <w:sz w:val="31"/>
          <w:szCs w:val="31"/>
        </w:rPr>
        <w:t>随着现代社会工作节奏加快、数字化办公普及、久坐伏案常</w:t>
      </w:r>
    </w:p>
    <w:p w14:paraId="0F6D40AE">
      <w:pPr>
        <w:spacing w:before="54" w:line="360" w:lineRule="auto"/>
        <w:outlineLvl w:val="0"/>
        <w:rPr>
          <w:rFonts w:hint="eastAsia" w:ascii="仿宋" w:hAnsi="仿宋" w:eastAsia="仿宋" w:cs="仿宋"/>
          <w:spacing w:val="4"/>
          <w:sz w:val="31"/>
          <w:szCs w:val="31"/>
        </w:rPr>
      </w:pPr>
      <w:r>
        <w:rPr>
          <w:rFonts w:hint="eastAsia" w:ascii="仿宋" w:hAnsi="仿宋" w:eastAsia="仿宋" w:cs="仿宋"/>
          <w:spacing w:val="4"/>
          <w:sz w:val="31"/>
          <w:szCs w:val="31"/>
        </w:rPr>
        <w:t>态化及作息方式改变，国民亚健康问题愈发突出，颈肩腰腿痛、慢性疲劳综合征、睡眠障碍等问题呈普遍化、低龄化趋势，已成为影响民众生活质量的常见公共卫生问题。综合国内健康行业公开调研数据，我国亚健康人群规模达4.2亿人，职场群体亚健康检出率超90%，核心不适集中于颈肩腰背劳损、睡眠障碍、气血亏虚、慢性疲劳四大类。庞</w:t>
      </w:r>
      <w:r>
        <w:rPr>
          <w:rFonts w:hint="eastAsia" w:ascii="仿宋" w:hAnsi="仿宋" w:eastAsia="仿宋" w:cs="仿宋"/>
          <w:spacing w:val="4"/>
          <w:sz w:val="31"/>
          <w:szCs w:val="31"/>
          <w:lang w:eastAsia="zh-CN"/>
        </w:rPr>
        <w:t>大的</w:t>
      </w:r>
      <w:r>
        <w:rPr>
          <w:rFonts w:hint="eastAsia" w:ascii="仿宋" w:hAnsi="仿宋" w:eastAsia="仿宋" w:cs="仿宋"/>
          <w:spacing w:val="4"/>
          <w:sz w:val="31"/>
          <w:szCs w:val="31"/>
        </w:rPr>
        <w:t>亚健康与慢性不适人群复发率高、病程迁延，单纯药物、理疗手段难以满足群众常态化、预防性、全周期中医调理需求，中医外治适宜技术标准化普惠应用成为基层医疗机构、中医护理、治未病康养领域的刚性发展方向。</w:t>
      </w:r>
    </w:p>
    <w:p w14:paraId="2C3F2CCE">
      <w:pPr>
        <w:spacing w:before="54" w:line="360" w:lineRule="auto"/>
        <w:ind w:left="658"/>
        <w:outlineLvl w:val="0"/>
        <w:rPr>
          <w:rFonts w:hint="eastAsia" w:ascii="仿宋" w:hAnsi="仿宋" w:eastAsia="仿宋" w:cs="仿宋"/>
          <w:spacing w:val="4"/>
          <w:sz w:val="31"/>
          <w:szCs w:val="31"/>
          <w:lang w:eastAsia="en-US"/>
        </w:rPr>
      </w:pPr>
      <w:r>
        <w:rPr>
          <w:rFonts w:hint="eastAsia" w:ascii="仿宋" w:hAnsi="仿宋" w:eastAsia="仿宋" w:cs="仿宋"/>
          <w:spacing w:val="4"/>
          <w:sz w:val="31"/>
          <w:szCs w:val="31"/>
        </w:rPr>
        <w:t>平衡火罐</w:t>
      </w:r>
      <w:r>
        <w:rPr>
          <w:rFonts w:hint="eastAsia" w:ascii="仿宋" w:hAnsi="仿宋" w:eastAsia="仿宋" w:cs="仿宋"/>
          <w:spacing w:val="4"/>
          <w:sz w:val="31"/>
          <w:szCs w:val="31"/>
          <w:lang w:val="en-US" w:eastAsia="zh-CN"/>
        </w:rPr>
        <w:t>是</w:t>
      </w:r>
      <w:r>
        <w:rPr>
          <w:rFonts w:hint="eastAsia" w:ascii="仿宋" w:hAnsi="仿宋" w:eastAsia="仿宋" w:cs="仿宋"/>
          <w:spacing w:val="4"/>
          <w:sz w:val="31"/>
          <w:szCs w:val="31"/>
          <w:lang w:eastAsia="en-US"/>
        </w:rPr>
        <w:t>以中医阴阳学说为理论基础，结合神经传导学说</w:t>
      </w:r>
    </w:p>
    <w:p w14:paraId="3CE227CC">
      <w:pPr>
        <w:spacing w:before="54" w:line="360" w:lineRule="auto"/>
        <w:outlineLvl w:val="0"/>
        <w:rPr>
          <w:rFonts w:hint="eastAsia" w:ascii="仿宋" w:hAnsi="仿宋" w:eastAsia="仿宋" w:cs="仿宋"/>
          <w:spacing w:val="4"/>
          <w:sz w:val="31"/>
          <w:szCs w:val="31"/>
        </w:rPr>
      </w:pPr>
      <w:r>
        <w:rPr>
          <w:rFonts w:hint="eastAsia" w:ascii="仿宋" w:hAnsi="仿宋" w:eastAsia="仿宋" w:cs="仿宋"/>
          <w:spacing w:val="4"/>
          <w:sz w:val="31"/>
          <w:szCs w:val="31"/>
          <w:lang w:eastAsia="en-US"/>
        </w:rPr>
        <w:t>，以机体自身平衡为核心</w:t>
      </w:r>
      <w:r>
        <w:rPr>
          <w:rFonts w:hint="eastAsia" w:ascii="仿宋" w:hAnsi="仿宋" w:eastAsia="仿宋" w:cs="仿宋"/>
          <w:spacing w:val="4"/>
          <w:sz w:val="31"/>
          <w:szCs w:val="31"/>
          <w:lang w:eastAsia="zh-CN"/>
        </w:rPr>
        <w:t>的</w:t>
      </w:r>
      <w:r>
        <w:rPr>
          <w:rFonts w:hint="eastAsia" w:ascii="仿宋" w:hAnsi="仿宋" w:eastAsia="仿宋" w:cs="仿宋"/>
          <w:spacing w:val="4"/>
          <w:sz w:val="31"/>
          <w:szCs w:val="31"/>
        </w:rPr>
        <w:t>中医外治适宜技术</w:t>
      </w:r>
      <w:r>
        <w:rPr>
          <w:rFonts w:hint="eastAsia" w:ascii="仿宋" w:hAnsi="仿宋" w:eastAsia="仿宋" w:cs="仿宋"/>
          <w:spacing w:val="4"/>
          <w:sz w:val="31"/>
          <w:szCs w:val="31"/>
          <w:lang w:eastAsia="zh-CN"/>
        </w:rPr>
        <w:t>。</w:t>
      </w:r>
      <w:r>
        <w:rPr>
          <w:rFonts w:hint="eastAsia" w:ascii="仿宋" w:hAnsi="仿宋" w:eastAsia="仿宋" w:cs="仿宋"/>
          <w:spacing w:val="4"/>
          <w:sz w:val="31"/>
          <w:szCs w:val="31"/>
          <w:lang w:val="en-US" w:eastAsia="zh-CN"/>
        </w:rPr>
        <w:t>其</w:t>
      </w:r>
      <w:r>
        <w:rPr>
          <w:rFonts w:hint="eastAsia" w:ascii="仿宋" w:hAnsi="仿宋" w:eastAsia="仿宋" w:cs="仿宋"/>
          <w:spacing w:val="4"/>
          <w:sz w:val="31"/>
          <w:szCs w:val="31"/>
        </w:rPr>
        <w:t>在传统罐法基础上融合多种复合罐法操作，可有效疏通经络、松解筋脉、调和脏腑、平衡机体阴阳。该技术</w:t>
      </w:r>
      <w:r>
        <w:rPr>
          <w:rFonts w:hint="eastAsia" w:ascii="仿宋" w:hAnsi="仿宋" w:eastAsia="仿宋" w:cs="仿宋"/>
          <w:spacing w:val="4"/>
          <w:sz w:val="31"/>
          <w:szCs w:val="31"/>
          <w:lang w:val="en-US" w:eastAsia="zh-CN"/>
        </w:rPr>
        <w:t>因</w:t>
      </w:r>
      <w:r>
        <w:rPr>
          <w:rFonts w:hint="eastAsia" w:ascii="仿宋" w:hAnsi="仿宋" w:eastAsia="仿宋" w:cs="仿宋"/>
          <w:spacing w:val="4"/>
          <w:sz w:val="31"/>
          <w:szCs w:val="31"/>
        </w:rPr>
        <w:t>疗效稳定</w:t>
      </w:r>
      <w:r>
        <w:rPr>
          <w:rFonts w:hint="eastAsia" w:ascii="仿宋" w:hAnsi="仿宋" w:eastAsia="仿宋" w:cs="仿宋"/>
          <w:spacing w:val="4"/>
          <w:sz w:val="31"/>
          <w:szCs w:val="31"/>
          <w:lang w:eastAsia="zh-CN"/>
        </w:rPr>
        <w:t>、</w:t>
      </w:r>
      <w:r>
        <w:rPr>
          <w:rFonts w:hint="eastAsia" w:ascii="仿宋" w:hAnsi="仿宋" w:eastAsia="仿宋" w:cs="仿宋"/>
          <w:spacing w:val="4"/>
          <w:sz w:val="31"/>
          <w:szCs w:val="31"/>
        </w:rPr>
        <w:t>安全无创、适用性广、接受度高等优势，广泛应用于慢性疼痛调理、睡眠干预、体质调衡、亚健康管理及慢病康复等领域，适配各级中医院、综合医院中医科、康复科、社区卫生服务中心及正规康养机构开展临床服务</w:t>
      </w:r>
      <w:r>
        <w:rPr>
          <w:rFonts w:hint="eastAsia" w:ascii="仿宋" w:hAnsi="仿宋" w:eastAsia="仿宋" w:cs="仿宋"/>
          <w:spacing w:val="4"/>
          <w:sz w:val="31"/>
          <w:szCs w:val="31"/>
          <w:lang w:eastAsia="zh-CN"/>
        </w:rPr>
        <w:t>。《中国中医药外治法发展报告（2023）》行业调研数据显示，全国超60%二级以上中医医院常规开展拔罐类外治项目，患者整体满意度达85%以上，平衡火罐作为复合型优化罐法，临床应用体量逐年快速增长，市场服务需求持续扩容，行业发展前景广阔。</w:t>
      </w:r>
    </w:p>
    <w:p w14:paraId="2BC36687">
      <w:pPr>
        <w:spacing w:before="54" w:line="360" w:lineRule="auto"/>
        <w:ind w:left="658"/>
        <w:outlineLvl w:val="0"/>
        <w:rPr>
          <w:rFonts w:hint="eastAsia" w:ascii="仿宋" w:hAnsi="仿宋" w:eastAsia="仿宋" w:cs="仿宋"/>
          <w:spacing w:val="4"/>
          <w:sz w:val="31"/>
          <w:szCs w:val="31"/>
        </w:rPr>
      </w:pPr>
      <w:r>
        <w:rPr>
          <w:rFonts w:hint="eastAsia" w:ascii="仿宋" w:hAnsi="仿宋" w:eastAsia="仿宋" w:cs="仿宋"/>
          <w:spacing w:val="4"/>
          <w:sz w:val="31"/>
          <w:szCs w:val="31"/>
        </w:rPr>
        <w:t>当前，中医外治适宜技术已成为中医药传承创新、中医护理</w:t>
      </w:r>
    </w:p>
    <w:p w14:paraId="5E609381">
      <w:pPr>
        <w:spacing w:before="54" w:line="360" w:lineRule="auto"/>
        <w:outlineLvl w:val="0"/>
        <w:rPr>
          <w:rFonts w:hint="eastAsia" w:ascii="仿宋" w:hAnsi="仿宋" w:eastAsia="仿宋" w:cs="仿宋"/>
          <w:spacing w:val="4"/>
          <w:sz w:val="31"/>
          <w:szCs w:val="31"/>
        </w:rPr>
      </w:pPr>
      <w:r>
        <w:rPr>
          <w:rFonts w:hint="eastAsia" w:ascii="仿宋" w:hAnsi="仿宋" w:eastAsia="仿宋" w:cs="仿宋"/>
          <w:spacing w:val="4"/>
          <w:sz w:val="31"/>
          <w:szCs w:val="31"/>
        </w:rPr>
        <w:t>提质增效的重要抓手，平衡火罐从业人员规模、线下服务量逐年扩张，但行业高速发展与标准化体系缺失的矛盾持续凸显。现阶段国内缺乏统一权威的平衡火罐技术</w:t>
      </w:r>
      <w:r>
        <w:rPr>
          <w:rFonts w:hint="eastAsia" w:ascii="仿宋" w:hAnsi="仿宋" w:eastAsia="仿宋" w:cs="仿宋"/>
          <w:spacing w:val="4"/>
          <w:sz w:val="31"/>
          <w:szCs w:val="31"/>
          <w:lang w:val="en-US" w:eastAsia="zh-CN"/>
        </w:rPr>
        <w:t>操作</w:t>
      </w:r>
      <w:r>
        <w:rPr>
          <w:rFonts w:hint="eastAsia" w:ascii="仿宋" w:hAnsi="仿宋" w:eastAsia="仿宋" w:cs="仿宋"/>
          <w:spacing w:val="4"/>
          <w:sz w:val="31"/>
          <w:szCs w:val="31"/>
        </w:rPr>
        <w:t>规范，无标准化负压、施术路径、时长、疗程、禁忌及疗效评价要求。各机构罐具、手法、风险筛查、培训考核均凭从业者经验开展，人员专业能力、操作与安全防控水平差距明显。临床负压、留罐、施罐路径操作混乱，存在适应症滥用、禁忌排查不严等问题，易出现水疱、重度瘀斑、体虚耗气等不良反应，疗效稳定性不足，不利于该技术安全规范规模化开展，制约行业高质量可持续发展。</w:t>
      </w:r>
    </w:p>
    <w:p w14:paraId="250053A7">
      <w:pPr>
        <w:spacing w:before="54" w:line="360" w:lineRule="auto"/>
        <w:ind w:firstLine="636" w:firstLineChars="200"/>
        <w:outlineLvl w:val="0"/>
        <w:rPr>
          <w:rFonts w:hint="eastAsia" w:ascii="仿宋" w:hAnsi="仿宋" w:eastAsia="仿宋" w:cs="仿宋"/>
          <w:spacing w:val="4"/>
          <w:sz w:val="31"/>
          <w:szCs w:val="31"/>
          <w:lang w:eastAsia="zh-CN"/>
        </w:rPr>
      </w:pPr>
      <w:r>
        <w:rPr>
          <w:rFonts w:hint="eastAsia" w:ascii="仿宋" w:hAnsi="仿宋" w:eastAsia="仿宋" w:cs="仿宋"/>
          <w:spacing w:val="4"/>
          <w:sz w:val="31"/>
          <w:szCs w:val="31"/>
        </w:rPr>
        <w:t>全面推进健康中国建设是党中央确立的国家重大发展战略，中医药振兴是实现全民全周期健康保障的重要路径。为落实该战略部署，国家出台多项行业专项政策指导中医适宜技术标准化建设。《“十四五”中医药发展规划》明确要求健全中医医疗质控体系、规范中医医疗技术临床应用、完善从业人员培训评价机制；国家中医药管理局《中医药发展战略规划纲要（2016—2030年）》强调要“推广中医药适宜技术，提升基层中医药服务能力”</w:t>
      </w:r>
      <w:r>
        <w:rPr>
          <w:rFonts w:hint="eastAsia" w:ascii="仿宋" w:hAnsi="仿宋" w:eastAsia="仿宋" w:cs="仿宋"/>
          <w:spacing w:val="4"/>
          <w:sz w:val="31"/>
          <w:szCs w:val="31"/>
          <w:lang w:eastAsia="zh-CN"/>
        </w:rPr>
        <w:t>。</w:t>
      </w:r>
      <w:r>
        <w:rPr>
          <w:rFonts w:hint="eastAsia" w:ascii="仿宋" w:hAnsi="仿宋" w:eastAsia="仿宋" w:cs="仿宋"/>
          <w:spacing w:val="4"/>
          <w:sz w:val="31"/>
          <w:szCs w:val="31"/>
        </w:rPr>
        <w:t>两项国家级专项规划相互支撑，为中医特色护理技术标准化建设提供清晰政策指引与合规依据，也为本平衡火罐团体标准编制筑牢政策根基</w:t>
      </w:r>
      <w:r>
        <w:rPr>
          <w:rFonts w:hint="eastAsia" w:ascii="仿宋" w:hAnsi="仿宋" w:eastAsia="仿宋" w:cs="仿宋"/>
          <w:spacing w:val="4"/>
          <w:sz w:val="31"/>
          <w:szCs w:val="31"/>
          <w:lang w:eastAsia="zh-CN"/>
        </w:rPr>
        <w:t>。</w:t>
      </w:r>
    </w:p>
    <w:p w14:paraId="4C050349">
      <w:pPr>
        <w:bidi w:val="0"/>
        <w:rPr>
          <w:rFonts w:hint="eastAsia" w:ascii="Arial" w:hAnsi="Arial" w:eastAsia="Arial" w:cs="Arial"/>
          <w:snapToGrid w:val="0"/>
          <w:color w:val="000000"/>
          <w:kern w:val="0"/>
          <w:sz w:val="21"/>
          <w:szCs w:val="21"/>
          <w:lang w:val="en-US" w:eastAsia="zh-CN" w:bidi="ar-SA"/>
        </w:rPr>
      </w:pPr>
    </w:p>
    <w:p w14:paraId="7AD63939">
      <w:pPr>
        <w:tabs>
          <w:tab w:val="left" w:pos="698"/>
        </w:tabs>
        <w:bidi w:val="0"/>
        <w:jc w:val="left"/>
        <w:rPr>
          <w:rFonts w:hint="eastAsia"/>
          <w:lang w:val="en-US" w:eastAsia="zh-CN"/>
        </w:rPr>
      </w:pPr>
      <w:r>
        <w:rPr>
          <w:rFonts w:hint="eastAsia"/>
          <w:lang w:val="en-US" w:eastAsia="zh-CN"/>
        </w:rPr>
        <w:tab/>
      </w:r>
    </w:p>
    <w:p w14:paraId="0C6340ED">
      <w:pPr>
        <w:spacing w:before="54" w:line="360" w:lineRule="auto"/>
        <w:ind w:firstLine="636" w:firstLineChars="200"/>
        <w:outlineLvl w:val="0"/>
        <w:rPr>
          <w:rFonts w:hint="eastAsia" w:ascii="仿宋" w:hAnsi="仿宋" w:eastAsia="仿宋" w:cs="仿宋"/>
          <w:spacing w:val="4"/>
          <w:sz w:val="31"/>
          <w:szCs w:val="31"/>
        </w:rPr>
      </w:pPr>
      <w:r>
        <w:rPr>
          <w:rFonts w:hint="eastAsia" w:ascii="仿宋" w:hAnsi="仿宋" w:eastAsia="仿宋" w:cs="仿宋"/>
          <w:spacing w:val="4"/>
          <w:sz w:val="31"/>
          <w:szCs w:val="31"/>
        </w:rPr>
        <w:t>现阶段人民群众对安全、规范、专业、标准化的中医特色外治服务需求持续提升，行业快速发展与标准缺失、从业人员专业水平参差不齐、评价无统一依据的矛盾愈发突出。为统一平衡火罐技术操作流程、技术参数、安全禁忌、培训要求及质量评价标准，减少临床操作隐患、稳定干预疗效、提升从业人员专业服务能力，推动平衡火罐技术科学、安全、有序普及应用，特起草制定本团体标准。本标准的制定能够填补平衡火罐专项技术标准空白，统一全行业服务准则，规范临床施术行为，切实保障患者就医安全，进一步完善中医适宜技术标准体系、理顺行业发展秩序，助力中医护理特色技术规范化、产业化高质量发展。</w:t>
      </w:r>
    </w:p>
    <w:p w14:paraId="16FC2B70">
      <w:pPr>
        <w:spacing w:before="54" w:line="230" w:lineRule="auto"/>
        <w:outlineLvl w:val="0"/>
        <w:rPr>
          <w:rFonts w:ascii="楷体" w:hAnsi="楷体" w:eastAsia="楷体" w:cs="楷体"/>
          <w:b/>
          <w:bCs/>
          <w:sz w:val="31"/>
          <w:szCs w:val="31"/>
        </w:rPr>
      </w:pPr>
      <w:r>
        <w:rPr>
          <w:rFonts w:ascii="楷体" w:hAnsi="楷体" w:eastAsia="楷体" w:cs="楷体"/>
          <w:b/>
          <w:bCs/>
          <w:spacing w:val="4"/>
          <w:sz w:val="31"/>
          <w:szCs w:val="31"/>
        </w:rPr>
        <w:t>（二）任务来源</w:t>
      </w:r>
    </w:p>
    <w:p w14:paraId="2D8F52F4">
      <w:pPr>
        <w:spacing w:line="329" w:lineRule="auto"/>
        <w:rPr>
          <w:rFonts w:ascii="Arial"/>
          <w:sz w:val="21"/>
        </w:rPr>
      </w:pPr>
    </w:p>
    <w:p w14:paraId="6B924370">
      <w:pPr>
        <w:pStyle w:val="3"/>
        <w:spacing w:before="101" w:line="365" w:lineRule="auto"/>
        <w:ind w:left="3" w:right="2" w:firstLine="679"/>
        <w:jc w:val="both"/>
        <w:rPr>
          <w:spacing w:val="8"/>
        </w:rPr>
      </w:pPr>
      <w:r>
        <w:rPr>
          <w:spacing w:val="5"/>
        </w:rPr>
        <w:t>中国民族卫生协会是经卫生部（现国家卫健委）、</w:t>
      </w:r>
      <w:r>
        <w:rPr>
          <w:spacing w:val="-91"/>
        </w:rPr>
        <w:t xml:space="preserve"> </w:t>
      </w:r>
      <w:r>
        <w:rPr>
          <w:spacing w:val="5"/>
        </w:rPr>
        <w:t>国家民族</w:t>
      </w:r>
      <w:r>
        <w:t xml:space="preserve"> </w:t>
      </w:r>
      <w:r>
        <w:rPr>
          <w:spacing w:val="7"/>
        </w:rPr>
        <w:t>事务委员会、</w:t>
      </w:r>
      <w:r>
        <w:rPr>
          <w:spacing w:val="-87"/>
        </w:rPr>
        <w:t xml:space="preserve"> </w:t>
      </w:r>
      <w:r>
        <w:rPr>
          <w:spacing w:val="7"/>
        </w:rPr>
        <w:t>民政部审核同意并报国务院批准</w:t>
      </w:r>
      <w:r>
        <w:rPr>
          <w:spacing w:val="6"/>
        </w:rPr>
        <w:t>成立的国家一级非</w:t>
      </w:r>
      <w:r>
        <w:t xml:space="preserve"> </w:t>
      </w:r>
      <w:r>
        <w:rPr>
          <w:spacing w:val="1"/>
        </w:rPr>
        <w:t>营利性行业社会团体，于</w:t>
      </w:r>
      <w:r>
        <w:rPr>
          <w:spacing w:val="-58"/>
        </w:rPr>
        <w:t xml:space="preserve"> </w:t>
      </w:r>
      <w:r>
        <w:rPr>
          <w:spacing w:val="1"/>
        </w:rPr>
        <w:t>2005</w:t>
      </w:r>
      <w:r>
        <w:rPr>
          <w:spacing w:val="-47"/>
        </w:rPr>
        <w:t xml:space="preserve"> </w:t>
      </w:r>
      <w:r>
        <w:rPr>
          <w:spacing w:val="1"/>
        </w:rPr>
        <w:t>年</w:t>
      </w:r>
      <w:r>
        <w:rPr>
          <w:spacing w:val="-58"/>
        </w:rPr>
        <w:t xml:space="preserve"> </w:t>
      </w:r>
      <w:r>
        <w:rPr>
          <w:spacing w:val="1"/>
        </w:rPr>
        <w:t>5</w:t>
      </w:r>
      <w:r>
        <w:rPr>
          <w:spacing w:val="-38"/>
        </w:rPr>
        <w:t xml:space="preserve"> </w:t>
      </w:r>
      <w:r>
        <w:rPr>
          <w:spacing w:val="1"/>
        </w:rPr>
        <w:t>月</w:t>
      </w:r>
      <w:r>
        <w:rPr>
          <w:spacing w:val="-39"/>
        </w:rPr>
        <w:t xml:space="preserve"> </w:t>
      </w:r>
      <w:r>
        <w:rPr>
          <w:spacing w:val="1"/>
        </w:rPr>
        <w:t>18 日正式成立，评估等级</w:t>
      </w:r>
      <w:r>
        <w:t xml:space="preserve"> </w:t>
      </w:r>
      <w:r>
        <w:rPr>
          <w:spacing w:val="7"/>
        </w:rPr>
        <w:t>为</w:t>
      </w:r>
      <w:r>
        <w:rPr>
          <w:spacing w:val="-74"/>
        </w:rPr>
        <w:t xml:space="preserve"> </w:t>
      </w:r>
      <w:r>
        <w:t>AAAA</w:t>
      </w:r>
      <w:r>
        <w:rPr>
          <w:spacing w:val="-50"/>
        </w:rPr>
        <w:t xml:space="preserve"> </w:t>
      </w:r>
      <w:r>
        <w:rPr>
          <w:spacing w:val="7"/>
        </w:rPr>
        <w:t>级。卫生部（现为国家卫健委）为其业务主管单</w:t>
      </w:r>
      <w:r>
        <w:rPr>
          <w:spacing w:val="6"/>
        </w:rPr>
        <w:t>位。协会</w:t>
      </w:r>
      <w:r>
        <w:t xml:space="preserve"> </w:t>
      </w:r>
      <w:r>
        <w:rPr>
          <w:spacing w:val="9"/>
        </w:rPr>
        <w:t>全面遵守国家宪法、法律和法规，认真贯彻执行党和国家民族卫</w:t>
      </w:r>
      <w:r>
        <w:rPr>
          <w:spacing w:val="4"/>
        </w:rPr>
        <w:t>生政策，团结组织社会各方面力量，加强国内、国际交流与合作，</w:t>
      </w:r>
      <w:r>
        <w:rPr>
          <w:spacing w:val="10"/>
        </w:rPr>
        <w:t xml:space="preserve"> </w:t>
      </w:r>
      <w:r>
        <w:rPr>
          <w:spacing w:val="9"/>
        </w:rPr>
        <w:t>促进民族地区卫生事业发展，弘扬中华民族传统医药，振兴民族</w:t>
      </w:r>
      <w:r>
        <w:rPr>
          <w:spacing w:val="2"/>
        </w:rPr>
        <w:t xml:space="preserve">  </w:t>
      </w:r>
      <w:r>
        <w:rPr>
          <w:spacing w:val="10"/>
        </w:rPr>
        <w:t>医药产业，为各民族地区人民健康服务，为</w:t>
      </w:r>
      <w:r>
        <w:rPr>
          <w:rFonts w:hint="eastAsia"/>
          <w:spacing w:val="10"/>
          <w:lang w:eastAsia="zh-CN"/>
        </w:rPr>
        <w:t>全面建成小康社会</w:t>
      </w:r>
      <w:r>
        <w:rPr>
          <w:spacing w:val="10"/>
        </w:rPr>
        <w:t>、</w:t>
      </w:r>
      <w:r>
        <w:rPr>
          <w:spacing w:val="6"/>
        </w:rPr>
        <w:t xml:space="preserve">  </w:t>
      </w:r>
      <w:r>
        <w:rPr>
          <w:spacing w:val="8"/>
        </w:rPr>
        <w:t>构建社会主义和谐社会服务为发展宗旨。</w:t>
      </w:r>
    </w:p>
    <w:p w14:paraId="21621FAF">
      <w:pPr>
        <w:pStyle w:val="3"/>
        <w:spacing w:before="182" w:line="327" w:lineRule="auto"/>
        <w:ind w:left="2" w:right="110" w:firstLine="656" w:firstLineChars="204"/>
        <w:jc w:val="both"/>
        <w:rPr>
          <w:rFonts w:hint="eastAsia"/>
          <w:spacing w:val="6"/>
          <w:highlight w:val="none"/>
          <w:lang w:val="en-US" w:eastAsia="en-US"/>
        </w:rPr>
      </w:pPr>
      <w:r>
        <w:rPr>
          <w:rFonts w:hint="eastAsia"/>
          <w:spacing w:val="6"/>
          <w:lang w:val="en-US" w:eastAsia="zh-CN"/>
        </w:rPr>
        <w:t>为深入贯彻落实《“十四五” 中医药发展规划》、</w:t>
      </w:r>
      <w:r>
        <w:rPr>
          <w:rFonts w:hint="eastAsia" w:ascii="仿宋" w:hAnsi="仿宋" w:eastAsia="仿宋" w:cs="仿宋"/>
          <w:spacing w:val="4"/>
          <w:sz w:val="31"/>
          <w:szCs w:val="31"/>
        </w:rPr>
        <w:t>国家中医药管理局《中医药发展战略规划纲要（2016—2030年）》</w:t>
      </w:r>
      <w:r>
        <w:rPr>
          <w:rFonts w:hint="eastAsia"/>
          <w:spacing w:val="6"/>
          <w:lang w:val="en-US" w:eastAsia="zh-CN"/>
        </w:rPr>
        <w:t>各项工作部署，全方位、多层次推进健康中国建设战略落地见效。本项目聚焦平衡火罐临床应用现存标准化不足、操作流程不统一、服务质量参差不齐等现实问题，通过制定统一的平衡火罐技术操作规范，进一步完善中医外治技术标准体系，规范诊疗服务行为，强化临床安全保障，推动该项技术在各级医疗机构实现规范化、同质化、高质量推广应用。</w:t>
      </w:r>
      <w:r>
        <w:rPr>
          <w:rFonts w:hint="eastAsia"/>
          <w:spacing w:val="6"/>
          <w:highlight w:val="none"/>
          <w:lang w:val="en-US" w:eastAsia="en-US"/>
        </w:rPr>
        <w:t>本项目由广州医科大学附属第二医院申报，</w:t>
      </w:r>
      <w:r>
        <w:rPr>
          <w:rFonts w:hint="eastAsia"/>
          <w:spacing w:val="6"/>
          <w:lang w:val="en-US" w:eastAsia="en-US"/>
        </w:rPr>
        <w:t>经中国民族卫生协会标准化工作委员会组织专家审核评议与专项论证，准予立项制定《平衡火罐技术</w:t>
      </w:r>
      <w:r>
        <w:rPr>
          <w:rFonts w:hint="eastAsia"/>
          <w:spacing w:val="6"/>
          <w:lang w:val="en-US" w:eastAsia="zh-CN"/>
        </w:rPr>
        <w:t>操作</w:t>
      </w:r>
      <w:r>
        <w:rPr>
          <w:rFonts w:hint="eastAsia"/>
          <w:spacing w:val="6"/>
          <w:lang w:val="en-US" w:eastAsia="en-US"/>
        </w:rPr>
        <w:t>规范》团体标准，标准编号：</w:t>
      </w:r>
      <w:r>
        <w:rPr>
          <w:rFonts w:hint="eastAsia"/>
          <w:spacing w:val="6"/>
          <w:highlight w:val="none"/>
          <w:lang w:val="en-US" w:eastAsia="en-US"/>
        </w:rPr>
        <w:t>T/CNHAW 0015-2026。</w:t>
      </w:r>
    </w:p>
    <w:p w14:paraId="2A93169B">
      <w:pPr>
        <w:pStyle w:val="3"/>
        <w:spacing w:before="182" w:line="327" w:lineRule="auto"/>
        <w:ind w:right="110" w:firstLine="644" w:firstLineChars="200"/>
        <w:jc w:val="both"/>
        <w:rPr>
          <w:rFonts w:hint="eastAsia"/>
          <w:spacing w:val="6"/>
          <w:lang w:val="en-US" w:eastAsia="en-US"/>
        </w:rPr>
      </w:pPr>
      <w:r>
        <w:rPr>
          <w:rFonts w:hint="eastAsia"/>
          <w:spacing w:val="6"/>
          <w:lang w:val="en-US" w:eastAsia="en-US"/>
        </w:rPr>
        <w:t>为确保标准条文科学规范、贴合临床实际、适用于全行业推广应用，保障标准编制质量与后续落地成效，本标准</w:t>
      </w:r>
      <w:r>
        <w:rPr>
          <w:rFonts w:hint="eastAsia"/>
          <w:spacing w:val="6"/>
          <w:lang w:val="en-US" w:eastAsia="zh-CN"/>
        </w:rPr>
        <w:t>以</w:t>
      </w:r>
      <w:r>
        <w:rPr>
          <w:rFonts w:hint="eastAsia"/>
          <w:spacing w:val="6"/>
          <w:lang w:val="en-US" w:eastAsia="en-US"/>
        </w:rPr>
        <w:t>广州医科大学附属第二医院</w:t>
      </w:r>
      <w:r>
        <w:rPr>
          <w:rFonts w:hint="eastAsia"/>
          <w:spacing w:val="6"/>
          <w:lang w:val="en-US" w:eastAsia="zh-CN"/>
        </w:rPr>
        <w:t>为主编单位</w:t>
      </w:r>
      <w:r>
        <w:rPr>
          <w:rFonts w:hint="eastAsia"/>
          <w:spacing w:val="6"/>
          <w:lang w:val="en-US" w:eastAsia="en-US"/>
        </w:rPr>
        <w:t>，联合全国各省市三甲</w:t>
      </w:r>
      <w:r>
        <w:rPr>
          <w:rFonts w:hint="eastAsia"/>
          <w:spacing w:val="6"/>
          <w:lang w:val="en-US" w:eastAsia="zh-CN"/>
        </w:rPr>
        <w:t>综合医院、</w:t>
      </w:r>
      <w:r>
        <w:rPr>
          <w:rFonts w:hint="eastAsia"/>
          <w:spacing w:val="6"/>
          <w:lang w:val="en-US" w:eastAsia="en-US"/>
        </w:rPr>
        <w:t>中医医院、中西医结合医院</w:t>
      </w:r>
      <w:r>
        <w:rPr>
          <w:rFonts w:hint="eastAsia"/>
          <w:spacing w:val="6"/>
          <w:lang w:val="en-US" w:eastAsia="zh-CN"/>
        </w:rPr>
        <w:t>共</w:t>
      </w:r>
      <w:r>
        <w:rPr>
          <w:rFonts w:hint="eastAsia"/>
          <w:spacing w:val="6"/>
          <w:lang w:val="en-US" w:eastAsia="en-US"/>
        </w:rPr>
        <w:t>同组建编制工作组，</w:t>
      </w:r>
      <w:r>
        <w:rPr>
          <w:rFonts w:hint="eastAsia"/>
          <w:spacing w:val="6"/>
          <w:lang w:val="en-US" w:eastAsia="zh-CN"/>
        </w:rPr>
        <w:t>协同</w:t>
      </w:r>
      <w:r>
        <w:rPr>
          <w:rFonts w:hint="eastAsia"/>
          <w:spacing w:val="6"/>
          <w:lang w:val="en-US" w:eastAsia="en-US"/>
        </w:rPr>
        <w:t>负责标准的调研、起草、论证及定稿编制等全部工作。</w:t>
      </w:r>
    </w:p>
    <w:p w14:paraId="57AEF1AF">
      <w:pPr>
        <w:spacing w:before="334" w:line="227" w:lineRule="auto"/>
        <w:rPr>
          <w:rFonts w:ascii="仿宋" w:hAnsi="仿宋" w:eastAsia="仿宋" w:cs="仿宋"/>
          <w:b/>
          <w:bCs/>
          <w:snapToGrid w:val="0"/>
          <w:color w:val="000000"/>
          <w:spacing w:val="10"/>
          <w:kern w:val="0"/>
          <w:sz w:val="31"/>
          <w:szCs w:val="31"/>
          <w:lang w:val="en-US" w:eastAsia="en-US" w:bidi="ar-SA"/>
        </w:rPr>
      </w:pPr>
      <w:r>
        <w:rPr>
          <w:rFonts w:ascii="黑体" w:hAnsi="黑体" w:eastAsia="黑体" w:cs="黑体"/>
          <w:b/>
          <w:bCs/>
          <w:spacing w:val="7"/>
          <w:sz w:val="31"/>
          <w:szCs w:val="31"/>
        </w:rPr>
        <w:t>二、主要工作过程</w:t>
      </w:r>
    </w:p>
    <w:p w14:paraId="6F43BEF4">
      <w:pPr>
        <w:numPr>
          <w:ilvl w:val="0"/>
          <w:numId w:val="1"/>
        </w:numPr>
        <w:kinsoku w:val="0"/>
        <w:autoSpaceDE w:val="0"/>
        <w:autoSpaceDN w:val="0"/>
        <w:adjustRightInd w:val="0"/>
        <w:snapToGrid w:val="0"/>
        <w:spacing w:before="182" w:line="327" w:lineRule="auto"/>
        <w:ind w:left="2" w:leftChars="0" w:right="110" w:rightChars="0" w:firstLine="659" w:firstLineChars="204"/>
        <w:jc w:val="both"/>
        <w:textAlignment w:val="baseline"/>
        <w:rPr>
          <w:rFonts w:hint="eastAsia" w:ascii="楷体" w:hAnsi="楷体" w:eastAsia="楷体" w:cs="楷体"/>
          <w:b/>
          <w:bCs/>
          <w:snapToGrid w:val="0"/>
          <w:color w:val="000000"/>
          <w:spacing w:val="6"/>
          <w:kern w:val="0"/>
          <w:sz w:val="31"/>
          <w:szCs w:val="31"/>
          <w:lang w:val="en-US" w:eastAsia="en-US" w:bidi="ar-SA"/>
        </w:rPr>
      </w:pPr>
      <w:r>
        <w:rPr>
          <w:rFonts w:hint="eastAsia" w:ascii="楷体" w:hAnsi="楷体" w:eastAsia="楷体" w:cs="楷体"/>
          <w:b/>
          <w:bCs/>
          <w:snapToGrid w:val="0"/>
          <w:color w:val="000000"/>
          <w:spacing w:val="6"/>
          <w:kern w:val="0"/>
          <w:sz w:val="31"/>
          <w:szCs w:val="31"/>
          <w:lang w:val="en-US" w:eastAsia="en-US" w:bidi="ar-SA"/>
        </w:rPr>
        <w:t xml:space="preserve">预研申报阶段（2025年8月～2026年2月） </w:t>
      </w:r>
    </w:p>
    <w:p w14:paraId="339B5E0B">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为统一平衡火罐临床实操流程、填补中医外治领域标准化建设短板，由广州医科大学附属第二医院作为牵头单位，联合广东省中医院、南方医科大学第三附属医院、广州市中西医结合医院、佛山市第一人民医院、广州医科大学附属中医医院、曲靖市中医医院、佛山市中医院、高州市人民医院、东莞市中医医院、东莞市松山湖中心医院、广州医科大学附属第四医院、暨南大学附属第一医院、深圳市龙华区人民医院等</w:t>
      </w:r>
      <w:r>
        <w:rPr>
          <w:rFonts w:hint="eastAsia" w:ascii="仿宋" w:hAnsi="仿宋" w:eastAsia="仿宋" w:cs="仿宋"/>
          <w:snapToGrid w:val="0"/>
          <w:color w:val="000000"/>
          <w:spacing w:val="6"/>
          <w:kern w:val="0"/>
          <w:sz w:val="31"/>
          <w:szCs w:val="31"/>
          <w:lang w:val="en-US" w:eastAsia="zh-CN" w:bidi="ar-SA"/>
        </w:rPr>
        <w:t>十四</w:t>
      </w:r>
      <w:r>
        <w:rPr>
          <w:rFonts w:hint="eastAsia" w:ascii="仿宋" w:hAnsi="仿宋" w:eastAsia="仿宋" w:cs="仿宋"/>
          <w:snapToGrid w:val="0"/>
          <w:color w:val="000000"/>
          <w:spacing w:val="6"/>
          <w:kern w:val="0"/>
          <w:sz w:val="31"/>
          <w:szCs w:val="31"/>
          <w:lang w:val="en-US" w:eastAsia="en-US" w:bidi="ar-SA"/>
        </w:rPr>
        <w:t>家中医医院、中西医结合医院、基层医疗机构共同组建专项标准编制筹备工作组，统筹推进标准研制全流程工作。</w:t>
      </w:r>
    </w:p>
    <w:p w14:paraId="545C2053">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zh-CN" w:bidi="ar-SA"/>
        </w:rPr>
        <w:drawing>
          <wp:anchor distT="0" distB="0" distL="114300" distR="114300" simplePos="0" relativeHeight="251659264" behindDoc="0" locked="0" layoutInCell="1" allowOverlap="1">
            <wp:simplePos x="0" y="0"/>
            <wp:positionH relativeFrom="column">
              <wp:posOffset>346075</wp:posOffset>
            </wp:positionH>
            <wp:positionV relativeFrom="paragraph">
              <wp:posOffset>3070225</wp:posOffset>
            </wp:positionV>
            <wp:extent cx="4961890" cy="2863850"/>
            <wp:effectExtent l="0" t="0" r="10160" b="12700"/>
            <wp:wrapNone/>
            <wp:docPr id="2" name="图片 2" descr="a9e299ecb468399e0d316e71f758e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9e299ecb468399e0d316e71f758ebee"/>
                    <pic:cNvPicPr>
                      <a:picLocks noChangeAspect="1"/>
                    </pic:cNvPicPr>
                  </pic:nvPicPr>
                  <pic:blipFill>
                    <a:blip r:embed="rId9"/>
                    <a:stretch>
                      <a:fillRect/>
                    </a:stretch>
                  </pic:blipFill>
                  <pic:spPr>
                    <a:xfrm>
                      <a:off x="0" y="0"/>
                      <a:ext cx="4961890" cy="2863850"/>
                    </a:xfrm>
                    <a:prstGeom prst="rect">
                      <a:avLst/>
                    </a:prstGeom>
                  </pic:spPr>
                </pic:pic>
              </a:graphicData>
            </a:graphic>
          </wp:anchor>
        </w:drawing>
      </w:r>
      <w:r>
        <w:rPr>
          <w:rFonts w:hint="eastAsia" w:ascii="仿宋" w:hAnsi="仿宋" w:eastAsia="仿宋" w:cs="仿宋"/>
          <w:snapToGrid w:val="0"/>
          <w:color w:val="000000"/>
          <w:spacing w:val="6"/>
          <w:kern w:val="0"/>
          <w:sz w:val="31"/>
          <w:szCs w:val="31"/>
          <w:lang w:val="en-US" w:eastAsia="en-US" w:bidi="ar-SA"/>
        </w:rPr>
        <w:t>2025年8月，本标准前期预研工作全面启动。项目组</w:t>
      </w:r>
      <w:r>
        <w:rPr>
          <w:rFonts w:hint="eastAsia" w:ascii="仿宋" w:hAnsi="仿宋" w:eastAsia="仿宋" w:cs="仿宋"/>
          <w:snapToGrid w:val="0"/>
          <w:color w:val="000000"/>
          <w:spacing w:val="6"/>
          <w:kern w:val="0"/>
          <w:sz w:val="31"/>
          <w:szCs w:val="31"/>
          <w:lang w:val="en-US" w:eastAsia="zh-CN" w:bidi="ar-SA"/>
        </w:rPr>
        <w:t>同步</w:t>
      </w:r>
      <w:r>
        <w:rPr>
          <w:rFonts w:hint="eastAsia" w:ascii="仿宋" w:hAnsi="仿宋" w:eastAsia="仿宋" w:cs="仿宋"/>
          <w:snapToGrid w:val="0"/>
          <w:color w:val="000000"/>
          <w:spacing w:val="6"/>
          <w:kern w:val="0"/>
          <w:sz w:val="31"/>
          <w:szCs w:val="31"/>
          <w:lang w:val="en-US" w:eastAsia="en-US" w:bidi="ar-SA"/>
        </w:rPr>
        <w:t>推进立项申报文稿撰写、</w:t>
      </w:r>
      <w:r>
        <w:rPr>
          <w:rFonts w:hint="eastAsia" w:ascii="仿宋" w:hAnsi="仿宋" w:eastAsia="仿宋" w:cs="仿宋"/>
          <w:snapToGrid w:val="0"/>
          <w:color w:val="000000"/>
          <w:spacing w:val="6"/>
          <w:kern w:val="0"/>
          <w:sz w:val="31"/>
          <w:szCs w:val="31"/>
          <w:lang w:val="en-US" w:eastAsia="zh-CN" w:bidi="ar-SA"/>
        </w:rPr>
        <w:t>行业</w:t>
      </w:r>
      <w:r>
        <w:rPr>
          <w:rFonts w:hint="eastAsia" w:ascii="仿宋" w:hAnsi="仿宋" w:eastAsia="仿宋" w:cs="仿宋"/>
          <w:snapToGrid w:val="0"/>
          <w:color w:val="000000"/>
          <w:spacing w:val="6"/>
          <w:kern w:val="0"/>
          <w:sz w:val="31"/>
          <w:szCs w:val="31"/>
          <w:lang w:val="en-US" w:eastAsia="en-US" w:bidi="ar-SA"/>
        </w:rPr>
        <w:t>临床现状调研、文献资料汇总、多中心临床实操案例归集等多项基础研究工作，系统梳理当前平衡火罐临床应用过程中存在的操作流程</w:t>
      </w:r>
      <w:r>
        <w:rPr>
          <w:rFonts w:hint="eastAsia" w:ascii="仿宋" w:hAnsi="仿宋" w:eastAsia="仿宋" w:cs="仿宋"/>
          <w:snapToGrid w:val="0"/>
          <w:color w:val="000000"/>
          <w:spacing w:val="6"/>
          <w:kern w:val="0"/>
          <w:sz w:val="31"/>
          <w:szCs w:val="31"/>
          <w:lang w:val="en-US" w:eastAsia="zh-CN" w:bidi="ar-SA"/>
        </w:rPr>
        <w:t>欠</w:t>
      </w:r>
      <w:r>
        <w:rPr>
          <w:rFonts w:hint="eastAsia" w:ascii="仿宋" w:hAnsi="仿宋" w:eastAsia="仿宋" w:cs="仿宋"/>
          <w:snapToGrid w:val="0"/>
          <w:color w:val="000000"/>
          <w:spacing w:val="6"/>
          <w:kern w:val="0"/>
          <w:sz w:val="31"/>
          <w:szCs w:val="31"/>
          <w:lang w:val="en-US" w:eastAsia="en-US" w:bidi="ar-SA"/>
        </w:rPr>
        <w:t>规范、安全管控措施不完善、疗效评判标准不统一等行业突出难点问题，在此基础上完整编制《平衡火罐技术</w:t>
      </w:r>
      <w:r>
        <w:rPr>
          <w:rFonts w:hint="eastAsia" w:ascii="仿宋" w:hAnsi="仿宋" w:eastAsia="仿宋" w:cs="仿宋"/>
          <w:snapToGrid w:val="0"/>
          <w:color w:val="000000"/>
          <w:spacing w:val="6"/>
          <w:kern w:val="0"/>
          <w:sz w:val="31"/>
          <w:szCs w:val="31"/>
          <w:lang w:val="en-US" w:eastAsia="zh-CN" w:bidi="ar-SA"/>
        </w:rPr>
        <w:t>操作</w:t>
      </w:r>
      <w:r>
        <w:rPr>
          <w:rFonts w:hint="eastAsia" w:ascii="仿宋" w:hAnsi="仿宋" w:eastAsia="仿宋" w:cs="仿宋"/>
          <w:snapToGrid w:val="0"/>
          <w:color w:val="000000"/>
          <w:spacing w:val="6"/>
          <w:kern w:val="0"/>
          <w:sz w:val="31"/>
          <w:szCs w:val="31"/>
          <w:lang w:val="en-US" w:eastAsia="en-US" w:bidi="ar-SA"/>
        </w:rPr>
        <w:t>规范》团体标准全套立项申报资料</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并提交中国民族卫生协会标准化工作委员会。 筹备团队召开首次全体筹备会议，共同研讨标准整体研究规划、分阶段实施推进方案，明确各参编单位分工、临床调研范围、技术资料梳理任务。</w:t>
      </w:r>
    </w:p>
    <w:p w14:paraId="19F939E1">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6DC15A27">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2FC48364">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30D4FC6E">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27133869">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5B32C032">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667E0F78">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zh-CN" w:bidi="ar-SA"/>
        </w:rPr>
        <w:drawing>
          <wp:anchor distT="0" distB="0" distL="114300" distR="114300" simplePos="0" relativeHeight="251660288" behindDoc="0" locked="0" layoutInCell="1" allowOverlap="1">
            <wp:simplePos x="0" y="0"/>
            <wp:positionH relativeFrom="column">
              <wp:posOffset>362585</wp:posOffset>
            </wp:positionH>
            <wp:positionV relativeFrom="paragraph">
              <wp:posOffset>135890</wp:posOffset>
            </wp:positionV>
            <wp:extent cx="4932680" cy="2980055"/>
            <wp:effectExtent l="0" t="0" r="1270" b="10795"/>
            <wp:wrapNone/>
            <wp:docPr id="4" name="图片 4" descr="25b7d914e7222dab008502a6e5a419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5b7d914e7222dab008502a6e5a419ba"/>
                    <pic:cNvPicPr>
                      <a:picLocks noChangeAspect="1"/>
                    </pic:cNvPicPr>
                  </pic:nvPicPr>
                  <pic:blipFill>
                    <a:blip r:embed="rId10"/>
                    <a:stretch>
                      <a:fillRect/>
                    </a:stretch>
                  </pic:blipFill>
                  <pic:spPr>
                    <a:xfrm>
                      <a:off x="0" y="0"/>
                      <a:ext cx="4932680" cy="2980055"/>
                    </a:xfrm>
                    <a:prstGeom prst="rect">
                      <a:avLst/>
                    </a:prstGeom>
                  </pic:spPr>
                </pic:pic>
              </a:graphicData>
            </a:graphic>
          </wp:anchor>
        </w:drawing>
      </w:r>
    </w:p>
    <w:p w14:paraId="009A16E2">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40E67B60">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zh-CN" w:bidi="ar-SA"/>
        </w:rPr>
      </w:pPr>
    </w:p>
    <w:p w14:paraId="1840CC75">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020A3553">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5694AFDD">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717D31BC">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0748AF24">
      <w:pPr>
        <w:numPr>
          <w:ilvl w:val="0"/>
          <w:numId w:val="1"/>
        </w:numPr>
        <w:kinsoku w:val="0"/>
        <w:autoSpaceDE w:val="0"/>
        <w:autoSpaceDN w:val="0"/>
        <w:adjustRightInd w:val="0"/>
        <w:snapToGrid w:val="0"/>
        <w:spacing w:before="182" w:line="327" w:lineRule="auto"/>
        <w:ind w:left="2" w:leftChars="0" w:right="110" w:rightChars="0" w:firstLine="659" w:firstLineChars="204"/>
        <w:jc w:val="both"/>
        <w:textAlignment w:val="baseline"/>
        <w:rPr>
          <w:rFonts w:hint="eastAsia" w:ascii="楷体" w:hAnsi="楷体" w:eastAsia="楷体" w:cs="楷体"/>
          <w:b/>
          <w:bCs/>
          <w:snapToGrid w:val="0"/>
          <w:color w:val="000000"/>
          <w:spacing w:val="6"/>
          <w:kern w:val="0"/>
          <w:sz w:val="31"/>
          <w:szCs w:val="31"/>
          <w:lang w:val="en-US" w:eastAsia="en-US" w:bidi="ar-SA"/>
        </w:rPr>
      </w:pPr>
      <w:r>
        <w:rPr>
          <w:rFonts w:hint="eastAsia" w:ascii="楷体" w:hAnsi="楷体" w:eastAsia="楷体" w:cs="楷体"/>
          <w:b/>
          <w:bCs/>
          <w:snapToGrid w:val="0"/>
          <w:color w:val="000000"/>
          <w:spacing w:val="6"/>
          <w:kern w:val="0"/>
          <w:sz w:val="31"/>
          <w:szCs w:val="31"/>
          <w:lang w:val="en-US" w:eastAsia="en-US" w:bidi="ar-SA"/>
        </w:rPr>
        <w:t>立项批复与起草组建阶段（2026年3月）</w:t>
      </w:r>
    </w:p>
    <w:p w14:paraId="2B52B261">
      <w:pPr>
        <w:numPr>
          <w:ilvl w:val="0"/>
          <w:numId w:val="0"/>
        </w:numPr>
        <w:kinsoku w:val="0"/>
        <w:autoSpaceDE w:val="0"/>
        <w:autoSpaceDN w:val="0"/>
        <w:adjustRightInd w:val="0"/>
        <w:snapToGrid w:val="0"/>
        <w:spacing w:before="182" w:line="327" w:lineRule="auto"/>
        <w:ind w:leftChars="204"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default" w:ascii="仿宋" w:hAnsi="仿宋" w:eastAsia="仿宋" w:cs="仿宋"/>
          <w:snapToGrid w:val="0"/>
          <w:color w:val="000000"/>
          <w:spacing w:val="6"/>
          <w:kern w:val="0"/>
          <w:sz w:val="31"/>
          <w:szCs w:val="31"/>
          <w:lang w:val="en-US" w:eastAsia="zh-CN" w:bidi="ar-SA"/>
        </w:rPr>
        <w:drawing>
          <wp:anchor distT="0" distB="0" distL="114300" distR="114300" simplePos="0" relativeHeight="251661312" behindDoc="0" locked="0" layoutInCell="1" allowOverlap="1">
            <wp:simplePos x="0" y="0"/>
            <wp:positionH relativeFrom="column">
              <wp:posOffset>913765</wp:posOffset>
            </wp:positionH>
            <wp:positionV relativeFrom="paragraph">
              <wp:posOffset>1096010</wp:posOffset>
            </wp:positionV>
            <wp:extent cx="3714750" cy="2262505"/>
            <wp:effectExtent l="0" t="0" r="0" b="0"/>
            <wp:wrapNone/>
            <wp:docPr id="5" name="图片 5" descr="0ad7644756aa38a962975955e5efb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ad7644756aa38a962975955e5efb549"/>
                    <pic:cNvPicPr>
                      <a:picLocks noChangeAspect="1"/>
                    </pic:cNvPicPr>
                  </pic:nvPicPr>
                  <pic:blipFill>
                    <a:blip r:embed="rId11"/>
                    <a:srcRect l="13555" t="14418" r="16577" b="16718"/>
                    <a:stretch>
                      <a:fillRect/>
                    </a:stretch>
                  </pic:blipFill>
                  <pic:spPr>
                    <a:xfrm>
                      <a:off x="0" y="0"/>
                      <a:ext cx="3714750" cy="2262505"/>
                    </a:xfrm>
                    <a:prstGeom prst="rect">
                      <a:avLst/>
                    </a:prstGeom>
                  </pic:spPr>
                </pic:pic>
              </a:graphicData>
            </a:graphic>
          </wp:anchor>
        </w:drawing>
      </w:r>
      <w:r>
        <w:rPr>
          <w:rFonts w:hint="eastAsia" w:ascii="仿宋" w:hAnsi="仿宋" w:eastAsia="仿宋" w:cs="仿宋"/>
          <w:snapToGrid w:val="0"/>
          <w:color w:val="000000"/>
          <w:spacing w:val="6"/>
          <w:kern w:val="0"/>
          <w:sz w:val="31"/>
          <w:szCs w:val="31"/>
          <w:lang w:val="en-US" w:eastAsia="en-US" w:bidi="ar-SA"/>
        </w:rPr>
        <w:t>2026年3月，中国民族卫生协会标准化工作委员会完成申报材料专家评审，正式下发本标准立项通知，标准编号T/CNHAW</w:t>
      </w:r>
      <w:r>
        <w:rPr>
          <w:rFonts w:hint="eastAsia" w:ascii="仿宋" w:hAnsi="仿宋" w:eastAsia="仿宋" w:cs="仿宋"/>
          <w:snapToGrid w:val="0"/>
          <w:color w:val="000000"/>
          <w:spacing w:val="6"/>
          <w:kern w:val="0"/>
          <w:sz w:val="31"/>
          <w:szCs w:val="31"/>
          <w:lang w:val="en-US" w:eastAsia="zh-CN" w:bidi="ar-SA"/>
        </w:rPr>
        <w:t>-B-</w:t>
      </w:r>
      <w:r>
        <w:rPr>
          <w:rFonts w:hint="eastAsia" w:ascii="仿宋" w:hAnsi="仿宋" w:eastAsia="仿宋" w:cs="仿宋"/>
          <w:snapToGrid w:val="0"/>
          <w:color w:val="000000"/>
          <w:spacing w:val="6"/>
          <w:kern w:val="0"/>
          <w:sz w:val="31"/>
          <w:szCs w:val="31"/>
          <w:lang w:val="en-US" w:eastAsia="en-US" w:bidi="ar-SA"/>
        </w:rPr>
        <w:t xml:space="preserve"> 001</w:t>
      </w:r>
      <w:r>
        <w:rPr>
          <w:rFonts w:hint="eastAsia" w:ascii="仿宋" w:hAnsi="仿宋" w:eastAsia="仿宋" w:cs="仿宋"/>
          <w:snapToGrid w:val="0"/>
          <w:color w:val="000000"/>
          <w:spacing w:val="6"/>
          <w:kern w:val="0"/>
          <w:sz w:val="31"/>
          <w:szCs w:val="31"/>
          <w:lang w:val="en-US" w:eastAsia="zh-CN" w:bidi="ar-SA"/>
        </w:rPr>
        <w:t>5</w:t>
      </w:r>
      <w:r>
        <w:rPr>
          <w:rFonts w:hint="eastAsia" w:ascii="仿宋" w:hAnsi="仿宋" w:eastAsia="仿宋" w:cs="仿宋"/>
          <w:snapToGrid w:val="0"/>
          <w:color w:val="000000"/>
          <w:spacing w:val="6"/>
          <w:kern w:val="0"/>
          <w:sz w:val="31"/>
          <w:szCs w:val="31"/>
          <w:lang w:val="en-US" w:eastAsia="en-US" w:bidi="ar-SA"/>
        </w:rPr>
        <w:t xml:space="preserve">-2026。 </w:t>
      </w:r>
    </w:p>
    <w:p w14:paraId="369FA31F">
      <w:pPr>
        <w:numPr>
          <w:ilvl w:val="0"/>
          <w:numId w:val="0"/>
        </w:numPr>
        <w:kinsoku w:val="0"/>
        <w:autoSpaceDE w:val="0"/>
        <w:autoSpaceDN w:val="0"/>
        <w:adjustRightInd w:val="0"/>
        <w:snapToGrid w:val="0"/>
        <w:spacing w:before="182" w:line="327" w:lineRule="auto"/>
        <w:ind w:leftChars="204"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2A7E4297">
      <w:pPr>
        <w:numPr>
          <w:ilvl w:val="0"/>
          <w:numId w:val="0"/>
        </w:numPr>
        <w:kinsoku w:val="0"/>
        <w:autoSpaceDE w:val="0"/>
        <w:autoSpaceDN w:val="0"/>
        <w:adjustRightInd w:val="0"/>
        <w:snapToGrid w:val="0"/>
        <w:spacing w:before="182" w:line="327" w:lineRule="auto"/>
        <w:ind w:leftChars="204"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5B0329D4">
      <w:pPr>
        <w:numPr>
          <w:ilvl w:val="0"/>
          <w:numId w:val="0"/>
        </w:numPr>
        <w:kinsoku w:val="0"/>
        <w:autoSpaceDE w:val="0"/>
        <w:autoSpaceDN w:val="0"/>
        <w:adjustRightInd w:val="0"/>
        <w:snapToGrid w:val="0"/>
        <w:spacing w:before="182" w:line="327" w:lineRule="auto"/>
        <w:ind w:leftChars="204"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59CC57EC">
      <w:pPr>
        <w:numPr>
          <w:ilvl w:val="0"/>
          <w:numId w:val="0"/>
        </w:numPr>
        <w:kinsoku w:val="0"/>
        <w:autoSpaceDE w:val="0"/>
        <w:autoSpaceDN w:val="0"/>
        <w:adjustRightInd w:val="0"/>
        <w:snapToGrid w:val="0"/>
        <w:spacing w:before="182" w:line="327" w:lineRule="auto"/>
        <w:ind w:leftChars="204"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639C0946">
      <w:pPr>
        <w:numPr>
          <w:ilvl w:val="0"/>
          <w:numId w:val="0"/>
        </w:numPr>
        <w:kinsoku w:val="0"/>
        <w:autoSpaceDE w:val="0"/>
        <w:autoSpaceDN w:val="0"/>
        <w:adjustRightInd w:val="0"/>
        <w:snapToGrid w:val="0"/>
        <w:spacing w:before="182" w:line="327" w:lineRule="auto"/>
        <w:ind w:leftChars="204" w:right="110" w:rightChars="0" w:firstLine="58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Times New Roman" w:hAnsi="Times New Roman" w:eastAsia="方正楷体_GB2312" w:cs="方正楷体_GB2312"/>
          <w:snapToGrid w:val="0"/>
          <w:color w:val="000000"/>
          <w:spacing w:val="6"/>
          <w:kern w:val="0"/>
          <w:sz w:val="28"/>
          <w:szCs w:val="28"/>
          <w:vertAlign w:val="baseline"/>
          <w:lang w:eastAsia="zh-CN"/>
        </w:rPr>
        <w:drawing>
          <wp:anchor distT="0" distB="0" distL="114300" distR="114300" simplePos="0" relativeHeight="251663360" behindDoc="0" locked="0" layoutInCell="1" allowOverlap="1">
            <wp:simplePos x="0" y="0"/>
            <wp:positionH relativeFrom="column">
              <wp:posOffset>2832735</wp:posOffset>
            </wp:positionH>
            <wp:positionV relativeFrom="paragraph">
              <wp:posOffset>294005</wp:posOffset>
            </wp:positionV>
            <wp:extent cx="2831465" cy="3524885"/>
            <wp:effectExtent l="0" t="0" r="6985" b="18415"/>
            <wp:wrapNone/>
            <wp:docPr id="15" name="图片 15" descr="ec0a91e9-8055-4056-9c9e-ca4f1ed522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c0a91e9-8055-4056-9c9e-ca4f1ed522ab"/>
                    <pic:cNvPicPr>
                      <a:picLocks noChangeAspect="1"/>
                    </pic:cNvPicPr>
                  </pic:nvPicPr>
                  <pic:blipFill>
                    <a:blip r:embed="rId12"/>
                    <a:stretch>
                      <a:fillRect/>
                    </a:stretch>
                  </pic:blipFill>
                  <pic:spPr>
                    <a:xfrm>
                      <a:off x="0" y="0"/>
                      <a:ext cx="2831465" cy="3524885"/>
                    </a:xfrm>
                    <a:prstGeom prst="rect">
                      <a:avLst/>
                    </a:prstGeom>
                  </pic:spPr>
                </pic:pic>
              </a:graphicData>
            </a:graphic>
          </wp:anchor>
        </w:drawing>
      </w:r>
      <w:r>
        <w:rPr>
          <w:rFonts w:hint="eastAsia" w:ascii="Times New Roman" w:hAnsi="Times New Roman" w:eastAsia="方正楷体_GB2312" w:cs="方正楷体_GB2312"/>
          <w:snapToGrid w:val="0"/>
          <w:color w:val="000000"/>
          <w:spacing w:val="6"/>
          <w:kern w:val="0"/>
          <w:sz w:val="28"/>
          <w:szCs w:val="28"/>
          <w:vertAlign w:val="baseline"/>
          <w:lang w:eastAsia="zh-CN"/>
        </w:rPr>
        <w:drawing>
          <wp:anchor distT="0" distB="0" distL="114300" distR="114300" simplePos="0" relativeHeight="251662336" behindDoc="0" locked="0" layoutInCell="1" allowOverlap="1">
            <wp:simplePos x="0" y="0"/>
            <wp:positionH relativeFrom="column">
              <wp:posOffset>-83820</wp:posOffset>
            </wp:positionH>
            <wp:positionV relativeFrom="paragraph">
              <wp:posOffset>182245</wp:posOffset>
            </wp:positionV>
            <wp:extent cx="2895600" cy="3495040"/>
            <wp:effectExtent l="0" t="0" r="0" b="10160"/>
            <wp:wrapNone/>
            <wp:docPr id="14" name="图片 14" descr="19f73262-6d1f-4849-abe5-93de2fe15e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9f73262-6d1f-4849-abe5-93de2fe15e6f"/>
                    <pic:cNvPicPr>
                      <a:picLocks noChangeAspect="1"/>
                    </pic:cNvPicPr>
                  </pic:nvPicPr>
                  <pic:blipFill>
                    <a:blip r:embed="rId13"/>
                    <a:srcRect b="8632"/>
                    <a:stretch>
                      <a:fillRect/>
                    </a:stretch>
                  </pic:blipFill>
                  <pic:spPr>
                    <a:xfrm>
                      <a:off x="0" y="0"/>
                      <a:ext cx="2895600" cy="3495040"/>
                    </a:xfrm>
                    <a:prstGeom prst="rect">
                      <a:avLst/>
                    </a:prstGeom>
                  </pic:spPr>
                </pic:pic>
              </a:graphicData>
            </a:graphic>
          </wp:anchor>
        </w:drawing>
      </w:r>
    </w:p>
    <w:p w14:paraId="4B74ABB2">
      <w:pPr>
        <w:numPr>
          <w:ilvl w:val="0"/>
          <w:numId w:val="0"/>
        </w:numPr>
        <w:kinsoku w:val="0"/>
        <w:autoSpaceDE w:val="0"/>
        <w:autoSpaceDN w:val="0"/>
        <w:adjustRightInd w:val="0"/>
        <w:snapToGrid w:val="0"/>
        <w:spacing w:before="182" w:line="327" w:lineRule="auto"/>
        <w:ind w:leftChars="204"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03A9A246">
      <w:pPr>
        <w:numPr>
          <w:numId w:val="0"/>
        </w:numPr>
        <w:kinsoku w:val="0"/>
        <w:autoSpaceDE w:val="0"/>
        <w:autoSpaceDN w:val="0"/>
        <w:adjustRightInd w:val="0"/>
        <w:snapToGrid w:val="0"/>
        <w:spacing w:before="182" w:line="327" w:lineRule="auto"/>
        <w:ind w:leftChars="204" w:right="110" w:rightChars="0"/>
        <w:jc w:val="both"/>
        <w:textAlignment w:val="baseline"/>
        <w:rPr>
          <w:rFonts w:hint="default" w:ascii="仿宋" w:hAnsi="仿宋" w:eastAsia="仿宋" w:cs="仿宋"/>
          <w:snapToGrid w:val="0"/>
          <w:color w:val="000000"/>
          <w:spacing w:val="6"/>
          <w:kern w:val="0"/>
          <w:sz w:val="31"/>
          <w:szCs w:val="31"/>
          <w:lang w:val="en-US" w:eastAsia="zh-CN" w:bidi="ar-SA"/>
        </w:rPr>
      </w:pPr>
    </w:p>
    <w:p w14:paraId="22A67AC9">
      <w:pPr>
        <w:numPr>
          <w:numId w:val="0"/>
        </w:numPr>
        <w:kinsoku w:val="0"/>
        <w:autoSpaceDE w:val="0"/>
        <w:autoSpaceDN w:val="0"/>
        <w:adjustRightInd w:val="0"/>
        <w:snapToGrid w:val="0"/>
        <w:spacing w:before="182" w:line="327" w:lineRule="auto"/>
        <w:ind w:leftChars="204" w:right="110" w:rightChars="0"/>
        <w:jc w:val="both"/>
        <w:textAlignment w:val="baseline"/>
        <w:rPr>
          <w:rFonts w:hint="default" w:ascii="仿宋" w:hAnsi="仿宋" w:eastAsia="仿宋" w:cs="仿宋"/>
          <w:snapToGrid w:val="0"/>
          <w:color w:val="000000"/>
          <w:spacing w:val="6"/>
          <w:kern w:val="0"/>
          <w:sz w:val="31"/>
          <w:szCs w:val="31"/>
          <w:lang w:val="en-US" w:eastAsia="zh-CN" w:bidi="ar-SA"/>
        </w:rPr>
      </w:pPr>
    </w:p>
    <w:p w14:paraId="03C213EA">
      <w:pPr>
        <w:numPr>
          <w:numId w:val="0"/>
        </w:numPr>
        <w:kinsoku w:val="0"/>
        <w:autoSpaceDE w:val="0"/>
        <w:autoSpaceDN w:val="0"/>
        <w:adjustRightInd w:val="0"/>
        <w:snapToGrid w:val="0"/>
        <w:spacing w:before="182" w:line="327" w:lineRule="auto"/>
        <w:ind w:leftChars="204" w:right="110" w:rightChars="0"/>
        <w:jc w:val="both"/>
        <w:textAlignment w:val="baseline"/>
        <w:rPr>
          <w:rFonts w:hint="default" w:ascii="仿宋" w:hAnsi="仿宋" w:eastAsia="仿宋" w:cs="仿宋"/>
          <w:snapToGrid w:val="0"/>
          <w:color w:val="000000"/>
          <w:spacing w:val="6"/>
          <w:kern w:val="0"/>
          <w:sz w:val="31"/>
          <w:szCs w:val="31"/>
          <w:lang w:val="en-US" w:eastAsia="zh-CN" w:bidi="ar-SA"/>
        </w:rPr>
      </w:pPr>
    </w:p>
    <w:p w14:paraId="535E34FF">
      <w:pPr>
        <w:numPr>
          <w:numId w:val="0"/>
        </w:numPr>
        <w:kinsoku w:val="0"/>
        <w:autoSpaceDE w:val="0"/>
        <w:autoSpaceDN w:val="0"/>
        <w:adjustRightInd w:val="0"/>
        <w:snapToGrid w:val="0"/>
        <w:spacing w:before="182" w:line="327" w:lineRule="auto"/>
        <w:ind w:leftChars="204" w:right="110" w:rightChars="0"/>
        <w:jc w:val="both"/>
        <w:textAlignment w:val="baseline"/>
        <w:rPr>
          <w:rFonts w:hint="default" w:ascii="仿宋" w:hAnsi="仿宋" w:eastAsia="仿宋" w:cs="仿宋"/>
          <w:snapToGrid w:val="0"/>
          <w:color w:val="000000"/>
          <w:spacing w:val="6"/>
          <w:kern w:val="0"/>
          <w:sz w:val="31"/>
          <w:szCs w:val="31"/>
          <w:lang w:val="en-US" w:eastAsia="zh-CN" w:bidi="ar-SA"/>
        </w:rPr>
      </w:pPr>
    </w:p>
    <w:p w14:paraId="72E0E0E9">
      <w:pPr>
        <w:numPr>
          <w:numId w:val="0"/>
        </w:numPr>
        <w:kinsoku w:val="0"/>
        <w:autoSpaceDE w:val="0"/>
        <w:autoSpaceDN w:val="0"/>
        <w:adjustRightInd w:val="0"/>
        <w:snapToGrid w:val="0"/>
        <w:spacing w:before="182" w:line="327" w:lineRule="auto"/>
        <w:ind w:leftChars="204" w:right="110" w:rightChars="0"/>
        <w:jc w:val="both"/>
        <w:textAlignment w:val="baseline"/>
        <w:rPr>
          <w:rFonts w:hint="default" w:ascii="仿宋" w:hAnsi="仿宋" w:eastAsia="仿宋" w:cs="仿宋"/>
          <w:snapToGrid w:val="0"/>
          <w:color w:val="000000"/>
          <w:spacing w:val="6"/>
          <w:kern w:val="0"/>
          <w:sz w:val="31"/>
          <w:szCs w:val="31"/>
          <w:lang w:val="en-US" w:eastAsia="zh-CN" w:bidi="ar-SA"/>
        </w:rPr>
      </w:pPr>
    </w:p>
    <w:p w14:paraId="3EDABE47">
      <w:pPr>
        <w:kinsoku w:val="0"/>
        <w:autoSpaceDE w:val="0"/>
        <w:autoSpaceDN w:val="0"/>
        <w:adjustRightInd w:val="0"/>
        <w:snapToGrid w:val="0"/>
        <w:spacing w:before="182" w:line="327" w:lineRule="auto"/>
        <w:ind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p>
    <w:p w14:paraId="379CEAD1">
      <w:p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获批立项后，项目迅速统筹全体参编单位组建专项标准起草工作组。工作组明确核心主起草人员及各模块专项负责人，结合标准研制核心内容，细化组建临床操作、器械设备、安全风控、疗效评估四大专项工作小组，全面启动标准整体框架搭建、条文梳理及初稿编撰等各项研制工作。</w:t>
      </w:r>
    </w:p>
    <w:p w14:paraId="063EC67A">
      <w:pPr>
        <w:numPr>
          <w:ilvl w:val="0"/>
          <w:numId w:val="0"/>
        </w:numPr>
        <w:kinsoku w:val="0"/>
        <w:autoSpaceDE w:val="0"/>
        <w:autoSpaceDN w:val="0"/>
        <w:adjustRightInd w:val="0"/>
        <w:snapToGrid w:val="0"/>
        <w:spacing w:before="182" w:line="327" w:lineRule="auto"/>
        <w:ind w:leftChars="204"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楷体" w:hAnsi="楷体" w:eastAsia="楷体" w:cs="楷体"/>
          <w:b/>
          <w:bCs/>
          <w:snapToGrid w:val="0"/>
          <w:color w:val="000000"/>
          <w:spacing w:val="6"/>
          <w:kern w:val="0"/>
          <w:sz w:val="31"/>
          <w:szCs w:val="31"/>
          <w:lang w:val="en-US" w:eastAsia="zh-CN" w:bidi="ar-SA"/>
        </w:rPr>
        <w:t>（三）</w:t>
      </w:r>
      <w:r>
        <w:rPr>
          <w:rFonts w:hint="eastAsia" w:ascii="楷体" w:hAnsi="楷体" w:eastAsia="楷体" w:cs="楷体"/>
          <w:b/>
          <w:bCs/>
          <w:snapToGrid w:val="0"/>
          <w:color w:val="000000"/>
          <w:spacing w:val="6"/>
          <w:kern w:val="0"/>
          <w:sz w:val="31"/>
          <w:szCs w:val="31"/>
          <w:lang w:val="en-US" w:eastAsia="en-US" w:bidi="ar-SA"/>
        </w:rPr>
        <w:t>框架搭建与初稿编制阶段（2026年3月～2026年4月）</w:t>
      </w:r>
      <w:r>
        <w:rPr>
          <w:rFonts w:hint="eastAsia" w:ascii="仿宋" w:hAnsi="仿宋" w:eastAsia="仿宋" w:cs="仿宋"/>
          <w:snapToGrid w:val="0"/>
          <w:color w:val="000000"/>
          <w:spacing w:val="6"/>
          <w:kern w:val="0"/>
          <w:sz w:val="31"/>
          <w:szCs w:val="31"/>
          <w:lang w:val="en-US" w:eastAsia="en-US" w:bidi="ar-SA"/>
        </w:rPr>
        <w:t xml:space="preserve"> </w:t>
      </w:r>
    </w:p>
    <w:p w14:paraId="77A08AB2">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2026年3月下旬至4月，标准起草工作组依托前期多中心临床预研数据、国内中医外治技术通用操作准则、现有同类火罐技术行业规范及医疗机构院感防控国家标准，系统开展标准体系搭建工作，初步搭建完成标准基础架构，首期设置六大核心章节，涵盖范围、规范性引用文件、术语和定义、人员与器械基本要求、临床操作流程、安全与疗效评价</w:t>
      </w:r>
      <w:r>
        <w:rPr>
          <w:rFonts w:hint="eastAsia" w:ascii="仿宋" w:hAnsi="仿宋" w:eastAsia="仿宋" w:cs="仿宋"/>
          <w:snapToGrid w:val="0"/>
          <w:color w:val="000000"/>
          <w:spacing w:val="6"/>
          <w:kern w:val="0"/>
          <w:sz w:val="31"/>
          <w:szCs w:val="31"/>
          <w:lang w:val="en-US" w:eastAsia="zh-CN" w:bidi="ar-SA"/>
        </w:rPr>
        <w:t>等</w:t>
      </w:r>
      <w:r>
        <w:rPr>
          <w:rFonts w:hint="eastAsia" w:ascii="仿宋" w:hAnsi="仿宋" w:eastAsia="仿宋" w:cs="仿宋"/>
          <w:snapToGrid w:val="0"/>
          <w:color w:val="000000"/>
          <w:spacing w:val="6"/>
          <w:kern w:val="0"/>
          <w:sz w:val="31"/>
          <w:szCs w:val="31"/>
          <w:lang w:val="en-US" w:eastAsia="en-US" w:bidi="ar-SA"/>
        </w:rPr>
        <w:t>核心内容。</w:t>
      </w:r>
    </w:p>
    <w:p w14:paraId="474710EC">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zh-CN" w:bidi="ar-SA"/>
        </w:rPr>
        <w:drawing>
          <wp:anchor distT="0" distB="0" distL="114300" distR="114300" simplePos="0" relativeHeight="251664384" behindDoc="0" locked="0" layoutInCell="1" allowOverlap="1">
            <wp:simplePos x="0" y="0"/>
            <wp:positionH relativeFrom="column">
              <wp:posOffset>725805</wp:posOffset>
            </wp:positionH>
            <wp:positionV relativeFrom="paragraph">
              <wp:posOffset>3590290</wp:posOffset>
            </wp:positionV>
            <wp:extent cx="4260850" cy="3074670"/>
            <wp:effectExtent l="0" t="0" r="6350" b="11430"/>
            <wp:wrapNone/>
            <wp:docPr id="6" name="图片 6" descr="8aae5aeeeb06b942ba13410b0db71f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aae5aeeeb06b942ba13410b0db71f94"/>
                    <pic:cNvPicPr>
                      <a:picLocks noChangeAspect="1"/>
                    </pic:cNvPicPr>
                  </pic:nvPicPr>
                  <pic:blipFill>
                    <a:blip r:embed="rId14"/>
                    <a:stretch>
                      <a:fillRect/>
                    </a:stretch>
                  </pic:blipFill>
                  <pic:spPr>
                    <a:xfrm>
                      <a:off x="0" y="0"/>
                      <a:ext cx="4260850" cy="3074670"/>
                    </a:xfrm>
                    <a:prstGeom prst="rect">
                      <a:avLst/>
                    </a:prstGeom>
                  </pic:spPr>
                </pic:pic>
              </a:graphicData>
            </a:graphic>
          </wp:anchor>
        </w:drawing>
      </w:r>
      <w:r>
        <w:rPr>
          <w:rFonts w:hint="eastAsia" w:ascii="仿宋" w:hAnsi="仿宋" w:eastAsia="仿宋" w:cs="仿宋"/>
          <w:snapToGrid w:val="0"/>
          <w:color w:val="000000"/>
          <w:spacing w:val="6"/>
          <w:kern w:val="0"/>
          <w:sz w:val="31"/>
          <w:szCs w:val="31"/>
          <w:lang w:val="en-US" w:eastAsia="en-US" w:bidi="ar-SA"/>
        </w:rPr>
        <w:t>2026年4月下旬，项目组联合中国民族卫生协会标准化工作委员会专家，组织召开标准框架专项论证评审会议。结合《团体标准编写规范》</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《中医适宜技术团体标准编制导则》及全国各级医疗机构临床落地应用的实际需求，专家组对初始标准框架进行系统性优化与扩充完善。在原有章节基础上，独立增设适应证、禁忌证、治疗频次与疗程</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操作注意事项</w:t>
      </w:r>
      <w:r>
        <w:rPr>
          <w:rFonts w:hint="eastAsia" w:ascii="仿宋" w:hAnsi="仿宋" w:eastAsia="仿宋" w:cs="仿宋"/>
          <w:snapToGrid w:val="0"/>
          <w:color w:val="000000"/>
          <w:spacing w:val="6"/>
          <w:kern w:val="0"/>
          <w:sz w:val="31"/>
          <w:szCs w:val="31"/>
          <w:lang w:val="en-US" w:eastAsia="zh-CN" w:bidi="ar-SA"/>
        </w:rPr>
        <w:t>等</w:t>
      </w:r>
      <w:r>
        <w:rPr>
          <w:rFonts w:hint="eastAsia" w:ascii="仿宋" w:hAnsi="仿宋" w:eastAsia="仿宋" w:cs="仿宋"/>
          <w:snapToGrid w:val="0"/>
          <w:color w:val="000000"/>
          <w:spacing w:val="6"/>
          <w:kern w:val="0"/>
          <w:sz w:val="31"/>
          <w:szCs w:val="31"/>
          <w:lang w:val="en-US" w:eastAsia="en-US" w:bidi="ar-SA"/>
        </w:rPr>
        <w:t>专项章节，同步增设规范性附录、资料性附录配套内容，最终确立</w:t>
      </w:r>
      <w:r>
        <w:rPr>
          <w:rFonts w:hint="eastAsia" w:ascii="仿宋" w:hAnsi="仿宋" w:eastAsia="仿宋" w:cs="仿宋"/>
          <w:snapToGrid w:val="0"/>
          <w:color w:val="000000"/>
          <w:spacing w:val="6"/>
          <w:kern w:val="0"/>
          <w:sz w:val="31"/>
          <w:szCs w:val="31"/>
          <w:lang w:val="en-US" w:eastAsia="zh-CN" w:bidi="ar-SA"/>
        </w:rPr>
        <w:t>十</w:t>
      </w:r>
      <w:r>
        <w:rPr>
          <w:rFonts w:hint="eastAsia" w:ascii="仿宋" w:hAnsi="仿宋" w:eastAsia="仿宋" w:cs="仿宋"/>
          <w:snapToGrid w:val="0"/>
          <w:color w:val="000000"/>
          <w:spacing w:val="6"/>
          <w:kern w:val="0"/>
          <w:sz w:val="31"/>
          <w:szCs w:val="31"/>
          <w:lang w:val="en-US" w:eastAsia="en-US" w:bidi="ar-SA"/>
        </w:rPr>
        <w:t>大标准化核心章节体系，分别为：范围、规范性引用文件、术语和定义、基本要求、操作流程与要求、适应证、禁忌证、治疗频次与疗程</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注意事项、质量控制。</w:t>
      </w:r>
    </w:p>
    <w:p w14:paraId="65C05800">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1ACD4227">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67677049">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5D69A041">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zh-CN" w:bidi="ar-SA"/>
        </w:rPr>
      </w:pPr>
    </w:p>
    <w:p w14:paraId="754C2D5C">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186A81DC">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p>
    <w:p w14:paraId="72D48436">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zh-CN" w:bidi="ar-SA"/>
        </w:rPr>
      </w:pPr>
      <w:r>
        <w:rPr>
          <w:rFonts w:hint="eastAsia" w:ascii="仿宋" w:hAnsi="仿宋" w:eastAsia="仿宋" w:cs="仿宋"/>
          <w:snapToGrid w:val="0"/>
          <w:color w:val="000000"/>
          <w:spacing w:val="6"/>
          <w:kern w:val="0"/>
          <w:sz w:val="31"/>
          <w:szCs w:val="31"/>
          <w:lang w:val="en-US" w:eastAsia="zh-CN" w:bidi="ar-SA"/>
        </w:rPr>
        <w:drawing>
          <wp:anchor distT="0" distB="0" distL="114300" distR="114300" simplePos="0" relativeHeight="251665408" behindDoc="0" locked="0" layoutInCell="1" allowOverlap="1">
            <wp:simplePos x="0" y="0"/>
            <wp:positionH relativeFrom="column">
              <wp:posOffset>795655</wp:posOffset>
            </wp:positionH>
            <wp:positionV relativeFrom="paragraph">
              <wp:posOffset>223520</wp:posOffset>
            </wp:positionV>
            <wp:extent cx="4130040" cy="2882265"/>
            <wp:effectExtent l="0" t="0" r="3810" b="13335"/>
            <wp:wrapNone/>
            <wp:docPr id="7" name="图片 7" descr="b828e4b2cc2656be5940499d8acf0e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828e4b2cc2656be5940499d8acf0ec1"/>
                    <pic:cNvPicPr>
                      <a:picLocks noChangeAspect="1"/>
                    </pic:cNvPicPr>
                  </pic:nvPicPr>
                  <pic:blipFill>
                    <a:blip r:embed="rId15"/>
                    <a:stretch>
                      <a:fillRect/>
                    </a:stretch>
                  </pic:blipFill>
                  <pic:spPr>
                    <a:xfrm>
                      <a:off x="0" y="0"/>
                      <a:ext cx="4130040" cy="2882265"/>
                    </a:xfrm>
                    <a:prstGeom prst="rect">
                      <a:avLst/>
                    </a:prstGeom>
                  </pic:spPr>
                </pic:pic>
              </a:graphicData>
            </a:graphic>
          </wp:anchor>
        </w:drawing>
      </w:r>
    </w:p>
    <w:p w14:paraId="5925E612">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zh-CN" w:bidi="ar-SA"/>
        </w:rPr>
      </w:pPr>
    </w:p>
    <w:p w14:paraId="54562F65">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zh-CN" w:bidi="ar-SA"/>
        </w:rPr>
      </w:pPr>
    </w:p>
    <w:p w14:paraId="39B5AC87">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zh-CN" w:bidi="ar-SA"/>
        </w:rPr>
      </w:pPr>
    </w:p>
    <w:p w14:paraId="4BA054BD">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zh-CN" w:bidi="ar-SA"/>
        </w:rPr>
      </w:pPr>
    </w:p>
    <w:p w14:paraId="6B2FD8C9">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zh-CN" w:bidi="ar-SA"/>
        </w:rPr>
      </w:pPr>
    </w:p>
    <w:p w14:paraId="0975A62F">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zh-CN" w:bidi="ar-SA"/>
        </w:rPr>
      </w:pPr>
    </w:p>
    <w:p w14:paraId="76CC1765">
      <w:pPr>
        <w:kinsoku w:val="0"/>
        <w:autoSpaceDE w:val="0"/>
        <w:autoSpaceDN w:val="0"/>
        <w:adjustRightInd w:val="0"/>
        <w:snapToGrid w:val="0"/>
        <w:spacing w:before="182" w:line="327" w:lineRule="auto"/>
        <w:ind w:left="2" w:leftChars="0" w:right="110" w:rightChars="0" w:firstLine="656" w:firstLineChars="204"/>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会后，起草工作组严格对标专家评审意见，实行分模块逐条修订、分项完善，重点补充全流程操作量化</w:t>
      </w:r>
      <w:r>
        <w:rPr>
          <w:rFonts w:hint="eastAsia" w:ascii="仿宋" w:hAnsi="仿宋" w:eastAsia="仿宋" w:cs="仿宋"/>
          <w:snapToGrid w:val="0"/>
          <w:color w:val="000000"/>
          <w:spacing w:val="6"/>
          <w:kern w:val="0"/>
          <w:sz w:val="31"/>
          <w:szCs w:val="31"/>
          <w:lang w:val="en-US" w:eastAsia="zh-CN" w:bidi="ar-SA"/>
        </w:rPr>
        <w:t>频次与疗程</w:t>
      </w:r>
      <w:r>
        <w:rPr>
          <w:rFonts w:hint="eastAsia" w:ascii="仿宋" w:hAnsi="仿宋" w:eastAsia="仿宋" w:cs="仿宋"/>
          <w:snapToGrid w:val="0"/>
          <w:color w:val="000000"/>
          <w:spacing w:val="6"/>
          <w:kern w:val="0"/>
          <w:sz w:val="31"/>
          <w:szCs w:val="31"/>
          <w:lang w:val="en-US" w:eastAsia="en-US" w:bidi="ar-SA"/>
        </w:rPr>
        <w:t>、特殊差异化人群专属操作细则、器械规范化消毒与保养维护流程等关键标准化内容，有效补齐现有技术规范的精细化、标准化短板，顺利完成《平衡火罐技术</w:t>
      </w:r>
      <w:r>
        <w:rPr>
          <w:rFonts w:hint="eastAsia" w:ascii="仿宋" w:hAnsi="仿宋" w:eastAsia="仿宋" w:cs="仿宋"/>
          <w:snapToGrid w:val="0"/>
          <w:color w:val="000000"/>
          <w:spacing w:val="6"/>
          <w:kern w:val="0"/>
          <w:sz w:val="31"/>
          <w:szCs w:val="31"/>
          <w:lang w:val="en-US" w:eastAsia="zh-CN" w:bidi="ar-SA"/>
        </w:rPr>
        <w:t>操作</w:t>
      </w:r>
      <w:r>
        <w:rPr>
          <w:rFonts w:hint="eastAsia" w:ascii="仿宋" w:hAnsi="仿宋" w:eastAsia="仿宋" w:cs="仿宋"/>
          <w:snapToGrid w:val="0"/>
          <w:color w:val="000000"/>
          <w:spacing w:val="6"/>
          <w:kern w:val="0"/>
          <w:sz w:val="31"/>
          <w:szCs w:val="31"/>
          <w:lang w:val="en-US" w:eastAsia="en-US" w:bidi="ar-SA"/>
        </w:rPr>
        <w:t xml:space="preserve">规范》标准内部初稿编制工作。 </w:t>
      </w:r>
    </w:p>
    <w:p w14:paraId="6B3C6223">
      <w:pPr>
        <w:numPr>
          <w:ilvl w:val="0"/>
          <w:numId w:val="0"/>
        </w:numPr>
        <w:kinsoku w:val="0"/>
        <w:autoSpaceDE w:val="0"/>
        <w:autoSpaceDN w:val="0"/>
        <w:adjustRightInd w:val="0"/>
        <w:snapToGrid w:val="0"/>
        <w:spacing w:before="182" w:line="327" w:lineRule="auto"/>
        <w:ind w:leftChars="204" w:right="110" w:rightChars="0"/>
        <w:jc w:val="both"/>
        <w:textAlignment w:val="baseline"/>
        <w:rPr>
          <w:rFonts w:hint="eastAsia" w:ascii="楷体" w:hAnsi="楷体" w:eastAsia="楷体" w:cs="楷体"/>
          <w:b/>
          <w:bCs/>
          <w:snapToGrid w:val="0"/>
          <w:color w:val="000000"/>
          <w:spacing w:val="6"/>
          <w:kern w:val="0"/>
          <w:sz w:val="31"/>
          <w:szCs w:val="31"/>
          <w:lang w:val="en-US" w:eastAsia="en-US" w:bidi="ar-SA"/>
        </w:rPr>
      </w:pPr>
      <w:r>
        <w:rPr>
          <w:rFonts w:hint="eastAsia" w:ascii="楷体" w:hAnsi="楷体" w:eastAsia="楷体" w:cs="楷体"/>
          <w:b/>
          <w:bCs/>
          <w:snapToGrid w:val="0"/>
          <w:color w:val="000000"/>
          <w:spacing w:val="6"/>
          <w:kern w:val="0"/>
          <w:sz w:val="31"/>
          <w:szCs w:val="31"/>
          <w:lang w:val="en-US" w:eastAsia="zh-CN" w:bidi="ar-SA"/>
        </w:rPr>
        <w:t>（四）</w:t>
      </w:r>
      <w:r>
        <w:rPr>
          <w:rFonts w:hint="eastAsia" w:ascii="楷体" w:hAnsi="楷体" w:eastAsia="楷体" w:cs="楷体"/>
          <w:b/>
          <w:bCs/>
          <w:snapToGrid w:val="0"/>
          <w:color w:val="000000"/>
          <w:spacing w:val="6"/>
          <w:kern w:val="0"/>
          <w:sz w:val="31"/>
          <w:szCs w:val="31"/>
          <w:lang w:val="en-US" w:eastAsia="en-US" w:bidi="ar-SA"/>
        </w:rPr>
        <w:t xml:space="preserve">集中研讨与征求意见稿定稿阶段（2026年5月） </w:t>
      </w:r>
    </w:p>
    <w:p w14:paraId="5CA7B0DE">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2026年5月初，起草小组组织多轮集中封闭研讨，对照标委会评审意见、各参编单位临床实操反馈，对初稿全文逐条校对、修订，统一专业术语</w:t>
      </w:r>
      <w:r>
        <w:rPr>
          <w:rFonts w:hint="eastAsia" w:ascii="仿宋" w:hAnsi="仿宋" w:eastAsia="仿宋" w:cs="仿宋"/>
          <w:snapToGrid w:val="0"/>
          <w:color w:val="000000"/>
          <w:spacing w:val="6"/>
          <w:kern w:val="0"/>
          <w:sz w:val="31"/>
          <w:szCs w:val="31"/>
          <w:lang w:val="en-US" w:eastAsia="zh-CN" w:bidi="ar-SA"/>
        </w:rPr>
        <w:t>，施罐</w:t>
      </w:r>
      <w:r>
        <w:rPr>
          <w:rFonts w:hint="eastAsia" w:ascii="仿宋" w:hAnsi="仿宋" w:eastAsia="仿宋" w:cs="仿宋"/>
          <w:snapToGrid w:val="0"/>
          <w:color w:val="000000"/>
          <w:spacing w:val="6"/>
          <w:kern w:val="0"/>
          <w:sz w:val="31"/>
          <w:szCs w:val="31"/>
          <w:lang w:val="en-US" w:eastAsia="en-US" w:bidi="ar-SA"/>
        </w:rPr>
        <w:t>步骤</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手法</w:t>
      </w:r>
      <w:r>
        <w:rPr>
          <w:rFonts w:hint="eastAsia" w:ascii="仿宋" w:hAnsi="仿宋" w:eastAsia="仿宋" w:cs="仿宋"/>
          <w:snapToGrid w:val="0"/>
          <w:color w:val="000000"/>
          <w:spacing w:val="6"/>
          <w:kern w:val="0"/>
          <w:sz w:val="31"/>
          <w:szCs w:val="31"/>
          <w:lang w:val="en-US" w:eastAsia="zh-CN" w:bidi="ar-SA"/>
        </w:rPr>
        <w:t>及</w:t>
      </w:r>
      <w:r>
        <w:rPr>
          <w:rFonts w:hint="eastAsia" w:ascii="仿宋" w:hAnsi="仿宋" w:eastAsia="仿宋" w:cs="仿宋"/>
          <w:snapToGrid w:val="0"/>
          <w:color w:val="000000"/>
          <w:spacing w:val="6"/>
          <w:kern w:val="0"/>
          <w:sz w:val="31"/>
          <w:szCs w:val="31"/>
          <w:lang w:val="en-US" w:eastAsia="en-US" w:bidi="ar-SA"/>
        </w:rPr>
        <w:t>路径</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 xml:space="preserve">不良反应处置流程等关键技术条款。 </w:t>
      </w:r>
    </w:p>
    <w:p w14:paraId="53092724">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同步面向全国中医</w:t>
      </w:r>
      <w:r>
        <w:rPr>
          <w:rFonts w:hint="eastAsia" w:ascii="仿宋" w:hAnsi="仿宋" w:eastAsia="仿宋" w:cs="仿宋"/>
          <w:snapToGrid w:val="0"/>
          <w:color w:val="000000"/>
          <w:spacing w:val="6"/>
          <w:kern w:val="0"/>
          <w:sz w:val="31"/>
          <w:szCs w:val="31"/>
          <w:lang w:val="en-US" w:eastAsia="zh-CN" w:bidi="ar-SA"/>
        </w:rPr>
        <w:t>治未病</w:t>
      </w:r>
      <w:r>
        <w:rPr>
          <w:rFonts w:hint="eastAsia" w:ascii="仿宋" w:hAnsi="仿宋" w:eastAsia="仿宋" w:cs="仿宋"/>
          <w:snapToGrid w:val="0"/>
          <w:color w:val="000000"/>
          <w:spacing w:val="6"/>
          <w:kern w:val="0"/>
          <w:sz w:val="31"/>
          <w:szCs w:val="31"/>
          <w:lang w:val="en-US" w:eastAsia="en-US" w:bidi="ar-SA"/>
        </w:rPr>
        <w:t>、</w:t>
      </w:r>
      <w:r>
        <w:rPr>
          <w:rFonts w:hint="eastAsia" w:ascii="仿宋" w:hAnsi="仿宋" w:eastAsia="仿宋" w:cs="仿宋"/>
          <w:snapToGrid w:val="0"/>
          <w:color w:val="000000"/>
          <w:spacing w:val="6"/>
          <w:kern w:val="0"/>
          <w:sz w:val="31"/>
          <w:szCs w:val="31"/>
          <w:lang w:val="en-US" w:eastAsia="zh-CN" w:bidi="ar-SA"/>
        </w:rPr>
        <w:t>骨伤、</w:t>
      </w:r>
      <w:r>
        <w:rPr>
          <w:rFonts w:hint="eastAsia" w:ascii="仿宋" w:hAnsi="仿宋" w:eastAsia="仿宋" w:cs="仿宋"/>
          <w:snapToGrid w:val="0"/>
          <w:color w:val="000000"/>
          <w:spacing w:val="6"/>
          <w:kern w:val="0"/>
          <w:sz w:val="31"/>
          <w:szCs w:val="31"/>
          <w:lang w:val="en-US" w:eastAsia="en-US" w:bidi="ar-SA"/>
        </w:rPr>
        <w:t xml:space="preserve">康复、疼痛、中医护理科室、行业分会发放标准草案公开征集意见，汇总基层器械使用、特殊人群干预、门诊质控管理等各类反馈建议，针对存在分歧的技术条款开展专题讨论会，完成全部意见整改吸纳，形成标准征求意见稿。 </w:t>
      </w:r>
    </w:p>
    <w:p w14:paraId="5E243016">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zh-CN" w:bidi="ar-SA"/>
        </w:rPr>
        <w:drawing>
          <wp:anchor distT="0" distB="0" distL="114300" distR="114300" simplePos="0" relativeHeight="251666432" behindDoc="0" locked="0" layoutInCell="1" allowOverlap="1">
            <wp:simplePos x="0" y="0"/>
            <wp:positionH relativeFrom="column">
              <wp:posOffset>60325</wp:posOffset>
            </wp:positionH>
            <wp:positionV relativeFrom="paragraph">
              <wp:posOffset>20320</wp:posOffset>
            </wp:positionV>
            <wp:extent cx="2620645" cy="3901440"/>
            <wp:effectExtent l="0" t="0" r="8255" b="3810"/>
            <wp:wrapNone/>
            <wp:docPr id="8" name="图片 8" descr="dcd5404561b7b04d7579c07c2d5f15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cd5404561b7b04d7579c07c2d5f15ff"/>
                    <pic:cNvPicPr>
                      <a:picLocks noChangeAspect="1"/>
                    </pic:cNvPicPr>
                  </pic:nvPicPr>
                  <pic:blipFill>
                    <a:blip r:embed="rId16"/>
                    <a:stretch>
                      <a:fillRect/>
                    </a:stretch>
                  </pic:blipFill>
                  <pic:spPr>
                    <a:xfrm>
                      <a:off x="0" y="0"/>
                      <a:ext cx="2620645" cy="3901440"/>
                    </a:xfrm>
                    <a:prstGeom prst="rect">
                      <a:avLst/>
                    </a:prstGeom>
                  </pic:spPr>
                </pic:pic>
              </a:graphicData>
            </a:graphic>
          </wp:anchor>
        </w:drawing>
      </w:r>
      <w:r>
        <w:rPr>
          <w:rFonts w:hint="eastAsia" w:ascii="仿宋" w:hAnsi="仿宋" w:eastAsia="仿宋" w:cs="仿宋"/>
          <w:snapToGrid w:val="0"/>
          <w:color w:val="000000"/>
          <w:spacing w:val="6"/>
          <w:kern w:val="0"/>
          <w:sz w:val="31"/>
          <w:szCs w:val="31"/>
          <w:lang w:val="en-US" w:eastAsia="zh-CN" w:bidi="ar-SA"/>
        </w:rPr>
        <w:drawing>
          <wp:anchor distT="0" distB="0" distL="114300" distR="114300" simplePos="0" relativeHeight="251667456" behindDoc="0" locked="0" layoutInCell="1" allowOverlap="1">
            <wp:simplePos x="0" y="0"/>
            <wp:positionH relativeFrom="column">
              <wp:posOffset>3030855</wp:posOffset>
            </wp:positionH>
            <wp:positionV relativeFrom="paragraph">
              <wp:posOffset>12065</wp:posOffset>
            </wp:positionV>
            <wp:extent cx="2425700" cy="3872865"/>
            <wp:effectExtent l="0" t="0" r="12700" b="13335"/>
            <wp:wrapNone/>
            <wp:docPr id="9" name="图片 9" descr="c1d7ac388b384dc8ab3b03105ad0f4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1d7ac388b384dc8ab3b03105ad0f4c4"/>
                    <pic:cNvPicPr>
                      <a:picLocks noChangeAspect="1"/>
                    </pic:cNvPicPr>
                  </pic:nvPicPr>
                  <pic:blipFill>
                    <a:blip r:embed="rId17"/>
                    <a:stretch>
                      <a:fillRect/>
                    </a:stretch>
                  </pic:blipFill>
                  <pic:spPr>
                    <a:xfrm>
                      <a:off x="0" y="0"/>
                      <a:ext cx="2425700" cy="3872865"/>
                    </a:xfrm>
                    <a:prstGeom prst="rect">
                      <a:avLst/>
                    </a:prstGeom>
                  </pic:spPr>
                </pic:pic>
              </a:graphicData>
            </a:graphic>
          </wp:anchor>
        </w:drawing>
      </w:r>
    </w:p>
    <w:p w14:paraId="548247CF">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445E732B">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61B3BE78">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3114909F">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77D81AAC">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53331EE8">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1EF324A6">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293B6EAF">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1E326581">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r>
        <w:rPr>
          <w:rFonts w:hint="eastAsia" w:ascii="仿宋" w:hAnsi="仿宋" w:eastAsia="仿宋" w:cs="仿宋"/>
          <w:snapToGrid w:val="0"/>
          <w:color w:val="000000"/>
          <w:spacing w:val="6"/>
          <w:kern w:val="0"/>
          <w:sz w:val="31"/>
          <w:szCs w:val="31"/>
          <w:lang w:val="en-US" w:eastAsia="zh-CN" w:bidi="ar-SA"/>
        </w:rPr>
        <w:drawing>
          <wp:anchor distT="0" distB="0" distL="114300" distR="114300" simplePos="0" relativeHeight="251668480" behindDoc="0" locked="0" layoutInCell="1" allowOverlap="1">
            <wp:simplePos x="0" y="0"/>
            <wp:positionH relativeFrom="column">
              <wp:posOffset>-34925</wp:posOffset>
            </wp:positionH>
            <wp:positionV relativeFrom="paragraph">
              <wp:posOffset>43815</wp:posOffset>
            </wp:positionV>
            <wp:extent cx="5706110" cy="2633345"/>
            <wp:effectExtent l="0" t="0" r="8890" b="14605"/>
            <wp:wrapNone/>
            <wp:docPr id="10" name="图片 10" descr="843eca0a-bb1b-4d73-bfcb-1a4d59e387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43eca0a-bb1b-4d73-bfcb-1a4d59e387bb"/>
                    <pic:cNvPicPr>
                      <a:picLocks noChangeAspect="1"/>
                    </pic:cNvPicPr>
                  </pic:nvPicPr>
                  <pic:blipFill>
                    <a:blip r:embed="rId18"/>
                    <a:stretch>
                      <a:fillRect/>
                    </a:stretch>
                  </pic:blipFill>
                  <pic:spPr>
                    <a:xfrm>
                      <a:off x="0" y="0"/>
                      <a:ext cx="5706110" cy="2633345"/>
                    </a:xfrm>
                    <a:prstGeom prst="rect">
                      <a:avLst/>
                    </a:prstGeom>
                  </pic:spPr>
                </pic:pic>
              </a:graphicData>
            </a:graphic>
          </wp:anchor>
        </w:drawing>
      </w:r>
    </w:p>
    <w:p w14:paraId="68803BED">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054FAEF0">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049A8BCD">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03504CEF">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5B915B8F">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3AAA6E3B">
      <w:pPr>
        <w:numPr>
          <w:ilvl w:val="0"/>
          <w:numId w:val="0"/>
        </w:numPr>
        <w:kinsoku w:val="0"/>
        <w:autoSpaceDE w:val="0"/>
        <w:autoSpaceDN w:val="0"/>
        <w:adjustRightInd w:val="0"/>
        <w:snapToGrid w:val="0"/>
        <w:spacing w:before="182" w:line="327" w:lineRule="auto"/>
        <w:ind w:leftChars="204"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楷体" w:hAnsi="楷体" w:eastAsia="楷体" w:cs="楷体"/>
          <w:b/>
          <w:bCs/>
          <w:snapToGrid w:val="0"/>
          <w:color w:val="000000"/>
          <w:spacing w:val="6"/>
          <w:kern w:val="0"/>
          <w:sz w:val="31"/>
          <w:szCs w:val="31"/>
          <w:lang w:val="en-US" w:eastAsia="zh-CN" w:bidi="ar-SA"/>
        </w:rPr>
        <w:t>（五）</w:t>
      </w:r>
      <w:r>
        <w:rPr>
          <w:rFonts w:hint="eastAsia" w:ascii="楷体" w:hAnsi="楷体" w:eastAsia="楷体" w:cs="楷体"/>
          <w:b/>
          <w:bCs/>
          <w:snapToGrid w:val="0"/>
          <w:color w:val="000000"/>
          <w:spacing w:val="6"/>
          <w:kern w:val="0"/>
          <w:sz w:val="31"/>
          <w:szCs w:val="31"/>
          <w:lang w:val="en-US" w:eastAsia="en-US" w:bidi="ar-SA"/>
        </w:rPr>
        <w:t>终稿完善备案阶段（2026年6月1日～2026年6月</w:t>
      </w:r>
      <w:r>
        <w:rPr>
          <w:rFonts w:hint="eastAsia" w:ascii="楷体" w:hAnsi="楷体" w:eastAsia="楷体" w:cs="楷体"/>
          <w:b/>
          <w:bCs/>
          <w:snapToGrid w:val="0"/>
          <w:color w:val="000000"/>
          <w:spacing w:val="6"/>
          <w:kern w:val="0"/>
          <w:sz w:val="31"/>
          <w:szCs w:val="31"/>
          <w:lang w:val="en-US" w:eastAsia="zh-CN" w:bidi="ar-SA"/>
        </w:rPr>
        <w:t>17</w:t>
      </w:r>
      <w:r>
        <w:rPr>
          <w:rFonts w:hint="eastAsia" w:ascii="楷体" w:hAnsi="楷体" w:eastAsia="楷体" w:cs="楷体"/>
          <w:b/>
          <w:bCs/>
          <w:snapToGrid w:val="0"/>
          <w:color w:val="000000"/>
          <w:spacing w:val="6"/>
          <w:kern w:val="0"/>
          <w:sz w:val="31"/>
          <w:szCs w:val="31"/>
          <w:lang w:val="en-US" w:eastAsia="en-US" w:bidi="ar-SA"/>
        </w:rPr>
        <w:t>日）</w:t>
      </w:r>
      <w:r>
        <w:rPr>
          <w:rFonts w:hint="eastAsia" w:ascii="仿宋" w:hAnsi="仿宋" w:eastAsia="仿宋" w:cs="仿宋"/>
          <w:snapToGrid w:val="0"/>
          <w:color w:val="000000"/>
          <w:spacing w:val="6"/>
          <w:kern w:val="0"/>
          <w:sz w:val="31"/>
          <w:szCs w:val="31"/>
          <w:lang w:val="en-US" w:eastAsia="en-US" w:bidi="ar-SA"/>
        </w:rPr>
        <w:t xml:space="preserve"> </w:t>
      </w:r>
    </w:p>
    <w:p w14:paraId="522495D7">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en-US" w:bidi="ar-SA"/>
        </w:rPr>
        <w:t>起草工作组全面汇总梳理各方征求意见及多轮专家评审修改建议，逐条优化完善标准条文。同时统一全文排版格式，规范规范性引用文件，精准核对专利信息与参考文献，细化完善三大附录内容，最终形成《平衡火罐技术</w:t>
      </w:r>
      <w:r>
        <w:rPr>
          <w:rFonts w:hint="eastAsia" w:ascii="仿宋" w:hAnsi="仿宋" w:eastAsia="仿宋" w:cs="仿宋"/>
          <w:snapToGrid w:val="0"/>
          <w:color w:val="000000"/>
          <w:spacing w:val="6"/>
          <w:kern w:val="0"/>
          <w:sz w:val="31"/>
          <w:szCs w:val="31"/>
          <w:lang w:val="en-US" w:eastAsia="zh-CN" w:bidi="ar-SA"/>
        </w:rPr>
        <w:t>操作</w:t>
      </w:r>
      <w:r>
        <w:rPr>
          <w:rFonts w:hint="eastAsia" w:ascii="仿宋" w:hAnsi="仿宋" w:eastAsia="仿宋" w:cs="仿宋"/>
          <w:snapToGrid w:val="0"/>
          <w:color w:val="000000"/>
          <w:spacing w:val="6"/>
          <w:kern w:val="0"/>
          <w:sz w:val="31"/>
          <w:szCs w:val="31"/>
          <w:lang w:val="en-US" w:eastAsia="en-US" w:bidi="ar-SA"/>
        </w:rPr>
        <w:t>规范》标准正式终稿，并</w:t>
      </w:r>
      <w:r>
        <w:rPr>
          <w:rFonts w:hint="eastAsia" w:ascii="仿宋" w:hAnsi="仿宋" w:eastAsia="仿宋" w:cs="仿宋"/>
          <w:snapToGrid w:val="0"/>
          <w:color w:val="000000"/>
          <w:spacing w:val="6"/>
          <w:kern w:val="0"/>
          <w:sz w:val="31"/>
          <w:szCs w:val="31"/>
          <w:lang w:val="en-US" w:eastAsia="zh-CN" w:bidi="ar-SA"/>
        </w:rPr>
        <w:drawing>
          <wp:anchor distT="0" distB="0" distL="114300" distR="114300" simplePos="0" relativeHeight="251669504" behindDoc="0" locked="0" layoutInCell="1" allowOverlap="1">
            <wp:simplePos x="0" y="0"/>
            <wp:positionH relativeFrom="column">
              <wp:posOffset>404495</wp:posOffset>
            </wp:positionH>
            <wp:positionV relativeFrom="paragraph">
              <wp:posOffset>668655</wp:posOffset>
            </wp:positionV>
            <wp:extent cx="4789170" cy="2975610"/>
            <wp:effectExtent l="0" t="0" r="11430" b="15240"/>
            <wp:wrapNone/>
            <wp:docPr id="11" name="图片 11" descr="d0603453fb1cbef928f6d269b5beaa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0603453fb1cbef928f6d269b5beaa88"/>
                    <pic:cNvPicPr>
                      <a:picLocks noChangeAspect="1"/>
                    </pic:cNvPicPr>
                  </pic:nvPicPr>
                  <pic:blipFill>
                    <a:blip r:embed="rId19"/>
                    <a:stretch>
                      <a:fillRect/>
                    </a:stretch>
                  </pic:blipFill>
                  <pic:spPr>
                    <a:xfrm>
                      <a:off x="0" y="0"/>
                      <a:ext cx="4789170" cy="2975610"/>
                    </a:xfrm>
                    <a:prstGeom prst="rect">
                      <a:avLst/>
                    </a:prstGeom>
                  </pic:spPr>
                </pic:pic>
              </a:graphicData>
            </a:graphic>
          </wp:anchor>
        </w:drawing>
      </w:r>
      <w:r>
        <w:rPr>
          <w:rFonts w:hint="eastAsia" w:ascii="仿宋" w:hAnsi="仿宋" w:eastAsia="仿宋" w:cs="仿宋"/>
          <w:snapToGrid w:val="0"/>
          <w:color w:val="000000"/>
          <w:spacing w:val="6"/>
          <w:kern w:val="0"/>
          <w:sz w:val="31"/>
          <w:szCs w:val="31"/>
          <w:lang w:val="en-US" w:eastAsia="en-US" w:bidi="ar-SA"/>
        </w:rPr>
        <w:t>将全套标准材料提交中国民族卫生协会标准化工作委员会审核备案。</w:t>
      </w:r>
    </w:p>
    <w:p w14:paraId="634138E9">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zh-CN" w:bidi="ar-SA"/>
        </w:rPr>
      </w:pPr>
    </w:p>
    <w:p w14:paraId="649CDC81">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2DDEF2AB">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6548977B">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566FC94E">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10DDA15E">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0CBDCD81">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65216EE6">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zh-CN" w:bidi="ar-SA"/>
        </w:rPr>
        <w:drawing>
          <wp:anchor distT="0" distB="0" distL="114300" distR="114300" simplePos="0" relativeHeight="251670528" behindDoc="0" locked="0" layoutInCell="1" allowOverlap="1">
            <wp:simplePos x="0" y="0"/>
            <wp:positionH relativeFrom="column">
              <wp:posOffset>393700</wp:posOffset>
            </wp:positionH>
            <wp:positionV relativeFrom="paragraph">
              <wp:posOffset>115570</wp:posOffset>
            </wp:positionV>
            <wp:extent cx="4780915" cy="2995930"/>
            <wp:effectExtent l="0" t="0" r="635" b="13970"/>
            <wp:wrapNone/>
            <wp:docPr id="12" name="图片 12" descr="5436f87ea1b364ca77883cb798e324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436f87ea1b364ca77883cb798e3243e"/>
                    <pic:cNvPicPr>
                      <a:picLocks noChangeAspect="1"/>
                    </pic:cNvPicPr>
                  </pic:nvPicPr>
                  <pic:blipFill>
                    <a:blip r:embed="rId20"/>
                    <a:stretch>
                      <a:fillRect/>
                    </a:stretch>
                  </pic:blipFill>
                  <pic:spPr>
                    <a:xfrm>
                      <a:off x="0" y="0"/>
                      <a:ext cx="4780915" cy="2995930"/>
                    </a:xfrm>
                    <a:prstGeom prst="rect">
                      <a:avLst/>
                    </a:prstGeom>
                  </pic:spPr>
                </pic:pic>
              </a:graphicData>
            </a:graphic>
          </wp:anchor>
        </w:drawing>
      </w:r>
    </w:p>
    <w:p w14:paraId="5F451313">
      <w:pPr>
        <w:numPr>
          <w:ilvl w:val="0"/>
          <w:numId w:val="0"/>
        </w:numPr>
        <w:kinsoku w:val="0"/>
        <w:autoSpaceDE w:val="0"/>
        <w:autoSpaceDN w:val="0"/>
        <w:adjustRightInd w:val="0"/>
        <w:snapToGrid w:val="0"/>
        <w:spacing w:before="182" w:line="327" w:lineRule="auto"/>
        <w:ind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p>
    <w:p w14:paraId="69D40CEA">
      <w:pPr>
        <w:numPr>
          <w:ilvl w:val="0"/>
          <w:numId w:val="0"/>
        </w:numPr>
        <w:kinsoku w:val="0"/>
        <w:autoSpaceDE w:val="0"/>
        <w:autoSpaceDN w:val="0"/>
        <w:adjustRightInd w:val="0"/>
        <w:snapToGrid w:val="0"/>
        <w:spacing w:before="182" w:line="327" w:lineRule="auto"/>
        <w:ind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p>
    <w:p w14:paraId="00D71CD3">
      <w:pPr>
        <w:numPr>
          <w:ilvl w:val="0"/>
          <w:numId w:val="0"/>
        </w:numPr>
        <w:kinsoku w:val="0"/>
        <w:autoSpaceDE w:val="0"/>
        <w:autoSpaceDN w:val="0"/>
        <w:adjustRightInd w:val="0"/>
        <w:snapToGrid w:val="0"/>
        <w:spacing w:before="182" w:line="327" w:lineRule="auto"/>
        <w:ind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p>
    <w:p w14:paraId="0A47A203">
      <w:pPr>
        <w:numPr>
          <w:ilvl w:val="0"/>
          <w:numId w:val="0"/>
        </w:numPr>
        <w:kinsoku w:val="0"/>
        <w:autoSpaceDE w:val="0"/>
        <w:autoSpaceDN w:val="0"/>
        <w:adjustRightInd w:val="0"/>
        <w:snapToGrid w:val="0"/>
        <w:spacing w:before="182" w:line="327" w:lineRule="auto"/>
        <w:ind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p>
    <w:p w14:paraId="3308FFA6">
      <w:pPr>
        <w:numPr>
          <w:ilvl w:val="0"/>
          <w:numId w:val="0"/>
        </w:numPr>
        <w:kinsoku w:val="0"/>
        <w:autoSpaceDE w:val="0"/>
        <w:autoSpaceDN w:val="0"/>
        <w:adjustRightInd w:val="0"/>
        <w:snapToGrid w:val="0"/>
        <w:spacing w:before="182" w:line="327" w:lineRule="auto"/>
        <w:ind w:right="110" w:rightChars="0"/>
        <w:jc w:val="both"/>
        <w:textAlignment w:val="baseline"/>
        <w:rPr>
          <w:rFonts w:hint="eastAsia" w:ascii="仿宋" w:hAnsi="仿宋" w:eastAsia="仿宋" w:cs="仿宋"/>
          <w:snapToGrid w:val="0"/>
          <w:color w:val="000000"/>
          <w:spacing w:val="6"/>
          <w:kern w:val="0"/>
          <w:sz w:val="31"/>
          <w:szCs w:val="31"/>
          <w:lang w:val="en-US" w:eastAsia="en-US" w:bidi="ar-SA"/>
        </w:rPr>
      </w:pPr>
    </w:p>
    <w:p w14:paraId="6102A4CF">
      <w:pPr>
        <w:numPr>
          <w:ilvl w:val="0"/>
          <w:numId w:val="0"/>
        </w:numPr>
        <w:kinsoku w:val="0"/>
        <w:autoSpaceDE w:val="0"/>
        <w:autoSpaceDN w:val="0"/>
        <w:adjustRightInd w:val="0"/>
        <w:snapToGrid w:val="0"/>
        <w:spacing w:before="182" w:line="327" w:lineRule="auto"/>
        <w:ind w:right="110" w:rightChars="0" w:firstLine="644" w:firstLineChars="200"/>
        <w:jc w:val="both"/>
        <w:textAlignment w:val="baseline"/>
        <w:rPr>
          <w:rFonts w:hint="eastAsia" w:ascii="仿宋" w:hAnsi="仿宋" w:eastAsia="仿宋" w:cs="仿宋"/>
          <w:snapToGrid w:val="0"/>
          <w:color w:val="000000"/>
          <w:spacing w:val="6"/>
          <w:kern w:val="0"/>
          <w:sz w:val="31"/>
          <w:szCs w:val="31"/>
          <w:lang w:val="en-US" w:eastAsia="en-US" w:bidi="ar-SA"/>
        </w:rPr>
      </w:pPr>
    </w:p>
    <w:p w14:paraId="0750F510">
      <w:pPr>
        <w:spacing w:before="185" w:line="226" w:lineRule="auto"/>
        <w:rPr>
          <w:rFonts w:ascii="黑体" w:hAnsi="黑体" w:eastAsia="黑体" w:cs="黑体"/>
          <w:sz w:val="31"/>
          <w:szCs w:val="31"/>
        </w:rPr>
      </w:pPr>
      <w:r>
        <w:rPr>
          <w:rFonts w:ascii="黑体" w:hAnsi="黑体" w:eastAsia="黑体" w:cs="黑体"/>
          <w:spacing w:val="8"/>
          <w:sz w:val="31"/>
          <w:szCs w:val="31"/>
        </w:rPr>
        <w:t>三、标准编制原则及主要技术内容确定</w:t>
      </w:r>
    </w:p>
    <w:p w14:paraId="370FB128">
      <w:pPr>
        <w:spacing w:before="179" w:line="231" w:lineRule="auto"/>
        <w:ind w:left="657"/>
        <w:outlineLvl w:val="0"/>
        <w:rPr>
          <w:rFonts w:ascii="楷体" w:hAnsi="楷体" w:eastAsia="楷体" w:cs="楷体"/>
          <w:b/>
          <w:bCs/>
          <w:sz w:val="31"/>
          <w:szCs w:val="31"/>
        </w:rPr>
      </w:pPr>
      <w:r>
        <w:rPr>
          <w:rFonts w:ascii="楷体" w:hAnsi="楷体" w:eastAsia="楷体" w:cs="楷体"/>
          <w:b/>
          <w:bCs/>
          <w:spacing w:val="5"/>
          <w:sz w:val="31"/>
          <w:szCs w:val="31"/>
        </w:rPr>
        <w:t>（一）标准编制原则</w:t>
      </w:r>
    </w:p>
    <w:p w14:paraId="52CBC569">
      <w:pPr>
        <w:pStyle w:val="3"/>
        <w:spacing w:before="176" w:line="312" w:lineRule="auto"/>
        <w:ind w:left="1" w:right="78" w:firstLine="633"/>
        <w:rPr>
          <w:rFonts w:ascii="仿宋" w:hAnsi="仿宋" w:eastAsia="仿宋" w:cs="仿宋"/>
          <w:snapToGrid w:val="0"/>
          <w:color w:val="000000"/>
          <w:spacing w:val="8"/>
          <w:kern w:val="0"/>
          <w:sz w:val="31"/>
          <w:szCs w:val="31"/>
          <w:lang w:val="en-US" w:eastAsia="en-US" w:bidi="ar-SA"/>
        </w:rPr>
      </w:pPr>
      <w:r>
        <w:rPr>
          <w:rFonts w:ascii="仿宋" w:hAnsi="仿宋" w:eastAsia="仿宋" w:cs="仿宋"/>
          <w:snapToGrid w:val="0"/>
          <w:color w:val="000000"/>
          <w:spacing w:val="8"/>
          <w:kern w:val="0"/>
          <w:sz w:val="31"/>
          <w:szCs w:val="31"/>
          <w:lang w:val="en-US" w:eastAsia="en-US" w:bidi="ar-SA"/>
        </w:rPr>
        <w:t>1、本标准所有条款均以保障</w:t>
      </w:r>
      <w:r>
        <w:rPr>
          <w:rFonts w:hint="eastAsia" w:cs="仿宋"/>
          <w:snapToGrid w:val="0"/>
          <w:color w:val="000000"/>
          <w:spacing w:val="8"/>
          <w:kern w:val="0"/>
          <w:sz w:val="31"/>
          <w:szCs w:val="31"/>
          <w:lang w:val="en-US" w:eastAsia="zh-CN" w:bidi="ar-SA"/>
        </w:rPr>
        <w:t>平衡火罐技术</w:t>
      </w:r>
      <w:r>
        <w:rPr>
          <w:rFonts w:ascii="仿宋" w:hAnsi="仿宋" w:eastAsia="仿宋" w:cs="仿宋"/>
          <w:snapToGrid w:val="0"/>
          <w:color w:val="000000"/>
          <w:spacing w:val="8"/>
          <w:kern w:val="0"/>
          <w:sz w:val="31"/>
          <w:szCs w:val="31"/>
          <w:lang w:val="en-US" w:eastAsia="en-US" w:bidi="ar-SA"/>
        </w:rPr>
        <w:t>临床操作安全、统一中医外治诊疗服务质量为核心前提制定。</w:t>
      </w:r>
    </w:p>
    <w:p w14:paraId="3A461DCF">
      <w:pPr>
        <w:pStyle w:val="3"/>
        <w:spacing w:before="176" w:line="312" w:lineRule="auto"/>
        <w:ind w:left="1" w:right="78" w:firstLine="633"/>
        <w:rPr>
          <w:rFonts w:ascii="仿宋" w:hAnsi="仿宋" w:eastAsia="仿宋" w:cs="仿宋"/>
          <w:snapToGrid w:val="0"/>
          <w:color w:val="000000"/>
          <w:spacing w:val="10"/>
          <w:kern w:val="0"/>
          <w:sz w:val="31"/>
          <w:szCs w:val="31"/>
          <w:lang w:val="en-US" w:eastAsia="en-US" w:bidi="ar-SA"/>
        </w:rPr>
      </w:pPr>
      <w:r>
        <w:rPr>
          <w:rFonts w:ascii="仿宋" w:hAnsi="仿宋" w:eastAsia="仿宋" w:cs="仿宋"/>
          <w:snapToGrid w:val="0"/>
          <w:color w:val="000000"/>
          <w:spacing w:val="8"/>
          <w:kern w:val="0"/>
          <w:sz w:val="31"/>
          <w:szCs w:val="31"/>
          <w:lang w:val="en-US" w:eastAsia="en-US" w:bidi="ar-SA"/>
        </w:rPr>
        <w:t>2、本标准编写严格遵循 GB/T 1.1-2020《标准化工作导则第 1 部分：标准化文件的结构和起草规则》要求，从标准格式框架、专业术语表述到临床操作技术参数，均经过多中心临床验证、行业专家反复推敲论证，形成规范统一的团体标准。标准设定的操作流程、器械管理、不良反应处置、疗效评价体系贴合各级医疗机构临床实操场景，保障标准落地实施可行性与技术科学性</w:t>
      </w:r>
      <w:r>
        <w:rPr>
          <w:rFonts w:hint="eastAsia" w:cs="仿宋"/>
          <w:snapToGrid w:val="0"/>
          <w:color w:val="000000"/>
          <w:spacing w:val="8"/>
          <w:kern w:val="0"/>
          <w:sz w:val="31"/>
          <w:szCs w:val="31"/>
          <w:lang w:val="en-US" w:eastAsia="zh-CN" w:bidi="ar-SA"/>
        </w:rPr>
        <w:t>。</w:t>
      </w:r>
    </w:p>
    <w:p w14:paraId="2A3A1CA5">
      <w:pPr>
        <w:spacing w:before="182" w:line="231" w:lineRule="auto"/>
        <w:ind w:left="657"/>
        <w:outlineLvl w:val="0"/>
        <w:rPr>
          <w:rFonts w:ascii="楷体" w:hAnsi="楷体" w:eastAsia="楷体" w:cs="楷体"/>
          <w:b/>
          <w:bCs/>
          <w:sz w:val="31"/>
          <w:szCs w:val="31"/>
        </w:rPr>
      </w:pPr>
      <w:r>
        <w:rPr>
          <w:rFonts w:ascii="楷体" w:hAnsi="楷体" w:eastAsia="楷体" w:cs="楷体"/>
          <w:b/>
          <w:bCs/>
          <w:spacing w:val="6"/>
          <w:sz w:val="31"/>
          <w:szCs w:val="31"/>
        </w:rPr>
        <w:t>（二）团体标准主要内容确定</w:t>
      </w:r>
    </w:p>
    <w:p w14:paraId="384038E8">
      <w:pPr>
        <w:pStyle w:val="3"/>
        <w:spacing w:before="171" w:line="228" w:lineRule="auto"/>
        <w:ind w:left="641"/>
      </w:pPr>
      <w:r>
        <w:rPr>
          <w:spacing w:val="6"/>
        </w:rPr>
        <w:t>本标准主要内容如下：</w:t>
      </w:r>
    </w:p>
    <w:p w14:paraId="1A5C1FCB">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1 范围</w:t>
      </w:r>
    </w:p>
    <w:p w14:paraId="1D57470A">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2 规范性引用文件</w:t>
      </w:r>
    </w:p>
    <w:p w14:paraId="266E2CF1">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3 术语和定义</w:t>
      </w:r>
    </w:p>
    <w:p w14:paraId="726806B7">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4 基本要求</w:t>
      </w:r>
    </w:p>
    <w:p w14:paraId="0E97BE6F">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 xml:space="preserve">5 </w:t>
      </w:r>
      <w:r>
        <w:rPr>
          <w:rFonts w:hint="eastAsia" w:ascii="仿宋" w:hAnsi="仿宋" w:eastAsia="仿宋" w:cs="仿宋"/>
          <w:snapToGrid w:val="0"/>
          <w:color w:val="000000"/>
          <w:spacing w:val="6"/>
          <w:kern w:val="0"/>
          <w:sz w:val="31"/>
          <w:szCs w:val="31"/>
          <w:lang w:val="en-US" w:eastAsia="en-US" w:bidi="ar-SA"/>
        </w:rPr>
        <w:t>操作流程与要求</w:t>
      </w:r>
    </w:p>
    <w:p w14:paraId="62D87BBA">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6 适应证</w:t>
      </w:r>
    </w:p>
    <w:p w14:paraId="345A1F29">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zh-CN" w:bidi="ar-SA"/>
        </w:rPr>
        <w:t xml:space="preserve">7 </w:t>
      </w:r>
      <w:r>
        <w:rPr>
          <w:rFonts w:ascii="仿宋" w:hAnsi="仿宋" w:eastAsia="仿宋" w:cs="仿宋"/>
          <w:snapToGrid w:val="0"/>
          <w:color w:val="000000"/>
          <w:spacing w:val="6"/>
          <w:kern w:val="0"/>
          <w:sz w:val="31"/>
          <w:szCs w:val="31"/>
          <w:lang w:val="en-US" w:eastAsia="en-US" w:bidi="ar-SA"/>
        </w:rPr>
        <w:t>禁忌证</w:t>
      </w:r>
    </w:p>
    <w:p w14:paraId="01E3AA6E">
      <w:pPr>
        <w:kinsoku w:val="0"/>
        <w:autoSpaceDE w:val="0"/>
        <w:autoSpaceDN w:val="0"/>
        <w:adjustRightInd w:val="0"/>
        <w:snapToGrid w:val="0"/>
        <w:spacing w:before="171" w:line="228" w:lineRule="auto"/>
        <w:jc w:val="left"/>
        <w:textAlignment w:val="baseline"/>
        <w:rPr>
          <w:rFonts w:hint="eastAsia" w:ascii="仿宋" w:hAnsi="仿宋" w:eastAsia="仿宋" w:cs="仿宋"/>
          <w:snapToGrid w:val="0"/>
          <w:color w:val="000000"/>
          <w:spacing w:val="6"/>
          <w:kern w:val="0"/>
          <w:sz w:val="31"/>
          <w:szCs w:val="31"/>
          <w:lang w:val="en-US" w:eastAsia="zh-CN" w:bidi="ar-SA"/>
        </w:rPr>
      </w:pPr>
      <w:r>
        <w:rPr>
          <w:rFonts w:hint="eastAsia" w:ascii="仿宋" w:hAnsi="仿宋" w:eastAsia="仿宋" w:cs="仿宋"/>
          <w:snapToGrid w:val="0"/>
          <w:color w:val="000000"/>
          <w:spacing w:val="6"/>
          <w:kern w:val="0"/>
          <w:sz w:val="31"/>
          <w:szCs w:val="31"/>
          <w:lang w:val="en-US" w:eastAsia="zh-CN" w:bidi="ar-SA"/>
        </w:rPr>
        <w:t>8 治疗频次与疗程</w:t>
      </w:r>
    </w:p>
    <w:p w14:paraId="6508A617">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spacing w:val="6"/>
          <w:kern w:val="0"/>
          <w:sz w:val="31"/>
          <w:szCs w:val="31"/>
          <w:lang w:val="en-US" w:eastAsia="en-US" w:bidi="ar-SA"/>
        </w:rPr>
      </w:pPr>
      <w:r>
        <w:rPr>
          <w:rFonts w:hint="eastAsia" w:ascii="仿宋" w:hAnsi="仿宋" w:eastAsia="仿宋" w:cs="仿宋"/>
          <w:snapToGrid w:val="0"/>
          <w:color w:val="000000"/>
          <w:spacing w:val="6"/>
          <w:kern w:val="0"/>
          <w:sz w:val="31"/>
          <w:szCs w:val="31"/>
          <w:lang w:val="en-US" w:eastAsia="zh-CN" w:bidi="ar-SA"/>
        </w:rPr>
        <w:t xml:space="preserve">9 </w:t>
      </w:r>
      <w:r>
        <w:rPr>
          <w:rFonts w:ascii="仿宋" w:hAnsi="仿宋" w:eastAsia="仿宋" w:cs="仿宋"/>
          <w:snapToGrid w:val="0"/>
          <w:color w:val="000000"/>
          <w:spacing w:val="6"/>
          <w:kern w:val="0"/>
          <w:sz w:val="31"/>
          <w:szCs w:val="31"/>
          <w:lang w:val="en-US" w:eastAsia="en-US" w:bidi="ar-SA"/>
        </w:rPr>
        <w:t>注意事项</w:t>
      </w:r>
    </w:p>
    <w:p w14:paraId="38437D61">
      <w:pPr>
        <w:kinsoku w:val="0"/>
        <w:autoSpaceDE w:val="0"/>
        <w:autoSpaceDN w:val="0"/>
        <w:adjustRightInd w:val="0"/>
        <w:snapToGrid w:val="0"/>
        <w:spacing w:before="171" w:line="228" w:lineRule="auto"/>
        <w:jc w:val="left"/>
        <w:textAlignment w:val="baseline"/>
        <w:rPr>
          <w:rFonts w:ascii="仿宋" w:hAnsi="仿宋" w:eastAsia="仿宋" w:cs="仿宋"/>
          <w:snapToGrid w:val="0"/>
          <w:color w:val="000000"/>
          <w:kern w:val="0"/>
          <w:sz w:val="31"/>
          <w:szCs w:val="31"/>
          <w:lang w:val="en-US" w:eastAsia="en-US" w:bidi="ar-SA"/>
        </w:rPr>
      </w:pPr>
      <w:r>
        <w:rPr>
          <w:rFonts w:hint="eastAsia" w:ascii="仿宋" w:hAnsi="仿宋" w:eastAsia="仿宋" w:cs="仿宋"/>
          <w:snapToGrid w:val="0"/>
          <w:color w:val="000000"/>
          <w:spacing w:val="6"/>
          <w:kern w:val="0"/>
          <w:sz w:val="31"/>
          <w:szCs w:val="31"/>
          <w:lang w:val="en-US" w:eastAsia="zh-CN" w:bidi="ar-SA"/>
        </w:rPr>
        <w:t>10</w:t>
      </w:r>
      <w:r>
        <w:rPr>
          <w:rFonts w:ascii="仿宋" w:hAnsi="仿宋" w:eastAsia="仿宋" w:cs="仿宋"/>
          <w:snapToGrid w:val="0"/>
          <w:color w:val="000000"/>
          <w:spacing w:val="6"/>
          <w:kern w:val="0"/>
          <w:sz w:val="31"/>
          <w:szCs w:val="31"/>
          <w:lang w:val="en-US" w:eastAsia="en-US" w:bidi="ar-SA"/>
        </w:rPr>
        <w:t xml:space="preserve"> 质量控制</w:t>
      </w:r>
    </w:p>
    <w:p w14:paraId="4E29A228">
      <w:pPr>
        <w:spacing w:line="396" w:lineRule="auto"/>
        <w:rPr>
          <w:rFonts w:ascii="Arial"/>
          <w:sz w:val="21"/>
        </w:rPr>
      </w:pPr>
    </w:p>
    <w:p w14:paraId="2A4193A5">
      <w:pPr>
        <w:pStyle w:val="3"/>
        <w:numPr>
          <w:ilvl w:val="0"/>
          <w:numId w:val="0"/>
        </w:numPr>
        <w:spacing w:before="100" w:line="283" w:lineRule="auto"/>
        <w:ind w:right="4350" w:rightChars="0"/>
        <w:rPr>
          <w:rFonts w:ascii="黑体" w:hAnsi="黑体" w:eastAsia="黑体" w:cs="黑体"/>
          <w:spacing w:val="5"/>
        </w:rPr>
      </w:pPr>
      <w:r>
        <w:rPr>
          <w:rFonts w:hint="eastAsia" w:ascii="黑体" w:hAnsi="黑体" w:eastAsia="黑体" w:cs="黑体"/>
          <w:spacing w:val="7"/>
          <w:lang w:val="en-US" w:eastAsia="zh-CN"/>
        </w:rPr>
        <w:t>四、</w:t>
      </w:r>
      <w:r>
        <w:rPr>
          <w:rFonts w:ascii="黑体" w:hAnsi="黑体" w:eastAsia="黑体" w:cs="黑体"/>
          <w:spacing w:val="7"/>
        </w:rPr>
        <w:t>采用国际、国内标准情况</w:t>
      </w:r>
      <w:r>
        <w:rPr>
          <w:rFonts w:ascii="黑体" w:hAnsi="黑体" w:eastAsia="黑体" w:cs="黑体"/>
          <w:spacing w:val="5"/>
        </w:rPr>
        <w:t xml:space="preserve"> </w:t>
      </w:r>
    </w:p>
    <w:p w14:paraId="23E44D77">
      <w:pPr>
        <w:kinsoku w:val="0"/>
        <w:autoSpaceDE w:val="0"/>
        <w:autoSpaceDN w:val="0"/>
        <w:adjustRightInd w:val="0"/>
        <w:snapToGrid w:val="0"/>
        <w:spacing w:before="176" w:line="312" w:lineRule="auto"/>
        <w:ind w:right="78" w:rightChars="0"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1、国内标准采用情况 本标准全文编写严格遵照GB/T 1.1-2020《标准化工作导则第1部分：标准化文件的结构和起草规则》执行文本框架、术语、格式编制；器械清洗、手卫生、医疗废物处置相关条款直接引用现行卫生行业强制性标准，包括</w:t>
      </w:r>
      <w:r>
        <w:rPr>
          <w:rFonts w:hint="eastAsia" w:ascii="仿宋" w:hAnsi="仿宋" w:eastAsia="仿宋" w:cs="仿宋"/>
          <w:snapToGrid w:val="0"/>
          <w:color w:val="000000"/>
          <w:spacing w:val="6"/>
          <w:kern w:val="0"/>
          <w:sz w:val="31"/>
          <w:szCs w:val="31"/>
          <w:lang w:val="en-US" w:eastAsia="en-US" w:bidi="ar-SA"/>
        </w:rPr>
        <w:t>GB 15982--2012</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医院消毒卫生标准</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WS/T 367--2012</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医疗机构消毒技术规范</w:t>
      </w:r>
      <w:r>
        <w:rPr>
          <w:rFonts w:hint="eastAsia" w:ascii="仿宋" w:hAnsi="仿宋" w:eastAsia="仿宋" w:cs="仿宋"/>
          <w:snapToGrid w:val="0"/>
          <w:color w:val="000000"/>
          <w:spacing w:val="6"/>
          <w:kern w:val="0"/>
          <w:sz w:val="31"/>
          <w:szCs w:val="31"/>
          <w:lang w:val="en-US" w:eastAsia="zh-CN" w:bidi="ar-SA"/>
        </w:rPr>
        <w:t>》</w:t>
      </w:r>
      <w:r>
        <w:rPr>
          <w:rFonts w:ascii="仿宋" w:hAnsi="仿宋" w:eastAsia="仿宋" w:cs="仿宋"/>
          <w:snapToGrid w:val="0"/>
          <w:color w:val="000000"/>
          <w:spacing w:val="6"/>
          <w:kern w:val="0"/>
          <w:sz w:val="31"/>
          <w:szCs w:val="31"/>
          <w:lang w:val="en-US" w:eastAsia="en-US" w:bidi="ar-SA"/>
        </w:rPr>
        <w:t>，院感相关技术要求完全对标国家统一规范。同时，标准技术内容参考《“十四五”中医药发展规划》</w:t>
      </w:r>
      <w:r>
        <w:rPr>
          <w:rFonts w:hint="eastAsia" w:ascii="仿宋" w:hAnsi="仿宋" w:eastAsia="仿宋" w:cs="仿宋"/>
          <w:snapToGrid w:val="0"/>
          <w:color w:val="000000"/>
          <w:spacing w:val="6"/>
          <w:kern w:val="0"/>
          <w:sz w:val="31"/>
          <w:szCs w:val="31"/>
          <w:lang w:val="en-US" w:eastAsia="zh-CN" w:bidi="ar-SA"/>
        </w:rPr>
        <w:t>、</w:t>
      </w:r>
      <w:bookmarkStart w:id="0" w:name="_GoBack"/>
      <w:bookmarkEnd w:id="0"/>
      <w:r>
        <w:rPr>
          <w:rFonts w:hint="eastAsia" w:ascii="仿宋" w:hAnsi="仿宋" w:eastAsia="仿宋" w:cs="仿宋"/>
          <w:spacing w:val="4"/>
          <w:sz w:val="31"/>
          <w:szCs w:val="31"/>
        </w:rPr>
        <w:t>国家中医药管理局《中医药发展战略规划纲要（2016—2030年）》</w:t>
      </w:r>
      <w:r>
        <w:rPr>
          <w:rFonts w:hint="eastAsia" w:ascii="仿宋" w:hAnsi="仿宋" w:eastAsia="仿宋" w:cs="仿宋"/>
          <w:snapToGrid w:val="0"/>
          <w:color w:val="000000"/>
          <w:spacing w:val="6"/>
          <w:kern w:val="0"/>
          <w:sz w:val="31"/>
          <w:szCs w:val="31"/>
          <w:lang w:val="en-US" w:eastAsia="zh-CN" w:bidi="ar-SA"/>
        </w:rPr>
        <w:t>等</w:t>
      </w:r>
      <w:r>
        <w:rPr>
          <w:rFonts w:ascii="仿宋" w:hAnsi="仿宋" w:eastAsia="仿宋" w:cs="仿宋"/>
          <w:snapToGrid w:val="0"/>
          <w:color w:val="000000"/>
          <w:spacing w:val="6"/>
          <w:kern w:val="0"/>
          <w:sz w:val="31"/>
          <w:szCs w:val="31"/>
          <w:lang w:val="en-US" w:eastAsia="en-US" w:bidi="ar-SA"/>
        </w:rPr>
        <w:t>相关政策要求，依托</w:t>
      </w:r>
      <w:r>
        <w:rPr>
          <w:rFonts w:hint="eastAsia" w:ascii="仿宋" w:hAnsi="仿宋" w:eastAsia="仿宋" w:cs="仿宋"/>
          <w:snapToGrid w:val="0"/>
          <w:color w:val="000000"/>
          <w:spacing w:val="6"/>
          <w:kern w:val="0"/>
          <w:sz w:val="31"/>
          <w:szCs w:val="31"/>
          <w:lang w:val="en-US" w:eastAsia="en-US" w:bidi="ar-SA"/>
        </w:rPr>
        <w:t>国内中医外治技术通用操作准则</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现有同类火罐技术行业规范</w:t>
      </w:r>
      <w:r>
        <w:rPr>
          <w:rFonts w:ascii="仿宋" w:hAnsi="仿宋" w:eastAsia="仿宋" w:cs="仿宋"/>
          <w:snapToGrid w:val="0"/>
          <w:color w:val="000000"/>
          <w:spacing w:val="6"/>
          <w:kern w:val="0"/>
          <w:sz w:val="31"/>
          <w:szCs w:val="31"/>
          <w:lang w:val="en-US" w:eastAsia="en-US" w:bidi="ar-SA"/>
        </w:rPr>
        <w:t>、国内公开发表的</w:t>
      </w:r>
      <w:r>
        <w:rPr>
          <w:rFonts w:hint="eastAsia" w:ascii="仿宋" w:hAnsi="仿宋" w:eastAsia="仿宋" w:cs="仿宋"/>
          <w:snapToGrid w:val="0"/>
          <w:color w:val="000000"/>
          <w:spacing w:val="6"/>
          <w:kern w:val="0"/>
          <w:sz w:val="31"/>
          <w:szCs w:val="31"/>
          <w:lang w:val="en-US" w:eastAsia="zh-CN" w:bidi="ar-SA"/>
        </w:rPr>
        <w:t>平衡火罐</w:t>
      </w:r>
      <w:r>
        <w:rPr>
          <w:rFonts w:ascii="仿宋" w:hAnsi="仿宋" w:eastAsia="仿宋" w:cs="仿宋"/>
          <w:snapToGrid w:val="0"/>
          <w:color w:val="000000"/>
          <w:spacing w:val="6"/>
          <w:kern w:val="0"/>
          <w:sz w:val="31"/>
          <w:szCs w:val="31"/>
          <w:lang w:val="en-US" w:eastAsia="en-US" w:bidi="ar-SA"/>
        </w:rPr>
        <w:t>临床研究文献、医疗器械备案管</w:t>
      </w:r>
      <w:r>
        <w:rPr>
          <w:rFonts w:hint="eastAsia" w:ascii="仿宋" w:hAnsi="仿宋" w:eastAsia="仿宋" w:cs="仿宋"/>
          <w:snapToGrid w:val="0"/>
          <w:color w:val="000000"/>
          <w:spacing w:val="6"/>
          <w:kern w:val="0"/>
          <w:sz w:val="31"/>
          <w:szCs w:val="31"/>
          <w:lang w:val="en-US" w:eastAsia="zh-CN" w:bidi="ar-SA"/>
        </w:rPr>
        <w:t>理等</w:t>
      </w:r>
      <w:r>
        <w:rPr>
          <w:rFonts w:ascii="仿宋" w:hAnsi="仿宋" w:eastAsia="仿宋" w:cs="仿宋"/>
          <w:snapToGrid w:val="0"/>
          <w:color w:val="000000"/>
          <w:spacing w:val="6"/>
          <w:kern w:val="0"/>
          <w:sz w:val="31"/>
          <w:szCs w:val="31"/>
          <w:lang w:val="en-US" w:eastAsia="en-US" w:bidi="ar-SA"/>
        </w:rPr>
        <w:t xml:space="preserve">相关规定，全部国内标准、政策文件、临床通用评估工具均完整落地到标准条款中。 </w:t>
      </w:r>
    </w:p>
    <w:p w14:paraId="17AE0433">
      <w:pPr>
        <w:kinsoku w:val="0"/>
        <w:autoSpaceDE w:val="0"/>
        <w:autoSpaceDN w:val="0"/>
        <w:adjustRightInd w:val="0"/>
        <w:snapToGrid w:val="0"/>
        <w:spacing w:before="176" w:line="312" w:lineRule="auto"/>
        <w:ind w:right="78" w:rightChars="0"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2、国际标准采用情况 本标准无等同采用、修改采用的国际标准。</w:t>
      </w:r>
    </w:p>
    <w:p w14:paraId="4F2763C7">
      <w:pPr>
        <w:spacing w:line="396" w:lineRule="auto"/>
        <w:rPr>
          <w:rFonts w:ascii="Arial"/>
          <w:sz w:val="15"/>
          <w:szCs w:val="15"/>
        </w:rPr>
      </w:pPr>
    </w:p>
    <w:p w14:paraId="3866E850">
      <w:pPr>
        <w:spacing w:before="101" w:line="227" w:lineRule="auto"/>
        <w:rPr>
          <w:rFonts w:ascii="黑体" w:hAnsi="黑体" w:eastAsia="黑体" w:cs="黑体"/>
          <w:sz w:val="31"/>
          <w:szCs w:val="31"/>
        </w:rPr>
      </w:pPr>
      <w:r>
        <w:rPr>
          <w:rFonts w:ascii="黑体" w:hAnsi="黑体" w:eastAsia="黑体" w:cs="黑体"/>
          <w:spacing w:val="8"/>
          <w:sz w:val="31"/>
          <w:szCs w:val="31"/>
        </w:rPr>
        <w:t>五、与现行法律法规和强制性标准的关系</w:t>
      </w:r>
    </w:p>
    <w:p w14:paraId="3129BE5A">
      <w:pPr>
        <w:pStyle w:val="3"/>
        <w:keepNext w:val="0"/>
        <w:keepLines w:val="0"/>
        <w:pageBreakBefore w:val="0"/>
        <w:widowControl/>
        <w:kinsoku w:val="0"/>
        <w:wordWrap/>
        <w:overflowPunct/>
        <w:topLinePunct w:val="0"/>
        <w:autoSpaceDE w:val="0"/>
        <w:autoSpaceDN w:val="0"/>
        <w:bidi w:val="0"/>
        <w:adjustRightInd w:val="0"/>
        <w:snapToGrid w:val="0"/>
        <w:spacing w:before="214" w:line="312" w:lineRule="auto"/>
        <w:ind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 xml:space="preserve">本标准与现行中医药、医疗机构管理、院感防控相关法律法规、强制性卫生行业标准协调一致，无冲突、抵触条款。 </w:t>
      </w:r>
    </w:p>
    <w:p w14:paraId="1F4A7BE7">
      <w:pPr>
        <w:pStyle w:val="3"/>
        <w:keepNext w:val="0"/>
        <w:keepLines w:val="0"/>
        <w:pageBreakBefore w:val="0"/>
        <w:widowControl/>
        <w:kinsoku w:val="0"/>
        <w:wordWrap/>
        <w:overflowPunct/>
        <w:topLinePunct w:val="0"/>
        <w:autoSpaceDE w:val="0"/>
        <w:autoSpaceDN w:val="0"/>
        <w:bidi w:val="0"/>
        <w:adjustRightInd w:val="0"/>
        <w:snapToGrid w:val="0"/>
        <w:spacing w:before="214" w:line="312" w:lineRule="auto"/>
        <w:ind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规范的起草、编写格式严格符合</w:t>
      </w:r>
      <w:commentRangeStart w:id="0"/>
      <w:r>
        <w:rPr>
          <w:rFonts w:ascii="仿宋" w:hAnsi="仿宋" w:eastAsia="仿宋" w:cs="仿宋"/>
          <w:snapToGrid w:val="0"/>
          <w:color w:val="000000"/>
          <w:spacing w:val="6"/>
          <w:kern w:val="0"/>
          <w:sz w:val="31"/>
          <w:szCs w:val="31"/>
          <w:lang w:val="en-US" w:eastAsia="en-US" w:bidi="ar-SA"/>
        </w:rPr>
        <w:t xml:space="preserve">GB/T 1.1-2020《标准化工作导则 第1部分：标准化文件的结构和起草规则》、GB/T 1.2-2002《标准化工作导则 第2部分：标准中规范性技术要素内容的确定方法》的编制要求。 </w:t>
      </w:r>
      <w:commentRangeEnd w:id="0"/>
      <w:r>
        <w:commentReference w:id="0"/>
      </w:r>
    </w:p>
    <w:p w14:paraId="522D3EB2">
      <w:pPr>
        <w:pStyle w:val="3"/>
        <w:keepNext w:val="0"/>
        <w:keepLines w:val="0"/>
        <w:pageBreakBefore w:val="0"/>
        <w:widowControl/>
        <w:numPr>
          <w:ilvl w:val="0"/>
          <w:numId w:val="2"/>
        </w:numPr>
        <w:kinsoku w:val="0"/>
        <w:wordWrap/>
        <w:overflowPunct/>
        <w:topLinePunct w:val="0"/>
        <w:autoSpaceDE w:val="0"/>
        <w:autoSpaceDN w:val="0"/>
        <w:bidi w:val="0"/>
        <w:adjustRightInd w:val="0"/>
        <w:snapToGrid w:val="0"/>
        <w:spacing w:before="214" w:line="312" w:lineRule="auto"/>
        <w:ind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法律法规适配性 本标准操作管理、器械使用、病历记录、医疗废物处置等内容，符合《中华人民共和国中医药法》《医疗机构管理条例》《医院感染管理办法》《医疗器械监督管理条例》等现行法律法规相关要求，规范中医外治临床执业行为。</w:t>
      </w:r>
    </w:p>
    <w:p w14:paraId="1E26981E">
      <w:pPr>
        <w:pStyle w:val="3"/>
        <w:keepNext w:val="0"/>
        <w:keepLines w:val="0"/>
        <w:pageBreakBefore w:val="0"/>
        <w:widowControl/>
        <w:numPr>
          <w:ilvl w:val="0"/>
          <w:numId w:val="2"/>
        </w:numPr>
        <w:kinsoku w:val="0"/>
        <w:wordWrap/>
        <w:overflowPunct/>
        <w:topLinePunct w:val="0"/>
        <w:autoSpaceDE w:val="0"/>
        <w:autoSpaceDN w:val="0"/>
        <w:bidi w:val="0"/>
        <w:adjustRightInd w:val="0"/>
        <w:snapToGrid w:val="0"/>
        <w:spacing w:before="214" w:line="312" w:lineRule="auto"/>
        <w:ind w:left="0" w:leftChars="0"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强制性卫生标准适配性 器械清洗消毒、医务人员手卫生、医疗废物处置相关条款完全匹配</w:t>
      </w:r>
      <w:r>
        <w:rPr>
          <w:rFonts w:hint="eastAsia" w:ascii="仿宋" w:hAnsi="仿宋" w:eastAsia="仿宋" w:cs="仿宋"/>
          <w:snapToGrid w:val="0"/>
          <w:color w:val="000000"/>
          <w:spacing w:val="6"/>
          <w:kern w:val="0"/>
          <w:sz w:val="31"/>
          <w:szCs w:val="31"/>
          <w:lang w:val="en-US" w:eastAsia="en-US" w:bidi="ar-SA"/>
        </w:rPr>
        <w:t>GB 15982--2012</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医院消毒卫生标准</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WS/T 367--2012</w:t>
      </w:r>
      <w:r>
        <w:rPr>
          <w:rFonts w:hint="eastAsia" w:ascii="仿宋" w:hAnsi="仿宋" w:eastAsia="仿宋" w:cs="仿宋"/>
          <w:snapToGrid w:val="0"/>
          <w:color w:val="000000"/>
          <w:spacing w:val="6"/>
          <w:kern w:val="0"/>
          <w:sz w:val="31"/>
          <w:szCs w:val="31"/>
          <w:lang w:val="en-US" w:eastAsia="zh-CN" w:bidi="ar-SA"/>
        </w:rPr>
        <w:t>《</w:t>
      </w:r>
      <w:r>
        <w:rPr>
          <w:rFonts w:hint="eastAsia" w:ascii="仿宋" w:hAnsi="仿宋" w:eastAsia="仿宋" w:cs="仿宋"/>
          <w:snapToGrid w:val="0"/>
          <w:color w:val="000000"/>
          <w:spacing w:val="6"/>
          <w:kern w:val="0"/>
          <w:sz w:val="31"/>
          <w:szCs w:val="31"/>
          <w:lang w:val="en-US" w:eastAsia="en-US" w:bidi="ar-SA"/>
        </w:rPr>
        <w:t>医疗机构消毒技术规范</w:t>
      </w:r>
      <w:r>
        <w:rPr>
          <w:rFonts w:hint="eastAsia" w:ascii="仿宋" w:hAnsi="仿宋" w:eastAsia="仿宋" w:cs="仿宋"/>
          <w:snapToGrid w:val="0"/>
          <w:color w:val="000000"/>
          <w:spacing w:val="6"/>
          <w:kern w:val="0"/>
          <w:sz w:val="31"/>
          <w:szCs w:val="31"/>
          <w:lang w:val="en-US" w:eastAsia="zh-CN" w:bidi="ar-SA"/>
        </w:rPr>
        <w:t>》</w:t>
      </w:r>
      <w:r>
        <w:rPr>
          <w:rFonts w:hint="eastAsia" w:cs="仿宋"/>
          <w:snapToGrid w:val="0"/>
          <w:color w:val="000000"/>
          <w:spacing w:val="6"/>
          <w:kern w:val="0"/>
          <w:sz w:val="31"/>
          <w:szCs w:val="31"/>
          <w:lang w:val="en-US" w:eastAsia="zh-CN" w:bidi="ar-SA"/>
        </w:rPr>
        <w:t>、</w:t>
      </w:r>
      <w:commentRangeStart w:id="1"/>
      <w:r>
        <w:rPr>
          <w:rFonts w:ascii="仿宋" w:hAnsi="仿宋" w:eastAsia="仿宋" w:cs="仿宋"/>
          <w:snapToGrid w:val="0"/>
          <w:color w:val="000000"/>
          <w:spacing w:val="6"/>
          <w:kern w:val="0"/>
          <w:sz w:val="31"/>
          <w:szCs w:val="31"/>
          <w:lang w:val="en-US" w:eastAsia="en-US" w:bidi="ar-SA"/>
        </w:rPr>
        <w:t>WS/T 313-2019《医务人员手卫生规范》、HJ 1284-2023《医疗废物消毒处理设施运行管理技术规范》</w:t>
      </w:r>
      <w:commentRangeEnd w:id="1"/>
      <w:r>
        <w:commentReference w:id="1"/>
      </w:r>
      <w:r>
        <w:rPr>
          <w:rFonts w:ascii="仿宋" w:hAnsi="仿宋" w:eastAsia="仿宋" w:cs="仿宋"/>
          <w:snapToGrid w:val="0"/>
          <w:color w:val="000000"/>
          <w:spacing w:val="6"/>
          <w:kern w:val="0"/>
          <w:sz w:val="31"/>
          <w:szCs w:val="31"/>
          <w:lang w:val="en-US" w:eastAsia="en-US" w:bidi="ar-SA"/>
        </w:rPr>
        <w:t xml:space="preserve">等国家强制性/推荐性卫生标准，医疗机构可直接将本标准纳入院内院感、护理质控体系落地执行。 </w:t>
      </w:r>
    </w:p>
    <w:p w14:paraId="6777677B">
      <w:pPr>
        <w:pStyle w:val="3"/>
        <w:keepNext w:val="0"/>
        <w:keepLines w:val="0"/>
        <w:pageBreakBefore w:val="0"/>
        <w:widowControl/>
        <w:numPr>
          <w:ilvl w:val="0"/>
          <w:numId w:val="2"/>
        </w:numPr>
        <w:kinsoku w:val="0"/>
        <w:wordWrap/>
        <w:overflowPunct/>
        <w:topLinePunct w:val="0"/>
        <w:autoSpaceDE w:val="0"/>
        <w:autoSpaceDN w:val="0"/>
        <w:bidi w:val="0"/>
        <w:adjustRightInd w:val="0"/>
        <w:snapToGrid w:val="0"/>
        <w:spacing w:before="214" w:line="312" w:lineRule="auto"/>
        <w:ind w:left="0" w:leftChars="0" w:firstLine="644" w:firstLineChars="200"/>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行业政策适配性 标准整体技术框架、中医适宜技术规范</w:t>
      </w:r>
    </w:p>
    <w:p w14:paraId="4885DB65">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214" w:line="312" w:lineRule="auto"/>
        <w:jc w:val="left"/>
        <w:textAlignment w:val="baseline"/>
        <w:rPr>
          <w:rFonts w:ascii="仿宋" w:hAnsi="仿宋" w:eastAsia="仿宋" w:cs="仿宋"/>
          <w:snapToGrid w:val="0"/>
          <w:color w:val="000000"/>
          <w:spacing w:val="6"/>
          <w:kern w:val="0"/>
          <w:sz w:val="31"/>
          <w:szCs w:val="31"/>
          <w:lang w:val="en-US" w:eastAsia="en-US" w:bidi="ar-SA"/>
        </w:rPr>
      </w:pPr>
      <w:r>
        <w:rPr>
          <w:rFonts w:ascii="仿宋" w:hAnsi="仿宋" w:eastAsia="仿宋" w:cs="仿宋"/>
          <w:snapToGrid w:val="0"/>
          <w:color w:val="000000"/>
          <w:spacing w:val="6"/>
          <w:kern w:val="0"/>
          <w:sz w:val="31"/>
          <w:szCs w:val="31"/>
          <w:lang w:val="en-US" w:eastAsia="en-US" w:bidi="ar-SA"/>
        </w:rPr>
        <w:t>化要求契合《“十四五”中医药发展规划</w:t>
      </w:r>
      <w:r>
        <w:rPr>
          <w:rFonts w:hint="eastAsia" w:cs="仿宋"/>
          <w:snapToGrid w:val="0"/>
          <w:color w:val="000000"/>
          <w:spacing w:val="6"/>
          <w:kern w:val="0"/>
          <w:sz w:val="31"/>
          <w:szCs w:val="31"/>
          <w:lang w:val="en-US" w:eastAsia="zh-CN" w:bidi="ar-SA"/>
        </w:rPr>
        <w:t>》、</w:t>
      </w:r>
      <w:r>
        <w:rPr>
          <w:rFonts w:ascii="仿宋" w:hAnsi="仿宋" w:eastAsia="仿宋" w:cs="仿宋"/>
          <w:snapToGrid w:val="0"/>
          <w:color w:val="000000"/>
          <w:spacing w:val="6"/>
          <w:kern w:val="0"/>
          <w:sz w:val="31"/>
          <w:szCs w:val="31"/>
          <w:lang w:val="en-US" w:eastAsia="en-US" w:bidi="ar-SA"/>
        </w:rPr>
        <w:t>《中医药标准化行动计划（2024—2026年）》</w:t>
      </w:r>
      <w:r>
        <w:rPr>
          <w:rFonts w:hint="eastAsia" w:cs="仿宋"/>
          <w:snapToGrid w:val="0"/>
          <w:color w:val="000000"/>
          <w:spacing w:val="6"/>
          <w:kern w:val="0"/>
          <w:sz w:val="31"/>
          <w:szCs w:val="31"/>
          <w:lang w:val="en-US" w:eastAsia="zh-CN" w:bidi="ar-SA"/>
        </w:rPr>
        <w:t>等</w:t>
      </w:r>
      <w:r>
        <w:rPr>
          <w:rFonts w:ascii="仿宋" w:hAnsi="仿宋" w:eastAsia="仿宋" w:cs="仿宋"/>
          <w:snapToGrid w:val="0"/>
          <w:color w:val="000000"/>
          <w:spacing w:val="6"/>
          <w:kern w:val="0"/>
          <w:sz w:val="31"/>
          <w:szCs w:val="31"/>
          <w:lang w:val="en-US" w:eastAsia="en-US" w:bidi="ar-SA"/>
        </w:rPr>
        <w:t>相关指导要求，支撑基层中医特色技术标准化推广工作。</w:t>
      </w:r>
    </w:p>
    <w:p w14:paraId="2A0C7254">
      <w:pPr>
        <w:spacing w:line="222" w:lineRule="auto"/>
        <w:rPr>
          <w:sz w:val="28"/>
          <w:szCs w:val="28"/>
        </w:rPr>
      </w:pPr>
    </w:p>
    <w:p w14:paraId="1EE735A4">
      <w:pPr>
        <w:pStyle w:val="3"/>
        <w:spacing w:before="101" w:line="293" w:lineRule="auto"/>
        <w:ind w:left="563" w:right="5232" w:firstLine="79"/>
        <w:rPr>
          <w:rFonts w:ascii="黑体" w:hAnsi="黑体" w:eastAsia="黑体" w:cs="黑体"/>
          <w:spacing w:val="7"/>
        </w:rPr>
        <w:sectPr>
          <w:footerReference r:id="rId7" w:type="default"/>
          <w:pgSz w:w="11906" w:h="16839"/>
          <w:pgMar w:top="1315" w:right="1418" w:bottom="1156" w:left="1486" w:header="0" w:footer="994" w:gutter="0"/>
          <w:pgNumType w:fmt="decimal"/>
          <w:cols w:space="720" w:num="1"/>
        </w:sectPr>
      </w:pPr>
    </w:p>
    <w:p w14:paraId="63B81E34">
      <w:pPr>
        <w:pStyle w:val="3"/>
        <w:spacing w:before="101" w:line="293" w:lineRule="auto"/>
        <w:ind w:right="5232"/>
        <w:rPr>
          <w:rFonts w:hint="eastAsia" w:ascii="黑体" w:hAnsi="黑体" w:eastAsia="黑体" w:cs="黑体"/>
          <w:snapToGrid w:val="0"/>
          <w:color w:val="000000"/>
          <w:spacing w:val="8"/>
          <w:kern w:val="0"/>
          <w:sz w:val="31"/>
          <w:szCs w:val="31"/>
          <w:lang w:val="en-US" w:eastAsia="zh-CN" w:bidi="ar-SA"/>
        </w:rPr>
      </w:pPr>
      <w:r>
        <w:rPr>
          <w:rFonts w:ascii="黑体" w:hAnsi="黑体" w:eastAsia="黑体" w:cs="黑体"/>
          <w:snapToGrid w:val="0"/>
          <w:color w:val="000000"/>
          <w:spacing w:val="8"/>
          <w:kern w:val="0"/>
          <w:sz w:val="31"/>
          <w:szCs w:val="31"/>
          <w:lang w:val="en-US" w:eastAsia="en-US" w:bidi="ar-SA"/>
        </w:rPr>
        <w:t>六、重大分歧意见</w:t>
      </w:r>
      <w:r>
        <w:rPr>
          <w:rFonts w:hint="eastAsia" w:ascii="黑体" w:hAnsi="黑体" w:eastAsia="黑体" w:cs="黑体"/>
          <w:snapToGrid w:val="0"/>
          <w:color w:val="000000"/>
          <w:spacing w:val="8"/>
          <w:kern w:val="0"/>
          <w:sz w:val="31"/>
          <w:szCs w:val="31"/>
          <w:lang w:val="en-US" w:eastAsia="zh-CN" w:bidi="ar-SA"/>
        </w:rPr>
        <w:t>处理</w:t>
      </w:r>
    </w:p>
    <w:p w14:paraId="73359C0E">
      <w:pPr>
        <w:spacing w:line="321" w:lineRule="auto"/>
        <w:rPr>
          <w:rFonts w:ascii="黑体" w:hAnsi="黑体" w:eastAsia="黑体" w:cs="黑体"/>
          <w:snapToGrid w:val="0"/>
          <w:color w:val="000000"/>
          <w:spacing w:val="8"/>
          <w:kern w:val="0"/>
          <w:sz w:val="31"/>
          <w:szCs w:val="31"/>
          <w:lang w:val="en-US" w:eastAsia="en-US" w:bidi="ar-SA"/>
        </w:rPr>
        <w:sectPr>
          <w:type w:val="continuous"/>
          <w:pgSz w:w="11906" w:h="16839"/>
          <w:pgMar w:top="1315" w:right="1418" w:bottom="1156" w:left="1486" w:header="0" w:footer="994" w:gutter="0"/>
          <w:pgNumType w:fmt="decimal"/>
          <w:cols w:space="720" w:num="1"/>
        </w:sectPr>
      </w:pPr>
    </w:p>
    <w:p w14:paraId="60C0CC6B">
      <w:pPr>
        <w:spacing w:line="321" w:lineRule="auto"/>
        <w:ind w:firstLine="322" w:firstLineChars="100"/>
        <w:rPr>
          <w:rFonts w:hint="eastAsia" w:ascii="仿宋" w:hAnsi="仿宋" w:eastAsia="仿宋" w:cs="仿宋"/>
          <w:snapToGrid w:val="0"/>
          <w:color w:val="000000"/>
          <w:spacing w:val="6"/>
          <w:kern w:val="0"/>
          <w:sz w:val="31"/>
          <w:szCs w:val="31"/>
          <w:lang w:val="en-US" w:eastAsia="zh-CN" w:bidi="ar-SA"/>
        </w:rPr>
      </w:pPr>
      <w:r>
        <w:rPr>
          <w:rFonts w:hint="eastAsia" w:ascii="仿宋" w:hAnsi="仿宋" w:eastAsia="仿宋" w:cs="仿宋"/>
          <w:snapToGrid w:val="0"/>
          <w:color w:val="000000"/>
          <w:spacing w:val="6"/>
          <w:kern w:val="0"/>
          <w:sz w:val="31"/>
          <w:szCs w:val="31"/>
          <w:lang w:val="en-US" w:eastAsia="zh-CN" w:bidi="ar-SA"/>
        </w:rPr>
        <w:t>无</w:t>
      </w:r>
    </w:p>
    <w:p w14:paraId="430593C4">
      <w:pPr>
        <w:pStyle w:val="3"/>
        <w:spacing w:before="100" w:line="290" w:lineRule="auto"/>
        <w:ind w:right="2030"/>
        <w:rPr>
          <w:rFonts w:hint="eastAsia" w:ascii="黑体" w:hAnsi="黑体" w:eastAsia="黑体" w:cs="黑体"/>
          <w:spacing w:val="9"/>
          <w:lang w:val="en-US" w:eastAsia="zh-CN"/>
        </w:rPr>
      </w:pPr>
      <w:r>
        <w:rPr>
          <w:rFonts w:ascii="黑体" w:hAnsi="黑体" w:eastAsia="黑体" w:cs="黑体"/>
          <w:spacing w:val="9"/>
        </w:rPr>
        <w:t>七、标准作为强制性或推荐性标准发布的</w:t>
      </w:r>
      <w:r>
        <w:rPr>
          <w:rFonts w:hint="eastAsia" w:ascii="黑体" w:hAnsi="黑体" w:eastAsia="黑体" w:cs="黑体"/>
          <w:spacing w:val="9"/>
          <w:lang w:val="en-US" w:eastAsia="zh-CN"/>
        </w:rPr>
        <w:t>意见</w:t>
      </w:r>
    </w:p>
    <w:p w14:paraId="753429FA">
      <w:pPr>
        <w:pStyle w:val="3"/>
        <w:spacing w:before="100" w:line="290" w:lineRule="auto"/>
        <w:ind w:left="562" w:right="2030" w:firstLine="69"/>
        <w:rPr>
          <w:rFonts w:hint="eastAsia" w:eastAsia="宋体"/>
          <w:lang w:eastAsia="zh-CN"/>
        </w:rPr>
      </w:pPr>
      <w:r>
        <w:rPr>
          <w:spacing w:val="-7"/>
          <w:sz w:val="28"/>
          <w:szCs w:val="28"/>
        </w:rPr>
        <w:t>推荐性</w:t>
      </w:r>
    </w:p>
    <w:p w14:paraId="67BB7E42">
      <w:pPr>
        <w:spacing w:before="101" w:line="227" w:lineRule="auto"/>
        <w:rPr>
          <w:rFonts w:ascii="Arial"/>
          <w:sz w:val="21"/>
        </w:rPr>
      </w:pPr>
      <w:r>
        <w:rPr>
          <w:rFonts w:ascii="黑体" w:hAnsi="黑体" w:eastAsia="黑体" w:cs="黑体"/>
          <w:spacing w:val="8"/>
          <w:sz w:val="31"/>
          <w:szCs w:val="31"/>
        </w:rPr>
        <w:t>八、贯彻标准的建议</w:t>
      </w:r>
      <w:r>
        <w:rPr>
          <w:rFonts w:ascii="黑体" w:hAnsi="黑体" w:eastAsia="黑体" w:cs="黑体"/>
          <w:spacing w:val="-3"/>
          <w:sz w:val="28"/>
          <w:szCs w:val="28"/>
        </w:rPr>
        <w:t>实施推广建议</w:t>
      </w:r>
    </w:p>
    <w:p w14:paraId="6B3873E4">
      <w:pPr>
        <w:pStyle w:val="3"/>
        <w:spacing w:before="225" w:line="363" w:lineRule="auto"/>
        <w:ind w:left="3" w:firstLine="564"/>
        <w:rPr>
          <w:spacing w:val="2"/>
          <w:sz w:val="28"/>
          <w:szCs w:val="28"/>
          <w:lang w:val="en-US" w:eastAsia="en-US"/>
        </w:rPr>
      </w:pPr>
      <w:r>
        <w:rPr>
          <w:spacing w:val="2"/>
          <w:sz w:val="28"/>
          <w:szCs w:val="28"/>
          <w:lang w:val="en-US" w:eastAsia="en-US"/>
        </w:rPr>
        <w:t>注重《</w:t>
      </w:r>
      <w:r>
        <w:rPr>
          <w:rFonts w:hint="eastAsia"/>
          <w:spacing w:val="2"/>
          <w:sz w:val="28"/>
          <w:szCs w:val="28"/>
          <w:lang w:val="en-US" w:eastAsia="zh-CN"/>
        </w:rPr>
        <w:t>平衡火罐</w:t>
      </w:r>
      <w:r>
        <w:rPr>
          <w:spacing w:val="2"/>
          <w:sz w:val="28"/>
          <w:szCs w:val="28"/>
          <w:lang w:val="en-US" w:eastAsia="en-US"/>
        </w:rPr>
        <w:t>技术</w:t>
      </w:r>
      <w:r>
        <w:rPr>
          <w:rFonts w:hint="eastAsia"/>
          <w:spacing w:val="2"/>
          <w:sz w:val="28"/>
          <w:szCs w:val="28"/>
          <w:lang w:val="en-US" w:eastAsia="zh-CN"/>
        </w:rPr>
        <w:t>操作</w:t>
      </w:r>
      <w:r>
        <w:rPr>
          <w:spacing w:val="2"/>
          <w:sz w:val="28"/>
          <w:szCs w:val="28"/>
          <w:lang w:val="en-US" w:eastAsia="en-US"/>
        </w:rPr>
        <w:t>规范》标准内容宣贯，确保标准在各级医疗机构落地推广与常态化应用。加强标准贯彻落实的日常质控、考核验收工作，通过中医药学术期刊、行业新媒体、医学学术会议等媒介，提升标准行业影响力，建立标准化长效执行机制。选取全部参编起草单位、参与征求意见的医疗机构作为首批标准化试点单位先行落地实施，总结标准化实操管理经验，对规范落实成效突出的单位、临床从业人员予以行业表彰，带动全国各级中医、康复、疼痛</w:t>
      </w:r>
      <w:r>
        <w:rPr>
          <w:rFonts w:hint="eastAsia"/>
          <w:spacing w:val="2"/>
          <w:sz w:val="28"/>
          <w:szCs w:val="28"/>
          <w:lang w:val="en-US" w:eastAsia="zh-CN"/>
        </w:rPr>
        <w:t>、治未病</w:t>
      </w:r>
      <w:r>
        <w:rPr>
          <w:spacing w:val="2"/>
          <w:sz w:val="28"/>
          <w:szCs w:val="28"/>
          <w:lang w:val="en-US" w:eastAsia="en-US"/>
        </w:rPr>
        <w:t xml:space="preserve">科室主动参照本标准开展诊疗工作。 </w:t>
      </w:r>
    </w:p>
    <w:p w14:paraId="4894E798">
      <w:pPr>
        <w:pStyle w:val="3"/>
        <w:spacing w:before="45" w:line="353" w:lineRule="auto"/>
        <w:ind w:firstLine="561"/>
        <w:rPr>
          <w:spacing w:val="2"/>
          <w:sz w:val="28"/>
          <w:szCs w:val="28"/>
          <w:lang w:val="en-US" w:eastAsia="en-US"/>
        </w:rPr>
      </w:pPr>
      <w:r>
        <w:rPr>
          <w:spacing w:val="3"/>
          <w:sz w:val="28"/>
          <w:szCs w:val="28"/>
        </w:rPr>
        <w:t>本标准起草单位</w:t>
      </w:r>
      <w:r>
        <w:rPr>
          <w:rFonts w:hint="eastAsia"/>
          <w:spacing w:val="2"/>
          <w:sz w:val="28"/>
          <w:szCs w:val="28"/>
          <w:lang w:val="en-US" w:eastAsia="zh-CN"/>
        </w:rPr>
        <w:t>广州医科大学附属第二医院</w:t>
      </w:r>
      <w:r>
        <w:rPr>
          <w:spacing w:val="3"/>
          <w:sz w:val="28"/>
          <w:szCs w:val="28"/>
        </w:rPr>
        <w:t>，将对本标准进行释义，开展研讨；在</w:t>
      </w:r>
      <w:r>
        <w:rPr>
          <w:spacing w:val="-2"/>
          <w:sz w:val="28"/>
          <w:szCs w:val="28"/>
        </w:rPr>
        <w:t>标准发布以后，组织宣贯、培训。</w:t>
      </w:r>
      <w:r>
        <w:rPr>
          <w:spacing w:val="2"/>
          <w:sz w:val="28"/>
          <w:szCs w:val="28"/>
          <w:lang w:val="en-US" w:eastAsia="en-US"/>
        </w:rPr>
        <w:t xml:space="preserve"> </w:t>
      </w:r>
    </w:p>
    <w:p w14:paraId="34BD1169">
      <w:pPr>
        <w:pStyle w:val="3"/>
        <w:keepNext w:val="0"/>
        <w:keepLines w:val="0"/>
        <w:pageBreakBefore w:val="0"/>
        <w:widowControl/>
        <w:kinsoku w:val="0"/>
        <w:wordWrap/>
        <w:overflowPunct/>
        <w:topLinePunct w:val="0"/>
        <w:autoSpaceDE w:val="0"/>
        <w:autoSpaceDN w:val="0"/>
        <w:bidi w:val="0"/>
        <w:adjustRightInd w:val="0"/>
        <w:snapToGrid w:val="0"/>
        <w:spacing w:before="225" w:line="288" w:lineRule="auto"/>
        <w:ind w:left="6" w:firstLine="561"/>
        <w:textAlignment w:val="baseline"/>
        <w:rPr>
          <w:spacing w:val="2"/>
          <w:sz w:val="28"/>
          <w:szCs w:val="28"/>
          <w:lang w:val="en-US" w:eastAsia="en-US"/>
        </w:rPr>
      </w:pPr>
      <w:r>
        <w:rPr>
          <w:spacing w:val="2"/>
          <w:sz w:val="28"/>
          <w:szCs w:val="28"/>
          <w:lang w:val="en-US" w:eastAsia="en-US"/>
        </w:rPr>
        <w:t xml:space="preserve">为保障本规范全面落地实施，具体建议如下： </w:t>
      </w:r>
    </w:p>
    <w:p w14:paraId="1EAEE8E8">
      <w:pPr>
        <w:pStyle w:val="3"/>
        <w:keepNext w:val="0"/>
        <w:keepLines w:val="0"/>
        <w:pageBreakBefore w:val="0"/>
        <w:widowControl/>
        <w:numPr>
          <w:ilvl w:val="0"/>
          <w:numId w:val="3"/>
        </w:numPr>
        <w:kinsoku w:val="0"/>
        <w:wordWrap/>
        <w:overflowPunct/>
        <w:topLinePunct w:val="0"/>
        <w:autoSpaceDE w:val="0"/>
        <w:autoSpaceDN w:val="0"/>
        <w:bidi w:val="0"/>
        <w:adjustRightInd w:val="0"/>
        <w:snapToGrid w:val="0"/>
        <w:spacing w:before="225" w:line="288" w:lineRule="auto"/>
        <w:ind w:left="6" w:firstLine="561"/>
        <w:textAlignment w:val="baseline"/>
        <w:rPr>
          <w:spacing w:val="2"/>
          <w:sz w:val="28"/>
          <w:szCs w:val="28"/>
          <w:lang w:val="en-US" w:eastAsia="en-US"/>
        </w:rPr>
      </w:pPr>
      <w:r>
        <w:rPr>
          <w:spacing w:val="2"/>
          <w:sz w:val="28"/>
          <w:szCs w:val="28"/>
          <w:lang w:val="en-US" w:eastAsia="en-US"/>
        </w:rPr>
        <w:t xml:space="preserve">印刷标准纸质文本、配套操作手册下发各级医疗机构，方便临床医师、护士、康复治疗师日常学习查阅，依托中医护理分会、疼痛康复专委会多渠道开展标准科普宣传； </w:t>
      </w:r>
    </w:p>
    <w:p w14:paraId="50D7448E">
      <w:pPr>
        <w:pStyle w:val="3"/>
        <w:keepNext w:val="0"/>
        <w:keepLines w:val="0"/>
        <w:pageBreakBefore w:val="0"/>
        <w:widowControl/>
        <w:numPr>
          <w:ilvl w:val="0"/>
          <w:numId w:val="3"/>
        </w:numPr>
        <w:kinsoku w:val="0"/>
        <w:wordWrap/>
        <w:overflowPunct/>
        <w:topLinePunct w:val="0"/>
        <w:autoSpaceDE w:val="0"/>
        <w:autoSpaceDN w:val="0"/>
        <w:bidi w:val="0"/>
        <w:adjustRightInd w:val="0"/>
        <w:snapToGrid w:val="0"/>
        <w:spacing w:before="225" w:line="288" w:lineRule="auto"/>
        <w:ind w:left="6" w:firstLine="561"/>
        <w:textAlignment w:val="baseline"/>
        <w:rPr>
          <w:sz w:val="28"/>
          <w:szCs w:val="28"/>
        </w:rPr>
      </w:pPr>
      <w:r>
        <w:rPr>
          <w:spacing w:val="2"/>
          <w:sz w:val="28"/>
          <w:szCs w:val="28"/>
          <w:lang w:val="en-US" w:eastAsia="en-US"/>
        </w:rPr>
        <w:t>围绕</w:t>
      </w:r>
      <w:r>
        <w:rPr>
          <w:rFonts w:hint="eastAsia"/>
          <w:spacing w:val="2"/>
          <w:sz w:val="28"/>
          <w:szCs w:val="28"/>
          <w:lang w:val="en-US" w:eastAsia="zh-CN"/>
        </w:rPr>
        <w:t>平衡火罐</w:t>
      </w:r>
      <w:r>
        <w:rPr>
          <w:spacing w:val="2"/>
          <w:sz w:val="28"/>
          <w:szCs w:val="28"/>
          <w:lang w:val="en-US" w:eastAsia="en-US"/>
        </w:rPr>
        <w:t>全流程操作、器械消毒保养、不良反应处置、疗效评价等核心内容制作标准化实操教学视频、图文图解，直观展示五大</w:t>
      </w:r>
      <w:r>
        <w:rPr>
          <w:rFonts w:hint="eastAsia"/>
          <w:spacing w:val="2"/>
          <w:sz w:val="28"/>
          <w:szCs w:val="28"/>
          <w:lang w:val="en-US" w:eastAsia="zh-CN"/>
        </w:rPr>
        <w:t>操作</w:t>
      </w:r>
      <w:r>
        <w:rPr>
          <w:spacing w:val="2"/>
          <w:sz w:val="28"/>
          <w:szCs w:val="28"/>
          <w:lang w:val="en-US" w:eastAsia="en-US"/>
        </w:rPr>
        <w:t xml:space="preserve">手法，降低一线人员学习理解难度； </w:t>
      </w:r>
    </w:p>
    <w:p w14:paraId="7A795579">
      <w:pPr>
        <w:spacing w:before="184" w:line="227" w:lineRule="auto"/>
        <w:ind w:left="590"/>
        <w:rPr>
          <w:rFonts w:ascii="黑体" w:hAnsi="黑体" w:eastAsia="黑体" w:cs="黑体"/>
          <w:sz w:val="31"/>
          <w:szCs w:val="31"/>
        </w:rPr>
      </w:pPr>
      <w:r>
        <w:rPr>
          <w:rFonts w:ascii="黑体" w:hAnsi="黑体" w:eastAsia="黑体" w:cs="黑体"/>
          <w:spacing w:val="4"/>
          <w:sz w:val="31"/>
          <w:szCs w:val="31"/>
        </w:rPr>
        <w:t>九、经费使用情况</w:t>
      </w:r>
    </w:p>
    <w:p w14:paraId="5762283B">
      <w:pPr>
        <w:pStyle w:val="3"/>
        <w:numPr>
          <w:ilvl w:val="0"/>
          <w:numId w:val="0"/>
        </w:numPr>
        <w:spacing w:before="225" w:line="363" w:lineRule="auto"/>
        <w:ind w:left="567" w:leftChars="0"/>
        <w:rPr>
          <w:rFonts w:hint="eastAsia"/>
          <w:spacing w:val="3"/>
          <w:sz w:val="28"/>
          <w:szCs w:val="28"/>
          <w:lang w:val="en-US" w:eastAsia="zh-CN"/>
        </w:rPr>
      </w:pPr>
      <w:r>
        <w:rPr>
          <w:rFonts w:hint="eastAsia"/>
          <w:spacing w:val="3"/>
          <w:sz w:val="28"/>
          <w:szCs w:val="28"/>
          <w:lang w:val="en-US" w:eastAsia="zh-CN"/>
        </w:rPr>
        <w:t>无经费支持。</w:t>
      </w:r>
    </w:p>
    <w:p w14:paraId="2DAF1C24">
      <w:pPr>
        <w:pStyle w:val="3"/>
        <w:spacing w:before="100" w:line="317" w:lineRule="auto"/>
        <w:ind w:left="5705" w:right="321" w:hanging="2127"/>
        <w:jc w:val="right"/>
        <w:rPr>
          <w:spacing w:val="11"/>
        </w:rPr>
      </w:pPr>
      <w:r>
        <w:rPr>
          <w:spacing w:val="8"/>
        </w:rPr>
        <w:t>《</w:t>
      </w:r>
      <w:r>
        <w:rPr>
          <w:rFonts w:hint="eastAsia"/>
          <w:spacing w:val="8"/>
          <w:lang w:val="en-US" w:eastAsia="zh-CN"/>
        </w:rPr>
        <w:t>平衡火罐技术操作</w:t>
      </w:r>
      <w:r>
        <w:rPr>
          <w:spacing w:val="8"/>
        </w:rPr>
        <w:t>规范》起草组</w:t>
      </w:r>
      <w:r>
        <w:rPr>
          <w:spacing w:val="11"/>
        </w:rPr>
        <w:t xml:space="preserve"> </w:t>
      </w:r>
    </w:p>
    <w:p w14:paraId="292CC5B4">
      <w:pPr>
        <w:pStyle w:val="3"/>
        <w:spacing w:before="100" w:line="317" w:lineRule="auto"/>
        <w:ind w:right="321" w:firstLine="5032" w:firstLineChars="1700"/>
      </w:pPr>
      <w:r>
        <w:rPr>
          <w:spacing w:val="-7"/>
        </w:rPr>
        <w:t>202</w:t>
      </w:r>
      <w:r>
        <w:rPr>
          <w:rFonts w:hint="eastAsia"/>
          <w:spacing w:val="-7"/>
          <w:lang w:val="en-US" w:eastAsia="zh-CN"/>
        </w:rPr>
        <w:t>6</w:t>
      </w:r>
      <w:r>
        <w:rPr>
          <w:spacing w:val="-43"/>
        </w:rPr>
        <w:t xml:space="preserve"> </w:t>
      </w:r>
      <w:r>
        <w:rPr>
          <w:spacing w:val="-7"/>
        </w:rPr>
        <w:t>年</w:t>
      </w:r>
      <w:r>
        <w:rPr>
          <w:rFonts w:hint="eastAsia"/>
          <w:spacing w:val="-7"/>
          <w:lang w:val="en-US" w:eastAsia="zh-CN"/>
        </w:rPr>
        <w:t xml:space="preserve"> </w:t>
      </w:r>
      <w:r>
        <w:rPr>
          <w:rFonts w:hint="eastAsia"/>
          <w:spacing w:val="-41"/>
          <w:lang w:val="en-US" w:eastAsia="zh-CN"/>
        </w:rPr>
        <w:t xml:space="preserve">6 </w:t>
      </w:r>
      <w:r>
        <w:rPr>
          <w:spacing w:val="-7"/>
        </w:rPr>
        <w:t>月</w:t>
      </w:r>
      <w:r>
        <w:rPr>
          <w:spacing w:val="-39"/>
        </w:rPr>
        <w:t xml:space="preserve"> </w:t>
      </w:r>
      <w:r>
        <w:rPr>
          <w:rFonts w:hint="eastAsia"/>
          <w:spacing w:val="-7"/>
          <w:lang w:val="en-US" w:eastAsia="zh-CN"/>
        </w:rPr>
        <w:t>27</w:t>
      </w:r>
      <w:r>
        <w:rPr>
          <w:spacing w:val="-7"/>
        </w:rPr>
        <w:t xml:space="preserve"> </w:t>
      </w:r>
      <w:r>
        <w:rPr>
          <w:rFonts w:hint="eastAsia"/>
          <w:spacing w:val="-7"/>
          <w:lang w:val="en-US" w:eastAsia="zh-CN"/>
        </w:rPr>
        <w:t>日</w:t>
      </w:r>
    </w:p>
    <w:sectPr>
      <w:type w:val="continuous"/>
      <w:pgSz w:w="11906" w:h="16839"/>
      <w:pgMar w:top="1315" w:right="1418" w:bottom="1156" w:left="1486" w:header="0" w:footer="994" w:gutter="0"/>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风筝·有风" w:date="2026-06-29T00:16:03Z" w:initials="">
    <w:p w14:paraId="52CD58A4">
      <w:pPr>
        <w:pStyle w:val="2"/>
        <w:rPr>
          <w:rFonts w:hint="default" w:eastAsia="宋体"/>
          <w:lang w:val="en-US" w:eastAsia="zh-CN"/>
        </w:rPr>
      </w:pPr>
      <w:r>
        <w:rPr>
          <w:rFonts w:hint="eastAsia" w:eastAsia="宋体"/>
          <w:lang w:val="en-US" w:eastAsia="zh-CN"/>
        </w:rPr>
        <w:t>这两个规范，我们团标的“</w:t>
      </w:r>
      <w:r>
        <w:rPr>
          <w:rFonts w:hint="eastAsia" w:ascii="宋体" w:hAnsi="宋体" w:eastAsia="宋体" w:cs="宋体"/>
        </w:rPr>
        <w:t>规范性引用文件</w:t>
      </w:r>
      <w:r>
        <w:rPr>
          <w:rFonts w:hint="eastAsia" w:eastAsia="宋体"/>
          <w:lang w:val="en-US" w:eastAsia="zh-CN"/>
        </w:rPr>
        <w:t>”也未提及，但这是编写团标必须参考的，我觉得团标里可以不加。</w:t>
      </w:r>
    </w:p>
  </w:comment>
  <w:comment w:id="1" w:author="风筝·有风" w:date="2026-06-29T00:13:28Z" w:initials="">
    <w:p w14:paraId="038FDECF">
      <w:pPr>
        <w:pStyle w:val="2"/>
        <w:rPr>
          <w:rFonts w:hint="default" w:eastAsia="宋体"/>
          <w:lang w:val="en-US" w:eastAsia="zh-CN"/>
        </w:rPr>
      </w:pPr>
      <w:r>
        <w:rPr>
          <w:rFonts w:hint="eastAsia" w:eastAsia="宋体"/>
          <w:lang w:val="en-US" w:eastAsia="zh-CN"/>
        </w:rPr>
        <w:t>这两个文件是参考棍针的，我们的团标里的“</w:t>
      </w:r>
      <w:r>
        <w:rPr>
          <w:rFonts w:hint="eastAsia" w:ascii="宋体" w:hAnsi="宋体" w:eastAsia="宋体" w:cs="宋体"/>
        </w:rPr>
        <w:t>规范性引用文件</w:t>
      </w:r>
      <w:r>
        <w:rPr>
          <w:rFonts w:hint="eastAsia" w:eastAsia="宋体"/>
          <w:lang w:val="en-US" w:eastAsia="zh-CN"/>
        </w:rPr>
        <w:t>”未提及这两个文件，可能要统一一下更好。可以删除这里，或者是保留这两个文件，然后在“规范引用文件”里添加这两个文规范。看领导的需要。</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2CD58A4" w15:done="0"/>
  <w15:commentEx w15:paraId="038FDE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8104C27-1C11-4B0D-BF83-68AD899187BF}"/>
  </w:font>
  <w:font w:name="黑体">
    <w:panose1 w:val="02010609060101010101"/>
    <w:charset w:val="86"/>
    <w:family w:val="auto"/>
    <w:pitch w:val="default"/>
    <w:sig w:usb0="800002BF" w:usb1="38CF7CFA" w:usb2="00000016" w:usb3="00000000" w:csb0="00040001" w:csb1="00000000"/>
    <w:embedRegular r:id="rId2" w:fontKey="{66E6177B-20A0-42E2-8E17-9CDDB10F0F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1DA20DA1-4713-485C-AB12-09DCC94B5D32}"/>
  </w:font>
  <w:font w:name="楷体">
    <w:panose1 w:val="02010609060101010101"/>
    <w:charset w:val="86"/>
    <w:family w:val="auto"/>
    <w:pitch w:val="default"/>
    <w:sig w:usb0="800002BF" w:usb1="38CF7CFA" w:usb2="00000016" w:usb3="00000000" w:csb0="00040001" w:csb1="00000000"/>
    <w:embedRegular r:id="rId4" w:fontKey="{785AC2D2-A0FC-43EC-9C96-8C871141F69B}"/>
  </w:font>
  <w:font w:name="微软雅黑">
    <w:panose1 w:val="020B0503020204020204"/>
    <w:charset w:val="86"/>
    <w:family w:val="auto"/>
    <w:pitch w:val="default"/>
    <w:sig w:usb0="80000287" w:usb1="2ACF3C50" w:usb2="00000016" w:usb3="00000000" w:csb0="0004001F" w:csb1="00000000"/>
  </w:font>
  <w:font w:name="方正楷体_GB2312">
    <w:panose1 w:val="02000000000000000000"/>
    <w:charset w:val="86"/>
    <w:family w:val="auto"/>
    <w:pitch w:val="default"/>
    <w:sig w:usb0="A00002BF" w:usb1="184F6CFA" w:usb2="00000012" w:usb3="00000000" w:csb0="00040001" w:csb1="00000000"/>
    <w:embedRegular r:id="rId5" w:fontKey="{FD6182B3-7D2B-4B38-9320-D9B5FC8EF9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1599E">
    <w:pPr>
      <w:spacing w:line="176" w:lineRule="auto"/>
      <w:ind w:left="43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5D9E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65D9E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F7BA5"/>
    <w:multiLevelType w:val="singleLevel"/>
    <w:tmpl w:val="82AF7BA5"/>
    <w:lvl w:ilvl="0" w:tentative="0">
      <w:start w:val="1"/>
      <w:numFmt w:val="decimal"/>
      <w:suff w:val="nothing"/>
      <w:lvlText w:val="%1、"/>
      <w:lvlJc w:val="left"/>
    </w:lvl>
  </w:abstractNum>
  <w:abstractNum w:abstractNumId="1">
    <w:nsid w:val="D166700C"/>
    <w:multiLevelType w:val="singleLevel"/>
    <w:tmpl w:val="D166700C"/>
    <w:lvl w:ilvl="0" w:tentative="0">
      <w:start w:val="1"/>
      <w:numFmt w:val="decimal"/>
      <w:suff w:val="space"/>
      <w:lvlText w:val="%1."/>
      <w:lvlJc w:val="left"/>
    </w:lvl>
  </w:abstractNum>
  <w:abstractNum w:abstractNumId="2">
    <w:nsid w:val="6F0347A5"/>
    <w:multiLevelType w:val="singleLevel"/>
    <w:tmpl w:val="6F0347A5"/>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筝·有风">
    <w15:presenceInfo w15:providerId="WPS Office" w15:userId="20161086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revisionView w:markup="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B250DA"/>
    <w:rsid w:val="04E66DC0"/>
    <w:rsid w:val="053115AB"/>
    <w:rsid w:val="05C67CB8"/>
    <w:rsid w:val="05D13AC9"/>
    <w:rsid w:val="06E415DA"/>
    <w:rsid w:val="08281AC6"/>
    <w:rsid w:val="083D71F3"/>
    <w:rsid w:val="092E0D73"/>
    <w:rsid w:val="094F68C7"/>
    <w:rsid w:val="096F5AD2"/>
    <w:rsid w:val="097A6225"/>
    <w:rsid w:val="0CA37841"/>
    <w:rsid w:val="0D6B035F"/>
    <w:rsid w:val="0F0E5A87"/>
    <w:rsid w:val="0F34137B"/>
    <w:rsid w:val="0F407F32"/>
    <w:rsid w:val="0F580DB7"/>
    <w:rsid w:val="10741C20"/>
    <w:rsid w:val="109B71AD"/>
    <w:rsid w:val="11A36961"/>
    <w:rsid w:val="12A85BB1"/>
    <w:rsid w:val="12EB0686"/>
    <w:rsid w:val="13555AB2"/>
    <w:rsid w:val="146E6986"/>
    <w:rsid w:val="16D73273"/>
    <w:rsid w:val="17742506"/>
    <w:rsid w:val="178766DD"/>
    <w:rsid w:val="19AA66B3"/>
    <w:rsid w:val="1A3430C1"/>
    <w:rsid w:val="1A46462D"/>
    <w:rsid w:val="1B9406A4"/>
    <w:rsid w:val="1D0877FE"/>
    <w:rsid w:val="1DFD14A7"/>
    <w:rsid w:val="1E0D7210"/>
    <w:rsid w:val="1FB262C1"/>
    <w:rsid w:val="21EB5ABA"/>
    <w:rsid w:val="230A5C9B"/>
    <w:rsid w:val="23BD6FE3"/>
    <w:rsid w:val="249B7324"/>
    <w:rsid w:val="25F3318F"/>
    <w:rsid w:val="27A91880"/>
    <w:rsid w:val="286B1703"/>
    <w:rsid w:val="2ABD206C"/>
    <w:rsid w:val="2BA343C0"/>
    <w:rsid w:val="2C0E75DC"/>
    <w:rsid w:val="2C1125C1"/>
    <w:rsid w:val="2D595FCE"/>
    <w:rsid w:val="2F7B6AA5"/>
    <w:rsid w:val="33490893"/>
    <w:rsid w:val="35584DBD"/>
    <w:rsid w:val="371B2546"/>
    <w:rsid w:val="378400EB"/>
    <w:rsid w:val="37D13732"/>
    <w:rsid w:val="39A22AAB"/>
    <w:rsid w:val="3A312AA3"/>
    <w:rsid w:val="3B5F4080"/>
    <w:rsid w:val="3C2105FF"/>
    <w:rsid w:val="3D70539A"/>
    <w:rsid w:val="3DCC6348"/>
    <w:rsid w:val="402B4847"/>
    <w:rsid w:val="418C6763"/>
    <w:rsid w:val="42212609"/>
    <w:rsid w:val="446A5BE8"/>
    <w:rsid w:val="44D96EB5"/>
    <w:rsid w:val="45383C57"/>
    <w:rsid w:val="45F13B3D"/>
    <w:rsid w:val="475353E4"/>
    <w:rsid w:val="486F44A0"/>
    <w:rsid w:val="49096D07"/>
    <w:rsid w:val="491F1A22"/>
    <w:rsid w:val="49804FEC"/>
    <w:rsid w:val="49D722FD"/>
    <w:rsid w:val="4A1A5033"/>
    <w:rsid w:val="4A834233"/>
    <w:rsid w:val="4AC47C50"/>
    <w:rsid w:val="4B223A4B"/>
    <w:rsid w:val="4BF30464"/>
    <w:rsid w:val="4C8E75EA"/>
    <w:rsid w:val="4CF80F08"/>
    <w:rsid w:val="4D9135BC"/>
    <w:rsid w:val="4DC1579E"/>
    <w:rsid w:val="4F4B4C7B"/>
    <w:rsid w:val="504C15F6"/>
    <w:rsid w:val="512001A9"/>
    <w:rsid w:val="51600E2A"/>
    <w:rsid w:val="51E53C1A"/>
    <w:rsid w:val="536A2433"/>
    <w:rsid w:val="558452D9"/>
    <w:rsid w:val="55986DE4"/>
    <w:rsid w:val="56261B79"/>
    <w:rsid w:val="56594DE5"/>
    <w:rsid w:val="565C6063"/>
    <w:rsid w:val="57884901"/>
    <w:rsid w:val="57D61E46"/>
    <w:rsid w:val="5879483A"/>
    <w:rsid w:val="59EC6537"/>
    <w:rsid w:val="5A2413B5"/>
    <w:rsid w:val="5C1318BA"/>
    <w:rsid w:val="5DFC1EDA"/>
    <w:rsid w:val="5FAE158E"/>
    <w:rsid w:val="60067040"/>
    <w:rsid w:val="60DF7FBD"/>
    <w:rsid w:val="6109503A"/>
    <w:rsid w:val="613D7E05"/>
    <w:rsid w:val="62113437"/>
    <w:rsid w:val="62195750"/>
    <w:rsid w:val="622A347C"/>
    <w:rsid w:val="62823614"/>
    <w:rsid w:val="62AE1CFD"/>
    <w:rsid w:val="646C600B"/>
    <w:rsid w:val="646F1658"/>
    <w:rsid w:val="66350139"/>
    <w:rsid w:val="66CA0DC7"/>
    <w:rsid w:val="67B04461"/>
    <w:rsid w:val="699E68BC"/>
    <w:rsid w:val="6A4D269B"/>
    <w:rsid w:val="6AB778B5"/>
    <w:rsid w:val="6BB243A2"/>
    <w:rsid w:val="6BC02799"/>
    <w:rsid w:val="6DD07F5B"/>
    <w:rsid w:val="6F7D440F"/>
    <w:rsid w:val="6F8166E3"/>
    <w:rsid w:val="6FF60E7F"/>
    <w:rsid w:val="70052E70"/>
    <w:rsid w:val="70A61FE8"/>
    <w:rsid w:val="71A1306D"/>
    <w:rsid w:val="71B70E05"/>
    <w:rsid w:val="71DD22F7"/>
    <w:rsid w:val="72F13B80"/>
    <w:rsid w:val="737A3B75"/>
    <w:rsid w:val="74652E24"/>
    <w:rsid w:val="75F47C0F"/>
    <w:rsid w:val="75FE4503"/>
    <w:rsid w:val="78542BE7"/>
    <w:rsid w:val="788F3C1F"/>
    <w:rsid w:val="78C22246"/>
    <w:rsid w:val="79490FF3"/>
    <w:rsid w:val="7BBF044F"/>
    <w:rsid w:val="7CC7607D"/>
    <w:rsid w:val="7D7763A7"/>
    <w:rsid w:val="7E2A1E22"/>
    <w:rsid w:val="7FFF78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4116272e-1129-47a8-8df7-5dabf8f75e57</errorID>
      <errorWord>，</errorWord>
      <group>L1_Punc</group>
      <groupName>标点问题</groupName>
      <ability>L2_Punc</ability>
      <abilityName>标点符号检查</abilityName>
      <candidateList/>
      <explain/>
      <paraID>3CE227CC</paraID>
      <start>0</start>
      <end>1</end>
      <status>ignored</status>
      <modifiedWord/>
      <trackRevisions>false</trackRevisions>
    </reviewItem>
    <reviewItem>
      <errorID>80be0842-c959-4a32-9fe2-4f1ca5e4549e</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6B924370</paraID>
      <start>10</start>
      <end>13</end>
      <status>ignored</status>
      <modifiedWord/>
      <trackRevisions>false</trackRevisions>
    </reviewItem>
    <reviewItem>
      <errorID>6aed85b9-42fc-41c8-b45c-f711b845afc9</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6B924370</paraID>
      <start>104</start>
      <end>107</end>
      <status>ignored</status>
      <modifiedWord/>
      <trackRevisions>false</trackRevisions>
    </reviewItem>
    <reviewItem>
      <errorID>ae83e54b-3d6a-4cc6-b7bf-8ac3f14ca89a</errorID>
      <errorWord>务为发展宗旨</errorWord>
      <group>L1_Grammar</group>
      <groupName>语法问题</groupName>
      <ability>L2_Order</ability>
      <abilityName>语序不当</abilityName>
      <candidateList>
        <item>务</item>
      </candidateList>
      <explain>句子可能没有遵循时空、逻辑顺序，或者介词、关联词等位置不当。</explain>
      <paraID>6B924370</paraID>
      <start>257</start>
      <end>263</end>
      <status>ignored</status>
      <modifiedWord/>
      <trackRevisions>false</trackRevisions>
    </reviewItem>
    <reviewItem>
      <errorID>ab61bb74-2258-4cd1-9fd6-7d186f2c034e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6F43BEF4</paraID>
      <start>14</start>
      <end>15</end>
      <status>ignored</status>
      <modifiedWord/>
      <trackRevisions>false</trackRevisions>
    </reviewItem>
    <reviewItem>
      <errorID>8fd10483-4186-430d-ac8c-3f14f69ba33a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3AAA6E3B</paraID>
      <start>21</start>
      <end>22</end>
      <status>ignored</status>
      <modifiedWord/>
      <trackRevisions>false</trackRevisions>
    </reviewItem>
    <reviewItem>
      <errorID>64499ee6-37bc-46f4-9c6c-397c43791006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52CBC569</paraID>
      <start>0</start>
      <end>2</end>
      <status>ignored</status>
      <modifiedWord/>
      <trackRevisions>false</trackRevisions>
    </reviewItem>
    <reviewItem>
      <errorID>f64106f4-9061-4840-99ee-1c52e74fd38f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3A461DCF</paraID>
      <start>0</start>
      <end>2</end>
      <status>ignored</status>
      <modifiedWord/>
      <trackRevisions>false</trackRevisions>
    </reviewItem>
    <reviewItem>
      <errorID>cdb3acca-5585-4ee1-abbf-7982b9880256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23E44D77</paraID>
      <start>0</start>
      <end>2</end>
      <status>ignored</status>
      <modifiedWord/>
      <trackRevisions>false</trackRevisions>
    </reviewItem>
    <reviewItem>
      <errorID>9479fa34-5dda-45bf-a9e0-6eda9cbfa26f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7EB798BC</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00e9e-30c1-4e05-9c48-d615f2e1009e}">
  <ds:schemaRefs/>
</ds:datastoreItem>
</file>

<file path=docProps/app.xml><?xml version="1.0" encoding="utf-8"?>
<Properties xmlns="http://schemas.openxmlformats.org/officeDocument/2006/extended-properties" xmlns:vt="http://schemas.openxmlformats.org/officeDocument/2006/docPropsVTypes">
  <Pages>14</Pages>
  <Words>5413</Words>
  <Characters>5634</Characters>
  <TotalTime>1</TotalTime>
  <ScaleCrop>false</ScaleCrop>
  <LinksUpToDate>false</LinksUpToDate>
  <CharactersWithSpaces>5717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2024-12-20T10:55:00Z</dcterms:created>
  <dc:creator>微软用户</dc:creator>
  <cp:lastModifiedBy>曾柳苑</cp:lastModifiedBy>
  <dcterms:modified xsi:type="dcterms:W3CDTF">2026-07-01T01:14:33Z</dcterms:modified>
  <dc:title>标准编制说明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2024-12-24T11:02:52Z</vt:filetime>
  </property>
  <property fmtid="{D5CDD505-2E9C-101B-9397-08002B2CF9AE}" pid="4" name="KSOProductBuildVer">
    <vt:lpwstr>2052-12.1.0.26895</vt:lpwstr>
  </property>
  <property fmtid="{D5CDD505-2E9C-101B-9397-08002B2CF9AE}" pid="5" name="ICV">
    <vt:lpwstr>B73CAACA0C934C35A09A4F514609C171_13</vt:lpwstr>
  </property>
  <property fmtid="{D5CDD505-2E9C-101B-9397-08002B2CF9AE}" pid="6" name="KSOTemplateDocerSaveRecord">
    <vt:lpwstr>eyJoZGlkIjoiZmRhODhhZTNiNjRjOGM1ZTZiM2U5NGJhMjNjNDFiNjgiLCJ1c2VySWQiOiIyNjcxMzcyOTQifQ==</vt:lpwstr>
  </property>
</Properties>
</file>