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37CD1C">
      <w:pPr>
        <w:spacing w:before="0" w:after="240"/>
        <w:jc w:val="center"/>
      </w:pPr>
      <w:r>
        <w:rPr>
          <w:rFonts w:ascii="黑体" w:hAnsi="黑体" w:eastAsia="黑体"/>
          <w:b/>
          <w:sz w:val="36"/>
        </w:rPr>
        <w:t>《灸刮技术规范》团体标准</w:t>
      </w:r>
    </w:p>
    <w:p w14:paraId="2C8EEF2B">
      <w:pPr>
        <w:spacing w:before="0" w:after="240"/>
        <w:jc w:val="center"/>
        <w:rPr>
          <w:rFonts w:hint="default" w:ascii="黑体" w:hAnsi="黑体" w:eastAsia="黑体"/>
          <w:b/>
          <w:sz w:val="36"/>
          <w:lang w:val="en-US" w:eastAsia="zh-CN"/>
        </w:rPr>
      </w:pPr>
      <w:r>
        <w:rPr>
          <w:rFonts w:hint="eastAsia" w:ascii="黑体" w:hAnsi="黑体" w:eastAsia="黑体"/>
          <w:b/>
          <w:sz w:val="36"/>
          <w:lang w:val="en-US" w:eastAsia="zh-CN"/>
        </w:rPr>
        <w:t>编制说明</w:t>
      </w:r>
    </w:p>
    <w:p w14:paraId="3F3AE53E">
      <w:pPr>
        <w:kinsoku w:val="0"/>
        <w:autoSpaceDE w:val="0"/>
        <w:autoSpaceDN w:val="0"/>
        <w:adjustRightInd w:val="0"/>
        <w:snapToGrid w:val="0"/>
        <w:spacing w:before="334" w:after="0" w:line="227" w:lineRule="auto"/>
        <w:jc w:val="left"/>
        <w:textAlignment w:val="baseline"/>
        <w:rPr>
          <w:rFonts w:ascii="黑体" w:hAnsi="黑体" w:eastAsia="黑体" w:cs="黑体"/>
          <w:snapToGrid w:val="0"/>
          <w:color w:val="000000"/>
          <w:spacing w:val="7"/>
          <w:kern w:val="0"/>
          <w:sz w:val="31"/>
          <w:szCs w:val="31"/>
        </w:rPr>
      </w:pPr>
      <w:r>
        <w:rPr>
          <w:rFonts w:ascii="黑体" w:hAnsi="黑体" w:eastAsia="黑体" w:cs="黑体"/>
          <w:snapToGrid w:val="0"/>
          <w:color w:val="000000"/>
          <w:spacing w:val="7"/>
          <w:kern w:val="0"/>
          <w:sz w:val="31"/>
          <w:szCs w:val="31"/>
        </w:rPr>
        <w:t>一、标准编制背景及任务来源</w:t>
      </w:r>
    </w:p>
    <w:p w14:paraId="0C4AA6EF">
      <w:pPr>
        <w:kinsoku w:val="0"/>
        <w:autoSpaceDE w:val="0"/>
        <w:autoSpaceDN w:val="0"/>
        <w:adjustRightInd w:val="0"/>
        <w:snapToGrid w:val="0"/>
        <w:spacing w:before="54" w:after="0" w:line="230" w:lineRule="auto"/>
        <w:ind w:left="658"/>
        <w:jc w:val="left"/>
        <w:textAlignment w:val="baseline"/>
        <w:outlineLvl w:val="0"/>
        <w:rPr>
          <w:rFonts w:ascii="楷体" w:hAnsi="楷体" w:eastAsia="楷体" w:cs="楷体"/>
          <w:snapToGrid w:val="0"/>
          <w:color w:val="000000"/>
          <w:spacing w:val="4"/>
          <w:kern w:val="0"/>
          <w:sz w:val="31"/>
          <w:szCs w:val="31"/>
        </w:rPr>
      </w:pPr>
      <w:r>
        <w:rPr>
          <w:rFonts w:ascii="楷体" w:hAnsi="楷体" w:eastAsia="楷体" w:cs="楷体"/>
          <w:snapToGrid w:val="0"/>
          <w:color w:val="000000"/>
          <w:spacing w:val="4"/>
          <w:kern w:val="0"/>
          <w:sz w:val="31"/>
          <w:szCs w:val="31"/>
        </w:rPr>
        <w:t>（一）标准编制背景</w:t>
      </w:r>
    </w:p>
    <w:p w14:paraId="146523CB">
      <w:pPr>
        <w:spacing w:before="0" w:after="0" w:line="360" w:lineRule="auto"/>
        <w:ind w:firstLine="480"/>
        <w:jc w:val="both"/>
      </w:pPr>
      <w:r>
        <w:rPr>
          <w:rFonts w:ascii="宋体" w:hAnsi="宋体" w:eastAsia="宋体"/>
          <w:b w:val="0"/>
          <w:sz w:val="24"/>
        </w:rPr>
        <w:t>随着人口老龄化进程加速、现代生活方式转变及职业劳损等因素叠加，颈肩腰腿痛、各类软组织损伤、慢性疲劳综合征及风寒湿邪所致关节疼痛等健康问题在国内人群中呈高发态势。肌肉骨骼疼痛与慢性软组织损伤已成为影响国民行动能力、生活质量的主要慢性健康问题之一。与此同时，风寒湿邪所致的感冒、胃肠虚寒型不适、痛经、宫寒等常见病多发病也广泛困扰各年龄段人群，中医药外治技术因其"简、便、效、廉"的优势，在基层医疗与健康管理中发挥着不可替代的作用。</w:t>
      </w:r>
    </w:p>
    <w:p w14:paraId="1778E71C">
      <w:pPr>
        <w:spacing w:before="0" w:after="0" w:line="360" w:lineRule="auto"/>
        <w:ind w:firstLine="480"/>
        <w:jc w:val="both"/>
      </w:pPr>
      <w:r>
        <w:rPr>
          <w:rFonts w:ascii="宋体" w:hAnsi="宋体" w:eastAsia="宋体"/>
          <w:b w:val="0"/>
          <w:sz w:val="24"/>
        </w:rPr>
        <w:t>灸刮技术是近年来新兴的一种中医特色外治技术，其以特定方式将艾</w:t>
      </w:r>
      <w:r>
        <w:rPr>
          <w:rFonts w:hint="eastAsia"/>
          <w:b w:val="0"/>
          <w:sz w:val="24"/>
          <w:lang w:val="en-US" w:eastAsia="zh-CN"/>
        </w:rPr>
        <w:t>条</w:t>
      </w:r>
      <w:r>
        <w:rPr>
          <w:rFonts w:ascii="宋体" w:hAnsi="宋体" w:eastAsia="宋体"/>
          <w:b w:val="0"/>
          <w:sz w:val="24"/>
        </w:rPr>
        <w:t>固定在陶瓷、陶土、砭石等制成的罐具之中并点燃，对患处施灸的同时用罐口边缘对患处进行推、揉、拨、刮等手法，实现了刮痧、艾灸、推拿的协同增效作用。它同时具有艾灸的热力和药理作用，以及刮痧、推拿疗法的驱风散寒、舒筋通络等功效。燃烧艾条透热于皮肤，从而升发人体经络之阳气，同时还能以热引邪；再利用刮痧、推拿的机械力量和通经作用，推动气血在经脉中运行，起到疏通经络、祛寒除湿的目的。与传统单纯艾灸或刮痧、推拿相较，灸刮技术提高了患者的舒适度，减少治疗中的疼痛感及患者心理恐惧感，更易被患者所接受，有"简、便、效、廉"等优势。近年来，随着中医药特色疗法的创新传承，灸刮技术在国内的临床应用与研究日趋活跃，已广泛进入各级中医医院临床体系，在医疗机构和家庭保健中均能广泛推广和使用。</w:t>
      </w:r>
    </w:p>
    <w:p w14:paraId="6CD9E86A">
      <w:pPr>
        <w:spacing w:before="0" w:after="0" w:line="360" w:lineRule="auto"/>
        <w:ind w:firstLine="480"/>
        <w:jc w:val="both"/>
      </w:pPr>
      <w:r>
        <w:rPr>
          <w:rFonts w:ascii="宋体" w:hAnsi="宋体" w:eastAsia="宋体"/>
          <w:b w:val="0"/>
          <w:sz w:val="24"/>
        </w:rPr>
        <w:t>当前灸刮技术临床研究日趋活跃，多项临床研究显示，灸刮技术在颈肩腰腿痛、失眠、强直性脊柱炎、腰背肌筋膜炎、腰椎间盘突出症等疾病治疗中具有确切疗效，临床应用前景广阔。</w:t>
      </w:r>
    </w:p>
    <w:p w14:paraId="5C51B71B">
      <w:pPr>
        <w:spacing w:before="0" w:after="0" w:line="360" w:lineRule="auto"/>
        <w:ind w:firstLine="480"/>
        <w:jc w:val="both"/>
      </w:pPr>
      <w:r>
        <w:rPr>
          <w:rFonts w:ascii="宋体" w:hAnsi="宋体" w:eastAsia="宋体"/>
          <w:b w:val="0"/>
          <w:sz w:val="24"/>
        </w:rPr>
        <w:t>伴随灸刮技术兴起与发展，灸刮器具的创新亦百花齐放，以适应不同部位与疾病需求。然而</w:t>
      </w:r>
      <w:r>
        <w:rPr>
          <w:rFonts w:hint="eastAsia"/>
          <w:b w:val="0"/>
          <w:sz w:val="24"/>
          <w:lang w:eastAsia="zh-CN"/>
        </w:rPr>
        <w:t>，</w:t>
      </w:r>
      <w:r>
        <w:rPr>
          <w:rFonts w:ascii="宋体" w:hAnsi="宋体" w:eastAsia="宋体"/>
          <w:b w:val="0"/>
          <w:sz w:val="24"/>
        </w:rPr>
        <w:t>行业快速发展的同时，标准化体系缺失的短板日益凸显：全国无统一的灸刮技术操作流程规范</w:t>
      </w:r>
      <w:r>
        <w:rPr>
          <w:rFonts w:hint="eastAsia"/>
          <w:b w:val="0"/>
          <w:sz w:val="24"/>
          <w:lang w:eastAsia="zh-CN"/>
        </w:rPr>
        <w:t>；</w:t>
      </w:r>
      <w:r>
        <w:rPr>
          <w:rFonts w:ascii="宋体" w:hAnsi="宋体" w:eastAsia="宋体"/>
          <w:b w:val="0"/>
          <w:sz w:val="24"/>
        </w:rPr>
        <w:t>缺乏统一质控标准严重制约技术安全落地、规模化推广与学术传承，行业可持续发展遭遇明显瓶颈。</w:t>
      </w:r>
    </w:p>
    <w:p w14:paraId="77CBD4F1">
      <w:pPr>
        <w:spacing w:before="0" w:after="0" w:line="360" w:lineRule="auto"/>
        <w:ind w:firstLine="480"/>
        <w:jc w:val="both"/>
      </w:pPr>
      <w:r>
        <w:rPr>
          <w:rFonts w:ascii="宋体" w:hAnsi="宋体" w:eastAsia="宋体"/>
          <w:b w:val="0"/>
          <w:sz w:val="24"/>
        </w:rPr>
        <w:t>国家持续推进中医药传承创新与中医适宜技术规范化建设。国家中医药管理局于2024年6月印发《中医药标准化行动计划（2024—2026年）》，明确提出要加快特色中医外治技术标准制修订，完善操作规范、安全管控、疗效评价完整体系，推动中医适宜技术安全同质下沉基层医疗机构。《"十四五"中医药发展规划》同步要求，建立特色中医技术统一管理、培训、质控机制，提升基层中医诊疗服务规范化水平。落实健康中国战略，全方位、全周期管理群众肌肉骨骼健康，打通中医药外治规范化诊疗服务链条，补齐特色中医外治标准空白、完善专业人才培训评价体系，制定《灸刮技术规范》团体标准具备极强现实必要性与政策支撑。</w:t>
      </w:r>
    </w:p>
    <w:p w14:paraId="3DEA0376">
      <w:pPr>
        <w:spacing w:before="0" w:after="0" w:line="360" w:lineRule="auto"/>
        <w:ind w:firstLine="480"/>
        <w:jc w:val="both"/>
      </w:pPr>
      <w:r>
        <w:rPr>
          <w:rFonts w:ascii="宋体" w:hAnsi="宋体" w:eastAsia="宋体"/>
          <w:b w:val="0"/>
          <w:sz w:val="24"/>
        </w:rPr>
        <w:t>党的十九大、二十大报告持续深化"健康中国"建设部署，将中医药特色适宜技术、慢性病疼痛管理纳入全民健康保障核心板块。软组织损伤及风寒湿邪所致各类疼痛不适作为全民高发慢性健康问题，规范化中医外治干预是降低慢病致残、减少药物依赖、减轻医保负担的关键抓手。灸刮技术作为融合艾灸、刮痧、推拿三种传统中医疗法优势的中医特色外治技术，是完善中医药外治分级诊疗体系的重要载体，而标准化体系搭建、专业人才规范化培养，是该技术长效、合规推广的根本支撑。在国内中医药适宜技术进入规范化、标准化发展关键阶段的当下，统一灸刮技术全流程操作标准、明确安全操作边界、建立标准化疗效评价体系，以此规范临床操作、统一人才培训考核、降低医疗安全隐患，全方位提升国内中医药外治服务质量，切实保障群众就医安全与健康权益，出台本团体标准势在必行。</w:t>
      </w:r>
    </w:p>
    <w:p w14:paraId="5B6279B5">
      <w:pPr>
        <w:spacing w:before="0" w:after="0" w:line="360" w:lineRule="auto"/>
        <w:ind w:firstLine="480"/>
        <w:jc w:val="both"/>
      </w:pPr>
      <w:r>
        <w:rPr>
          <w:rFonts w:ascii="宋体" w:hAnsi="宋体" w:eastAsia="宋体"/>
          <w:b w:val="0"/>
          <w:sz w:val="24"/>
        </w:rPr>
        <w:t>灸刮技术作为融合传统艾灸、刮痧、推拿疗法的创新型中医外治技术，在各级医疗机构康复、疼痛、中医护理板块应用规模持续扩大，群众健康需求、国家中医药标准化政策导向、行业规范化发展诉求三方高度契合。当前行业缺乏统一操作、器械、安全、评价标准，从业人员培训无统一依据，技术传承无标准化文本支撑，不利于技术高质量、可持续发展。因此，依托多家三甲中医院联合牵头起草《灸刮技术规范》团体标准，统一全流程技术要求、安全管理细则、疗效评估规则，搭建标准化人才实操培训依据，对规范行业服务、传承特色中医技术、完善国民中医药健康管理体系具有重要意义。</w:t>
      </w:r>
    </w:p>
    <w:p w14:paraId="22552860">
      <w:pPr>
        <w:kinsoku w:val="0"/>
        <w:autoSpaceDE w:val="0"/>
        <w:autoSpaceDN w:val="0"/>
        <w:adjustRightInd w:val="0"/>
        <w:snapToGrid w:val="0"/>
        <w:spacing w:before="54" w:after="0" w:line="230" w:lineRule="auto"/>
        <w:ind w:left="658"/>
        <w:jc w:val="left"/>
        <w:textAlignment w:val="baseline"/>
        <w:outlineLvl w:val="0"/>
        <w:rPr>
          <w:rFonts w:ascii="楷体" w:hAnsi="楷体" w:eastAsia="楷体" w:cs="楷体"/>
          <w:snapToGrid w:val="0"/>
          <w:color w:val="000000"/>
          <w:spacing w:val="4"/>
          <w:kern w:val="0"/>
          <w:sz w:val="31"/>
          <w:szCs w:val="31"/>
        </w:rPr>
      </w:pPr>
      <w:r>
        <w:rPr>
          <w:rFonts w:ascii="楷体" w:hAnsi="楷体" w:eastAsia="楷体" w:cs="楷体"/>
          <w:snapToGrid w:val="0"/>
          <w:color w:val="000000"/>
          <w:spacing w:val="4"/>
          <w:kern w:val="0"/>
          <w:sz w:val="31"/>
          <w:szCs w:val="31"/>
        </w:rPr>
        <w:t>（二）任务来源</w:t>
      </w:r>
    </w:p>
    <w:p w14:paraId="347D8D5A">
      <w:pPr>
        <w:spacing w:before="0" w:after="0" w:line="360" w:lineRule="auto"/>
        <w:ind w:firstLine="480"/>
        <w:jc w:val="both"/>
      </w:pPr>
      <w:r>
        <w:rPr>
          <w:rFonts w:ascii="宋体" w:hAnsi="宋体" w:eastAsia="宋体"/>
          <w:b w:val="0"/>
          <w:sz w:val="24"/>
        </w:rPr>
        <w:t>中国民族卫生协会是经原卫生部（现国家卫生健康委员会）、国家民族事务委员会、民政部审核同意并报国务院批准成立的国家一级非营利性行业社会团体，2005年5月18日正式成立，社会组织评估等级为AAAA级，国家卫生健康委员会为其业务主管单位。协会严格遵守宪法、法律法规，贯彻落实党和国家民族卫生、中医药发展相关政策，以团结整合行业资源、开展国内外学术交流协作、推动民族地区卫生事业提质升级、传承弘扬中华传统医药、助力民族医药产业规范化发展、保障各族群众全民健康为核心宗旨，具备中医适宜技术、民族医药类团体标准立项、发布、宣贯完整资质。</w:t>
      </w:r>
    </w:p>
    <w:p w14:paraId="13E50C46">
      <w:pPr>
        <w:spacing w:before="0" w:after="0" w:line="360" w:lineRule="auto"/>
        <w:ind w:firstLine="480"/>
        <w:jc w:val="both"/>
      </w:pPr>
      <w:r>
        <w:rPr>
          <w:rFonts w:ascii="宋体" w:hAnsi="宋体" w:eastAsia="宋体"/>
          <w:b w:val="0"/>
          <w:sz w:val="24"/>
        </w:rPr>
        <w:t>为深入贯彻《中医药标准化行动计划（2024—2026年）》《"十四五"中医药发展规划》要求，落实健康中国战略，统一灸刮技术临床操作规范、补齐中医外治技术标准空白，规范中医药外治诊疗服务、降低临床操作安全风险，推动灸刮技术安全、同质、高质量下沉各级医疗机构；依据《中国民族卫生协会团体标准管理办法（试行）》相关规定，本标准由广州中医药大学第二附属医院（广东省中医院）提出立项申请，经中国民族卫生协会标准化工作委员会组织专家评审、研究论证，正式批准《灸刮技术规范》团体标准制定项目立项，标准编号T/CNHAW-B-0013-2026。</w:t>
      </w:r>
    </w:p>
    <w:p w14:paraId="25436079">
      <w:pPr>
        <w:spacing w:before="0" w:after="0" w:line="360" w:lineRule="auto"/>
        <w:ind w:firstLine="480"/>
        <w:jc w:val="both"/>
      </w:pPr>
      <w:r>
        <w:rPr>
          <w:rFonts w:ascii="宋体" w:hAnsi="宋体" w:eastAsia="宋体"/>
          <w:b w:val="0"/>
          <w:sz w:val="24"/>
        </w:rPr>
        <w:t>为保障标准编制内容科学严谨、贴合临床实操、具备行业普适性，确保编制质量与落地实施效果，本标准以广东省中医院为主编单位，联合黔西南州人民医院、南方医科大学第三附属医院、中山大学第一附属医院、广州市中医院、广州医科大学附属第二医院、佛山市中医院、中山陈星海医院、佛山市顺德区乐从医院、黑龙江中医药大学附属第三医院等多家单位共同组建起草工作组，协同完成标准全流程起草、调研、论证与编制工作。</w:t>
      </w:r>
    </w:p>
    <w:p w14:paraId="3A3B30C5">
      <w:pPr>
        <w:kinsoku w:val="0"/>
        <w:autoSpaceDE w:val="0"/>
        <w:autoSpaceDN w:val="0"/>
        <w:adjustRightInd w:val="0"/>
        <w:snapToGrid w:val="0"/>
        <w:spacing w:before="334" w:after="0" w:line="227" w:lineRule="auto"/>
        <w:jc w:val="left"/>
        <w:textAlignment w:val="baseline"/>
        <w:rPr>
          <w:rFonts w:ascii="黑体" w:hAnsi="黑体" w:eastAsia="黑体" w:cs="黑体"/>
          <w:snapToGrid w:val="0"/>
          <w:color w:val="000000"/>
          <w:spacing w:val="7"/>
          <w:kern w:val="0"/>
          <w:sz w:val="31"/>
          <w:szCs w:val="31"/>
        </w:rPr>
      </w:pPr>
      <w:r>
        <w:rPr>
          <w:rFonts w:ascii="黑体" w:hAnsi="黑体" w:eastAsia="黑体" w:cs="黑体"/>
          <w:snapToGrid w:val="0"/>
          <w:color w:val="000000"/>
          <w:spacing w:val="7"/>
          <w:kern w:val="0"/>
          <w:sz w:val="31"/>
          <w:szCs w:val="31"/>
        </w:rPr>
        <w:t>二、主要工作过程</w:t>
      </w:r>
    </w:p>
    <w:p w14:paraId="71499B54">
      <w:pPr>
        <w:numPr>
          <w:ilvl w:val="0"/>
          <w:numId w:val="7"/>
        </w:numPr>
        <w:kinsoku w:val="0"/>
        <w:autoSpaceDE w:val="0"/>
        <w:autoSpaceDN w:val="0"/>
        <w:adjustRightInd w:val="0"/>
        <w:snapToGrid w:val="0"/>
        <w:spacing w:before="182" w:after="0" w:line="327" w:lineRule="auto"/>
        <w:ind w:left="-176" w:leftChars="0" w:right="110" w:rightChars="0" w:firstLine="656" w:firstLineChars="0"/>
        <w:jc w:val="both"/>
        <w:textAlignment w:val="baseline"/>
        <w:rPr>
          <w:rFonts w:hint="eastAsia" w:ascii="楷体" w:hAnsi="楷体" w:eastAsia="楷体" w:cs="楷体"/>
          <w:snapToGrid w:val="0"/>
          <w:color w:val="000000"/>
          <w:spacing w:val="6"/>
          <w:kern w:val="0"/>
          <w:sz w:val="31"/>
          <w:szCs w:val="31"/>
          <w:lang w:val="en-US" w:eastAsia="en-US" w:bidi="ar-SA"/>
        </w:rPr>
      </w:pPr>
      <w:r>
        <w:rPr>
          <w:rFonts w:hint="eastAsia" w:ascii="楷体" w:hAnsi="楷体" w:eastAsia="楷体" w:cs="楷体"/>
          <w:snapToGrid w:val="0"/>
          <w:color w:val="000000"/>
          <w:spacing w:val="6"/>
          <w:kern w:val="0"/>
          <w:sz w:val="31"/>
          <w:szCs w:val="31"/>
          <w:lang w:val="en-US" w:eastAsia="en-US" w:bidi="ar-SA"/>
        </w:rPr>
        <w:t xml:space="preserve">预研申报阶段（2025年8月～2026年2月） </w:t>
      </w:r>
    </w:p>
    <w:p w14:paraId="7717AC8C">
      <w:pPr>
        <w:spacing w:before="0" w:after="0" w:line="360" w:lineRule="auto"/>
        <w:ind w:firstLine="480"/>
        <w:jc w:val="both"/>
      </w:pPr>
      <w:r>
        <w:rPr>
          <w:rFonts w:ascii="宋体" w:hAnsi="宋体" w:eastAsia="宋体"/>
          <w:b w:val="0"/>
          <w:sz w:val="24"/>
        </w:rPr>
        <w:t>为统一灸刮技术临床操作、补齐中医外治标准化空白，广东省中医院牵头，联合黔西南州人民医院、南方医科大学第三附属医院、中山大学第一附属医院、广州市中医院、广州医科大学附属第二医院、佛山市中医院、中山陈星海医院、佛山市顺德区乐从医院、黑龙江中医药大学附属第三医院等多家三甲中医医院、中西医结合医院、基层医疗机构组建专项筹备团队。</w:t>
      </w:r>
    </w:p>
    <w:p w14:paraId="231AD229">
      <w:pPr>
        <w:spacing w:before="0" w:after="0" w:line="360" w:lineRule="auto"/>
        <w:ind w:firstLine="480"/>
        <w:jc w:val="both"/>
        <w:rPr>
          <w:rFonts w:ascii="宋体" w:hAnsi="宋体" w:eastAsia="宋体"/>
          <w:b w:val="0"/>
          <w:sz w:val="24"/>
        </w:rPr>
      </w:pPr>
      <w:r>
        <w:rPr>
          <w:rFonts w:ascii="宋体" w:hAnsi="宋体" w:eastAsia="宋体"/>
          <w:b w:val="0"/>
          <w:sz w:val="24"/>
        </w:rPr>
        <w:t>2025年8月正式启动标准预研工作，同步开展立项材料编制、行业临床调研、文献资料汇总、多中心临床案例收集，梳理操作乱象、安全风险、疗效评价不统一等核心问题。筹备团队系统梳理了灸刮技术相关文献资料，完成了《灸刮技术规范》团体标准立项申报材料并提交中国民族卫生协会标准化工作委员会。筹备团队召开首次全体筹备会议，共同研讨标准整体研究规划、分阶段实施推进方案，明确各参编单位分工、临床调研范围、技术资料梳理任务。</w:t>
      </w:r>
    </w:p>
    <w:p w14:paraId="24BB2CF6">
      <w:pPr>
        <w:spacing w:before="0" w:after="0" w:line="360" w:lineRule="auto"/>
        <w:jc w:val="both"/>
        <w:rPr>
          <w:rFonts w:hint="eastAsia" w:ascii="宋体" w:hAnsi="宋体" w:eastAsia="宋体"/>
          <w:b w:val="0"/>
          <w:sz w:val="24"/>
          <w:lang w:eastAsia="zh-CN"/>
        </w:rPr>
      </w:pPr>
      <w:r>
        <w:rPr>
          <w:rFonts w:hint="eastAsia" w:ascii="宋体" w:hAnsi="宋体" w:eastAsia="宋体"/>
          <w:b w:val="0"/>
          <w:sz w:val="24"/>
          <w:lang w:eastAsia="zh-CN"/>
        </w:rPr>
        <w:drawing>
          <wp:inline distT="0" distB="0" distL="114300" distR="114300">
            <wp:extent cx="5187315" cy="2764790"/>
            <wp:effectExtent l="0" t="0" r="13335" b="16510"/>
            <wp:docPr id="1" name="图片 1" descr="04ce5d201052c2e293649b61e6ec7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4ce5d201052c2e293649b61e6ec7361"/>
                    <pic:cNvPicPr>
                      <a:picLocks noChangeAspect="1"/>
                    </pic:cNvPicPr>
                  </pic:nvPicPr>
                  <pic:blipFill>
                    <a:blip r:embed="rId7"/>
                    <a:srcRect t="3201" r="1720" b="14337"/>
                    <a:stretch>
                      <a:fillRect/>
                    </a:stretch>
                  </pic:blipFill>
                  <pic:spPr>
                    <a:xfrm>
                      <a:off x="0" y="0"/>
                      <a:ext cx="5187315" cy="2764790"/>
                    </a:xfrm>
                    <a:prstGeom prst="rect">
                      <a:avLst/>
                    </a:prstGeom>
                  </pic:spPr>
                </pic:pic>
              </a:graphicData>
            </a:graphic>
          </wp:inline>
        </w:drawing>
      </w:r>
    </w:p>
    <w:p w14:paraId="0647466E">
      <w:pPr>
        <w:numPr>
          <w:ilvl w:val="0"/>
          <w:numId w:val="7"/>
        </w:numPr>
        <w:kinsoku w:val="0"/>
        <w:autoSpaceDE w:val="0"/>
        <w:autoSpaceDN w:val="0"/>
        <w:adjustRightInd w:val="0"/>
        <w:snapToGrid w:val="0"/>
        <w:spacing w:before="182" w:after="0" w:line="327" w:lineRule="auto"/>
        <w:ind w:left="-176" w:leftChars="0" w:right="110" w:rightChars="0" w:firstLine="656" w:firstLineChars="0"/>
        <w:jc w:val="both"/>
        <w:textAlignment w:val="baseline"/>
        <w:rPr>
          <w:rFonts w:hint="eastAsia" w:ascii="楷体" w:hAnsi="楷体" w:eastAsia="楷体" w:cs="楷体"/>
          <w:snapToGrid w:val="0"/>
          <w:color w:val="000000"/>
          <w:spacing w:val="6"/>
          <w:kern w:val="0"/>
          <w:sz w:val="31"/>
          <w:szCs w:val="31"/>
          <w:lang w:val="en-US" w:eastAsia="en-US" w:bidi="ar-SA"/>
        </w:rPr>
      </w:pPr>
      <w:r>
        <w:rPr>
          <w:rFonts w:hint="eastAsia" w:ascii="楷体" w:hAnsi="楷体" w:eastAsia="楷体" w:cs="楷体"/>
          <w:snapToGrid w:val="0"/>
          <w:color w:val="000000"/>
          <w:spacing w:val="6"/>
          <w:kern w:val="0"/>
          <w:sz w:val="31"/>
          <w:szCs w:val="31"/>
          <w:lang w:val="en-US" w:eastAsia="en-US" w:bidi="ar-SA"/>
        </w:rPr>
        <w:t xml:space="preserve">立项批复与起草组建阶段（2026年3月） </w:t>
      </w:r>
    </w:p>
    <w:p w14:paraId="65D8E975">
      <w:pPr>
        <w:spacing w:before="0" w:after="0" w:line="360" w:lineRule="auto"/>
        <w:ind w:firstLine="480"/>
        <w:jc w:val="both"/>
      </w:pPr>
      <w:r>
        <w:rPr>
          <w:rFonts w:ascii="宋体" w:hAnsi="宋体" w:eastAsia="宋体"/>
          <w:b w:val="0"/>
          <w:sz w:val="24"/>
        </w:rPr>
        <w:t>2026年3月，中国民族卫生协会标准化工作委员会完成申报材料专家评审，正式下发本标准立项通知，标准编号T/CNHAW-B-0013-2026。</w:t>
      </w:r>
    </w:p>
    <w:p w14:paraId="45BB6DB2">
      <w:pPr>
        <w:spacing w:before="0" w:after="0" w:line="360" w:lineRule="auto"/>
        <w:ind w:firstLine="480"/>
        <w:jc w:val="both"/>
        <w:rPr>
          <w:rFonts w:ascii="宋体" w:hAnsi="宋体" w:eastAsia="宋体"/>
          <w:b w:val="0"/>
          <w:sz w:val="24"/>
        </w:rPr>
      </w:pPr>
      <w:r>
        <w:rPr>
          <w:rFonts w:ascii="宋体" w:hAnsi="宋体" w:eastAsia="宋体"/>
          <w:b w:val="0"/>
          <w:sz w:val="24"/>
        </w:rPr>
        <w:t>收到立项批复后，全部参编单位正式成立标准起草工作组，确定主起草人</w:t>
      </w:r>
      <w:r>
        <w:rPr>
          <w:rFonts w:hint="eastAsia"/>
          <w:b w:val="0"/>
          <w:sz w:val="24"/>
          <w:lang w:eastAsia="zh-CN"/>
        </w:rPr>
        <w:t>、</w:t>
      </w:r>
      <w:r>
        <w:rPr>
          <w:rFonts w:ascii="宋体" w:hAnsi="宋体" w:eastAsia="宋体"/>
          <w:b w:val="0"/>
          <w:sz w:val="24"/>
        </w:rPr>
        <w:t>参与起草人团队</w:t>
      </w:r>
      <w:r>
        <w:rPr>
          <w:rFonts w:hint="eastAsia"/>
          <w:b w:val="0"/>
          <w:sz w:val="24"/>
          <w:lang w:val="en-US" w:eastAsia="zh-CN"/>
        </w:rPr>
        <w:t>及分模块负责人</w:t>
      </w:r>
      <w:r>
        <w:rPr>
          <w:rFonts w:ascii="宋体" w:hAnsi="宋体" w:eastAsia="宋体"/>
          <w:b w:val="0"/>
          <w:sz w:val="24"/>
        </w:rPr>
        <w:t>，划分临床操作、器械管理、安全风险、疗效评估四大专项小组，启动标准框架搭建与初稿撰写工作。</w:t>
      </w:r>
    </w:p>
    <w:p w14:paraId="31AE4B4F">
      <w:pPr>
        <w:spacing w:before="0" w:after="0" w:line="360" w:lineRule="auto"/>
        <w:ind w:firstLine="480"/>
        <w:jc w:val="both"/>
        <w:rPr>
          <w:rFonts w:hint="eastAsia" w:ascii="宋体" w:hAnsi="宋体" w:eastAsia="宋体"/>
          <w:b w:val="0"/>
          <w:sz w:val="24"/>
          <w:lang w:eastAsia="zh-CN"/>
        </w:rPr>
      </w:pPr>
      <w:r>
        <w:rPr>
          <w:rFonts w:hint="eastAsia" w:ascii="宋体" w:hAnsi="宋体" w:eastAsia="宋体"/>
          <w:b w:val="0"/>
          <w:sz w:val="24"/>
          <w:lang w:eastAsia="zh-CN"/>
        </w:rPr>
        <w:drawing>
          <wp:inline distT="0" distB="0" distL="114300" distR="114300">
            <wp:extent cx="5266055" cy="3254375"/>
            <wp:effectExtent l="0" t="0" r="10795" b="3175"/>
            <wp:docPr id="2" name="图片 2" descr="a3c6fd5d8151b223ef4d6583c1cb1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a3c6fd5d8151b223ef4d6583c1cb1720"/>
                    <pic:cNvPicPr>
                      <a:picLocks noChangeAspect="1"/>
                    </pic:cNvPicPr>
                  </pic:nvPicPr>
                  <pic:blipFill>
                    <a:blip r:embed="rId8"/>
                    <a:stretch>
                      <a:fillRect/>
                    </a:stretch>
                  </pic:blipFill>
                  <pic:spPr>
                    <a:xfrm>
                      <a:off x="0" y="0"/>
                      <a:ext cx="5266055" cy="3254375"/>
                    </a:xfrm>
                    <a:prstGeom prst="rect">
                      <a:avLst/>
                    </a:prstGeom>
                  </pic:spPr>
                </pic:pic>
              </a:graphicData>
            </a:graphic>
          </wp:inline>
        </w:drawing>
      </w:r>
    </w:p>
    <w:p w14:paraId="6D6DCC7A">
      <w:pPr>
        <w:spacing w:before="0" w:after="0" w:line="360" w:lineRule="auto"/>
        <w:ind w:firstLine="480"/>
        <w:jc w:val="both"/>
        <w:rPr>
          <w:rFonts w:hint="eastAsia" w:ascii="宋体" w:hAnsi="宋体" w:eastAsia="宋体"/>
          <w:b w:val="0"/>
          <w:sz w:val="24"/>
          <w:lang w:eastAsia="zh-CN"/>
        </w:rPr>
      </w:pPr>
      <w:r>
        <w:rPr>
          <w:rFonts w:hint="eastAsia" w:ascii="宋体" w:hAnsi="宋体" w:eastAsia="宋体"/>
          <w:b w:val="0"/>
          <w:sz w:val="24"/>
          <w:lang w:eastAsia="zh-CN"/>
        </w:rPr>
        <w:drawing>
          <wp:inline distT="0" distB="0" distL="114300" distR="114300">
            <wp:extent cx="5259070" cy="2938145"/>
            <wp:effectExtent l="0" t="0" r="17780" b="14605"/>
            <wp:docPr id="3" name="图片 3" descr="6bd7c5d313f04befa88db6c34fdaf9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6bd7c5d313f04befa88db6c34fdaf96c"/>
                    <pic:cNvPicPr>
                      <a:picLocks noChangeAspect="1"/>
                    </pic:cNvPicPr>
                  </pic:nvPicPr>
                  <pic:blipFill>
                    <a:blip r:embed="rId9"/>
                    <a:stretch>
                      <a:fillRect/>
                    </a:stretch>
                  </pic:blipFill>
                  <pic:spPr>
                    <a:xfrm>
                      <a:off x="0" y="0"/>
                      <a:ext cx="5259070" cy="2938145"/>
                    </a:xfrm>
                    <a:prstGeom prst="rect">
                      <a:avLst/>
                    </a:prstGeom>
                  </pic:spPr>
                </pic:pic>
              </a:graphicData>
            </a:graphic>
          </wp:inline>
        </w:drawing>
      </w:r>
    </w:p>
    <w:p w14:paraId="063EC67A">
      <w:pPr>
        <w:numPr>
          <w:ilvl w:val="0"/>
          <w:numId w:val="7"/>
        </w:numPr>
        <w:kinsoku w:val="0"/>
        <w:autoSpaceDE w:val="0"/>
        <w:autoSpaceDN w:val="0"/>
        <w:adjustRightInd w:val="0"/>
        <w:snapToGrid w:val="0"/>
        <w:spacing w:before="182" w:after="0" w:line="327" w:lineRule="auto"/>
        <w:ind w:left="-176" w:leftChars="0" w:right="110" w:rightChars="0" w:firstLine="656" w:firstLineChars="0"/>
        <w:jc w:val="both"/>
        <w:textAlignment w:val="baseline"/>
        <w:rPr>
          <w:rFonts w:hint="eastAsia" w:ascii="仿宋" w:hAnsi="仿宋" w:eastAsia="仿宋" w:cs="仿宋"/>
          <w:snapToGrid w:val="0"/>
          <w:color w:val="000000"/>
          <w:spacing w:val="6"/>
          <w:kern w:val="0"/>
          <w:sz w:val="31"/>
          <w:szCs w:val="31"/>
          <w:lang w:val="en-US" w:eastAsia="en-US" w:bidi="ar-SA"/>
        </w:rPr>
      </w:pPr>
      <w:r>
        <w:rPr>
          <w:rFonts w:hint="eastAsia" w:ascii="楷体" w:hAnsi="楷体" w:eastAsia="楷体" w:cs="楷体"/>
          <w:snapToGrid w:val="0"/>
          <w:color w:val="000000"/>
          <w:spacing w:val="6"/>
          <w:kern w:val="0"/>
          <w:sz w:val="31"/>
          <w:szCs w:val="31"/>
          <w:lang w:val="en-US" w:eastAsia="en-US" w:bidi="ar-SA"/>
        </w:rPr>
        <w:t>框架搭建与初稿编制阶段（2026年3月下旬～2026年4月）</w:t>
      </w:r>
      <w:r>
        <w:rPr>
          <w:rFonts w:hint="eastAsia" w:ascii="仿宋" w:hAnsi="仿宋" w:eastAsia="仿宋" w:cs="仿宋"/>
          <w:snapToGrid w:val="0"/>
          <w:color w:val="000000"/>
          <w:spacing w:val="6"/>
          <w:kern w:val="0"/>
          <w:sz w:val="31"/>
          <w:szCs w:val="31"/>
          <w:lang w:val="en-US" w:eastAsia="en-US" w:bidi="ar-SA"/>
        </w:rPr>
        <w:t xml:space="preserve"> </w:t>
      </w:r>
    </w:p>
    <w:p w14:paraId="4F06EB4A">
      <w:pPr>
        <w:spacing w:before="0" w:after="0" w:line="360" w:lineRule="auto"/>
        <w:ind w:firstLine="480"/>
        <w:jc w:val="both"/>
      </w:pPr>
      <w:r>
        <w:rPr>
          <w:rFonts w:ascii="宋体" w:hAnsi="宋体" w:eastAsia="宋体"/>
          <w:b w:val="0"/>
          <w:sz w:val="24"/>
        </w:rPr>
        <w:t>2026年3月下旬—2026年4月，起草小组结合前期预研调研数据、中医经筋理论、经络腧穴理论、医院院感相关国标，初步拟定标准基础框架，初始设置6大主体章节：范围、规范性引用文件、术语和定义、操作前基本要求、操作流程与要求、质量控制。</w:t>
      </w:r>
    </w:p>
    <w:p w14:paraId="7AB59BA3">
      <w:pPr>
        <w:spacing w:before="0" w:after="0" w:line="360" w:lineRule="auto"/>
        <w:ind w:firstLine="480"/>
        <w:jc w:val="both"/>
        <w:rPr>
          <w:rFonts w:ascii="宋体" w:hAnsi="宋体" w:eastAsia="宋体"/>
          <w:b w:val="0"/>
          <w:sz w:val="24"/>
        </w:rPr>
      </w:pPr>
      <w:r>
        <w:rPr>
          <w:rFonts w:ascii="宋体" w:hAnsi="宋体" w:eastAsia="宋体"/>
          <w:b w:val="0"/>
          <w:sz w:val="24"/>
        </w:rPr>
        <w:t>4月下旬，起草组核心专家联合中国民族卫生协会标委会专家开展框架论证评审会，结合中医适宜技术团体标准编制规范、全国各级医疗机构落地需求，对原有框架进行优化扩充，新增适应证、禁忌证独立章节，增设操作前评估与准备、治疗记录、注意事项等独立条款，增设规范性、资料性配套附录板块（附录A灸刮技术常用施术部位与适应症参考、附录B灸刮技术常见意外的预防与处理、附录C灸刮技术器具的清洗与消毒保养方法），最终确定标准8大核心章节：范围、规范性引用文件、术语和定义、操作前基本要求、适应证、禁忌证、操作流程与要求、质量控制。起草小组依据标委会专家意见分模块修改完善，补充操作量化时长、差异化人群操作细则、器械消毒保养流程，完成标准内部初稿。</w:t>
      </w:r>
    </w:p>
    <w:p w14:paraId="2C1A8ADA">
      <w:pPr>
        <w:spacing w:before="0" w:after="0" w:line="360" w:lineRule="auto"/>
        <w:ind w:firstLine="480"/>
        <w:jc w:val="both"/>
        <w:rPr>
          <w:rFonts w:hint="eastAsia" w:ascii="宋体" w:hAnsi="宋体" w:eastAsia="宋体"/>
          <w:b w:val="0"/>
          <w:sz w:val="24"/>
          <w:lang w:eastAsia="zh-CN"/>
        </w:rPr>
      </w:pPr>
    </w:p>
    <w:p w14:paraId="05F06291">
      <w:pPr>
        <w:spacing w:before="0" w:after="0" w:line="360" w:lineRule="auto"/>
        <w:ind w:firstLine="480"/>
        <w:jc w:val="both"/>
        <w:rPr>
          <w:rFonts w:hint="eastAsia" w:ascii="宋体" w:hAnsi="宋体" w:eastAsia="宋体"/>
          <w:b w:val="0"/>
          <w:sz w:val="24"/>
          <w:lang w:eastAsia="zh-CN"/>
        </w:rPr>
      </w:pPr>
      <w:r>
        <w:rPr>
          <w:rFonts w:hint="eastAsia" w:ascii="宋体" w:hAnsi="宋体" w:eastAsia="宋体"/>
          <w:b w:val="0"/>
          <w:sz w:val="24"/>
          <w:lang w:eastAsia="zh-CN"/>
        </w:rPr>
        <w:drawing>
          <wp:inline distT="0" distB="0" distL="114300" distR="114300">
            <wp:extent cx="5269230" cy="3715385"/>
            <wp:effectExtent l="0" t="0" r="7620" b="18415"/>
            <wp:docPr id="5" name="图片 5" descr="7bb097c5300f61e5f67014c18cc2c9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7bb097c5300f61e5f67014c18cc2c97b"/>
                    <pic:cNvPicPr>
                      <a:picLocks noChangeAspect="1"/>
                    </pic:cNvPicPr>
                  </pic:nvPicPr>
                  <pic:blipFill>
                    <a:blip r:embed="rId10"/>
                    <a:stretch>
                      <a:fillRect/>
                    </a:stretch>
                  </pic:blipFill>
                  <pic:spPr>
                    <a:xfrm>
                      <a:off x="0" y="0"/>
                      <a:ext cx="5269230" cy="3715385"/>
                    </a:xfrm>
                    <a:prstGeom prst="rect">
                      <a:avLst/>
                    </a:prstGeom>
                  </pic:spPr>
                </pic:pic>
              </a:graphicData>
            </a:graphic>
          </wp:inline>
        </w:drawing>
      </w:r>
    </w:p>
    <w:p w14:paraId="6B3C6223">
      <w:pPr>
        <w:numPr>
          <w:ilvl w:val="0"/>
          <w:numId w:val="7"/>
        </w:numPr>
        <w:kinsoku w:val="0"/>
        <w:autoSpaceDE w:val="0"/>
        <w:autoSpaceDN w:val="0"/>
        <w:adjustRightInd w:val="0"/>
        <w:snapToGrid w:val="0"/>
        <w:spacing w:before="182" w:line="327" w:lineRule="auto"/>
        <w:ind w:left="-176" w:leftChars="0" w:right="110" w:rightChars="0" w:firstLine="656" w:firstLineChars="0"/>
        <w:jc w:val="both"/>
        <w:textAlignment w:val="baseline"/>
        <w:rPr>
          <w:rFonts w:hint="eastAsia" w:ascii="楷体" w:hAnsi="楷体" w:eastAsia="楷体" w:cs="楷体"/>
          <w:snapToGrid w:val="0"/>
          <w:color w:val="000000"/>
          <w:spacing w:val="6"/>
          <w:kern w:val="0"/>
          <w:sz w:val="31"/>
          <w:szCs w:val="31"/>
          <w:lang w:val="en-US" w:eastAsia="en-US" w:bidi="ar-SA"/>
        </w:rPr>
      </w:pPr>
      <w:r>
        <w:rPr>
          <w:rFonts w:hint="eastAsia" w:ascii="楷体" w:hAnsi="楷体" w:eastAsia="楷体" w:cs="楷体"/>
          <w:snapToGrid w:val="0"/>
          <w:color w:val="000000"/>
          <w:spacing w:val="6"/>
          <w:kern w:val="0"/>
          <w:sz w:val="31"/>
          <w:szCs w:val="31"/>
          <w:lang w:val="en-US" w:eastAsia="en-US" w:bidi="ar-SA"/>
        </w:rPr>
        <w:t xml:space="preserve">集中研讨与征求意见稿定稿阶段（2026年5月） </w:t>
      </w:r>
    </w:p>
    <w:p w14:paraId="47E93EF8">
      <w:pPr>
        <w:spacing w:before="0" w:after="0" w:line="360" w:lineRule="auto"/>
        <w:ind w:firstLine="480"/>
        <w:jc w:val="both"/>
      </w:pPr>
      <w:r>
        <w:rPr>
          <w:rFonts w:ascii="宋体" w:hAnsi="宋体" w:eastAsia="宋体"/>
          <w:b w:val="0"/>
          <w:sz w:val="24"/>
        </w:rPr>
        <w:t>2026年5月初，起草小组组织多轮集中研讨，对照标委会评审意见、各参编单位临床实操反馈，对初稿全文逐条校对、修订，统一专业术语、操作力度管控、不良反应处置流程、VAS疼痛评分等关键技术条款。</w:t>
      </w:r>
    </w:p>
    <w:p w14:paraId="0350105E">
      <w:pPr>
        <w:spacing w:before="0" w:after="0" w:line="360" w:lineRule="auto"/>
        <w:ind w:firstLine="480"/>
        <w:jc w:val="both"/>
        <w:rPr>
          <w:rFonts w:ascii="宋体" w:hAnsi="宋体" w:eastAsia="宋体"/>
          <w:b w:val="0"/>
          <w:sz w:val="24"/>
        </w:rPr>
      </w:pPr>
      <w:r>
        <w:rPr>
          <w:rFonts w:ascii="宋体" w:hAnsi="宋体" w:eastAsia="宋体"/>
          <w:b w:val="0"/>
          <w:sz w:val="24"/>
        </w:rPr>
        <w:t>同步面向全国中医骨伤、康复、中医护理科室、行业分会发放标准草案公开征集意见，汇总基层器械使用、</w:t>
      </w:r>
      <w:r>
        <w:rPr>
          <w:rFonts w:hint="eastAsia"/>
          <w:b w:val="0"/>
          <w:sz w:val="24"/>
          <w:lang w:val="en-US" w:eastAsia="zh-CN"/>
        </w:rPr>
        <w:t>适应症禁忌症</w:t>
      </w:r>
      <w:r>
        <w:rPr>
          <w:rFonts w:ascii="宋体" w:hAnsi="宋体" w:eastAsia="宋体"/>
          <w:b w:val="0"/>
          <w:sz w:val="24"/>
        </w:rPr>
        <w:t>、质</w:t>
      </w:r>
      <w:r>
        <w:rPr>
          <w:rFonts w:hint="eastAsia"/>
          <w:b w:val="0"/>
          <w:sz w:val="24"/>
          <w:lang w:val="en-US" w:eastAsia="zh-CN"/>
        </w:rPr>
        <w:t>量</w:t>
      </w:r>
      <w:r>
        <w:rPr>
          <w:rFonts w:ascii="宋体" w:hAnsi="宋体" w:eastAsia="宋体"/>
          <w:b w:val="0"/>
          <w:sz w:val="24"/>
        </w:rPr>
        <w:t>控管理等各类反馈建议，针对存在分歧的技术条款开展专题讨论会，完成全部意见整改吸纳，形成标准征求意见稿。</w:t>
      </w:r>
    </w:p>
    <w:p w14:paraId="335AC5B6">
      <w:pPr>
        <w:spacing w:before="0" w:after="0" w:line="360" w:lineRule="auto"/>
        <w:ind w:firstLine="480"/>
        <w:jc w:val="both"/>
        <w:rPr>
          <w:rFonts w:hint="eastAsia" w:ascii="宋体" w:hAnsi="宋体" w:eastAsia="宋体"/>
          <w:b w:val="0"/>
          <w:sz w:val="24"/>
          <w:lang w:eastAsia="zh-CN"/>
        </w:rPr>
      </w:pPr>
      <w:r>
        <w:rPr>
          <w:rFonts w:hint="eastAsia" w:ascii="宋体" w:hAnsi="宋体" w:eastAsia="宋体"/>
          <w:b w:val="0"/>
          <w:sz w:val="24"/>
          <w:lang w:eastAsia="zh-CN"/>
        </w:rPr>
        <w:drawing>
          <wp:inline distT="0" distB="0" distL="114300" distR="114300">
            <wp:extent cx="4082415" cy="7009765"/>
            <wp:effectExtent l="0" t="0" r="0" b="0"/>
            <wp:docPr id="6" name="图片 6" descr="42747ca7dc67b3bc90ae16059616ea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42747ca7dc67b3bc90ae16059616eacb"/>
                    <pic:cNvPicPr>
                      <a:picLocks noChangeAspect="1"/>
                    </pic:cNvPicPr>
                  </pic:nvPicPr>
                  <pic:blipFill>
                    <a:blip r:embed="rId11"/>
                    <a:srcRect t="9862" b="10846"/>
                    <a:stretch>
                      <a:fillRect/>
                    </a:stretch>
                  </pic:blipFill>
                  <pic:spPr>
                    <a:xfrm>
                      <a:off x="0" y="0"/>
                      <a:ext cx="4082415" cy="7009765"/>
                    </a:xfrm>
                    <a:prstGeom prst="rect">
                      <a:avLst/>
                    </a:prstGeom>
                  </pic:spPr>
                </pic:pic>
              </a:graphicData>
            </a:graphic>
          </wp:inline>
        </w:drawing>
      </w:r>
    </w:p>
    <w:p w14:paraId="18D5E7B7">
      <w:pPr>
        <w:spacing w:before="0" w:after="0" w:line="360" w:lineRule="auto"/>
        <w:ind w:firstLine="480"/>
        <w:jc w:val="both"/>
        <w:rPr>
          <w:rFonts w:hint="eastAsia"/>
          <w:lang w:eastAsia="zh-CN"/>
        </w:rPr>
      </w:pPr>
      <w:r>
        <w:drawing>
          <wp:inline distT="0" distB="0" distL="114300" distR="114300">
            <wp:extent cx="5008880" cy="1028065"/>
            <wp:effectExtent l="0" t="0" r="1270" b="635"/>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2"/>
                    <a:srcRect t="3935" b="26088"/>
                    <a:stretch>
                      <a:fillRect/>
                    </a:stretch>
                  </pic:blipFill>
                  <pic:spPr>
                    <a:xfrm>
                      <a:off x="0" y="0"/>
                      <a:ext cx="5008880" cy="1028065"/>
                    </a:xfrm>
                    <a:prstGeom prst="rect">
                      <a:avLst/>
                    </a:prstGeom>
                  </pic:spPr>
                </pic:pic>
              </a:graphicData>
            </a:graphic>
          </wp:inline>
        </w:drawing>
      </w:r>
    </w:p>
    <w:p w14:paraId="439F62F6">
      <w:pPr>
        <w:numPr>
          <w:ilvl w:val="0"/>
          <w:numId w:val="7"/>
        </w:numPr>
        <w:kinsoku w:val="0"/>
        <w:autoSpaceDE w:val="0"/>
        <w:autoSpaceDN w:val="0"/>
        <w:adjustRightInd w:val="0"/>
        <w:snapToGrid w:val="0"/>
        <w:spacing w:before="182" w:line="327" w:lineRule="auto"/>
        <w:ind w:left="-176" w:leftChars="0" w:right="110" w:rightChars="0" w:firstLine="656" w:firstLineChars="0"/>
        <w:jc w:val="both"/>
        <w:textAlignment w:val="baseline"/>
        <w:rPr>
          <w:rFonts w:hint="eastAsia" w:ascii="楷体" w:hAnsi="楷体" w:eastAsia="楷体" w:cs="楷体"/>
          <w:snapToGrid w:val="0"/>
          <w:color w:val="000000"/>
          <w:spacing w:val="6"/>
          <w:kern w:val="0"/>
          <w:sz w:val="31"/>
          <w:szCs w:val="31"/>
          <w:lang w:val="en-US" w:eastAsia="en-US" w:bidi="ar-SA"/>
        </w:rPr>
      </w:pPr>
      <w:r>
        <w:rPr>
          <w:rFonts w:hint="eastAsia" w:ascii="楷体" w:hAnsi="楷体" w:eastAsia="楷体" w:cs="楷体"/>
          <w:snapToGrid w:val="0"/>
          <w:color w:val="000000"/>
          <w:spacing w:val="6"/>
          <w:kern w:val="0"/>
          <w:sz w:val="31"/>
          <w:szCs w:val="31"/>
          <w:lang w:val="en-US" w:eastAsia="en-US" w:bidi="ar-SA"/>
        </w:rPr>
        <w:t>终稿完善备案阶段（2026年6月1日～2026年6月2</w:t>
      </w:r>
      <w:r>
        <w:rPr>
          <w:rFonts w:hint="eastAsia" w:ascii="楷体" w:hAnsi="楷体" w:eastAsia="楷体" w:cs="楷体"/>
          <w:snapToGrid w:val="0"/>
          <w:color w:val="000000"/>
          <w:spacing w:val="6"/>
          <w:kern w:val="0"/>
          <w:sz w:val="31"/>
          <w:szCs w:val="31"/>
          <w:lang w:val="en-US" w:eastAsia="zh-CN" w:bidi="ar-SA"/>
        </w:rPr>
        <w:t>2</w:t>
      </w:r>
      <w:r>
        <w:rPr>
          <w:rFonts w:hint="eastAsia" w:ascii="楷体" w:hAnsi="楷体" w:eastAsia="楷体" w:cs="楷体"/>
          <w:snapToGrid w:val="0"/>
          <w:color w:val="000000"/>
          <w:spacing w:val="6"/>
          <w:kern w:val="0"/>
          <w:sz w:val="31"/>
          <w:szCs w:val="31"/>
          <w:lang w:val="en-US" w:eastAsia="en-US" w:bidi="ar-SA"/>
        </w:rPr>
        <w:t xml:space="preserve">日） </w:t>
      </w:r>
    </w:p>
    <w:p w14:paraId="130826EE">
      <w:pPr>
        <w:spacing w:before="0" w:after="0" w:line="360" w:lineRule="auto"/>
        <w:ind w:firstLine="480"/>
        <w:jc w:val="both"/>
        <w:rPr>
          <w:rFonts w:ascii="宋体" w:hAnsi="宋体" w:eastAsia="宋体"/>
          <w:b w:val="0"/>
          <w:sz w:val="24"/>
        </w:rPr>
      </w:pPr>
      <w:r>
        <w:rPr>
          <w:rFonts w:ascii="宋体" w:hAnsi="宋体" w:eastAsia="宋体"/>
          <w:b w:val="0"/>
          <w:sz w:val="24"/>
        </w:rPr>
        <w:t>起草小组整合全部征求意见反馈、多轮专家评审修改内容，统一全文排版格式、规范规范性引用文件、核对专利信息与参考文献条目，完善三大附录，形成标准正式终稿，全套材料提交中国民族卫生协会标准化工作委员会审核备案。</w:t>
      </w:r>
    </w:p>
    <w:p w14:paraId="241F11D9">
      <w:pPr>
        <w:spacing w:before="0" w:after="0" w:line="360" w:lineRule="auto"/>
        <w:ind w:firstLine="480"/>
        <w:jc w:val="both"/>
        <w:rPr>
          <w:rFonts w:hint="eastAsia" w:ascii="宋体" w:hAnsi="宋体" w:eastAsia="宋体"/>
          <w:b w:val="0"/>
          <w:sz w:val="24"/>
          <w:lang w:eastAsia="zh-CN"/>
        </w:rPr>
      </w:pPr>
      <w:bookmarkStart w:id="0" w:name="_GoBack"/>
      <w:r>
        <w:rPr>
          <w:rFonts w:hint="eastAsia" w:ascii="宋体" w:hAnsi="宋体" w:eastAsia="宋体"/>
          <w:b w:val="0"/>
          <w:sz w:val="24"/>
          <w:lang w:eastAsia="zh-CN"/>
        </w:rPr>
        <w:drawing>
          <wp:inline distT="0" distB="0" distL="114300" distR="114300">
            <wp:extent cx="3647440" cy="2291715"/>
            <wp:effectExtent l="0" t="0" r="10160" b="13335"/>
            <wp:docPr id="9" name="图片 9" descr="92e0adf685e591a21448c7f66e0dba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92e0adf685e591a21448c7f66e0dbac8"/>
                    <pic:cNvPicPr>
                      <a:picLocks noChangeAspect="1"/>
                    </pic:cNvPicPr>
                  </pic:nvPicPr>
                  <pic:blipFill>
                    <a:blip r:embed="rId13"/>
                    <a:stretch>
                      <a:fillRect/>
                    </a:stretch>
                  </pic:blipFill>
                  <pic:spPr>
                    <a:xfrm>
                      <a:off x="0" y="0"/>
                      <a:ext cx="3647440" cy="2291715"/>
                    </a:xfrm>
                    <a:prstGeom prst="rect">
                      <a:avLst/>
                    </a:prstGeom>
                  </pic:spPr>
                </pic:pic>
              </a:graphicData>
            </a:graphic>
          </wp:inline>
        </w:drawing>
      </w:r>
      <w:bookmarkEnd w:id="0"/>
    </w:p>
    <w:p w14:paraId="411EEB74">
      <w:pPr>
        <w:spacing w:before="0" w:after="0" w:line="360" w:lineRule="auto"/>
        <w:ind w:firstLine="480"/>
        <w:jc w:val="both"/>
        <w:rPr>
          <w:rFonts w:hint="eastAsia" w:ascii="宋体" w:hAnsi="宋体" w:eastAsia="宋体"/>
          <w:b w:val="0"/>
          <w:sz w:val="24"/>
          <w:lang w:eastAsia="zh-CN"/>
        </w:rPr>
      </w:pPr>
      <w:r>
        <w:rPr>
          <w:rFonts w:hint="eastAsia" w:ascii="宋体" w:hAnsi="宋体" w:eastAsia="宋体"/>
          <w:b w:val="0"/>
          <w:sz w:val="24"/>
          <w:lang w:eastAsia="zh-CN"/>
        </w:rPr>
        <w:drawing>
          <wp:inline distT="0" distB="0" distL="114300" distR="114300">
            <wp:extent cx="3696970" cy="2336165"/>
            <wp:effectExtent l="0" t="0" r="17780" b="6985"/>
            <wp:docPr id="8" name="图片 8" descr="99ca439a9fc3a16aafea37c96fe38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99ca439a9fc3a16aafea37c96fe38215"/>
                    <pic:cNvPicPr>
                      <a:picLocks noChangeAspect="1"/>
                    </pic:cNvPicPr>
                  </pic:nvPicPr>
                  <pic:blipFill>
                    <a:blip r:embed="rId14"/>
                    <a:stretch>
                      <a:fillRect/>
                    </a:stretch>
                  </pic:blipFill>
                  <pic:spPr>
                    <a:xfrm>
                      <a:off x="0" y="0"/>
                      <a:ext cx="3696970" cy="2336165"/>
                    </a:xfrm>
                    <a:prstGeom prst="rect">
                      <a:avLst/>
                    </a:prstGeom>
                  </pic:spPr>
                </pic:pic>
              </a:graphicData>
            </a:graphic>
          </wp:inline>
        </w:drawing>
      </w:r>
    </w:p>
    <w:p w14:paraId="7D4B8D5C">
      <w:pPr>
        <w:spacing w:before="240" w:after="120" w:line="360" w:lineRule="auto"/>
        <w:jc w:val="left"/>
      </w:pPr>
      <w:r>
        <w:rPr>
          <w:rFonts w:ascii="黑体" w:hAnsi="黑体" w:eastAsia="黑体"/>
          <w:b/>
          <w:sz w:val="32"/>
        </w:rPr>
        <w:t>三、标准编制原则及主要技术内容确定</w:t>
      </w:r>
    </w:p>
    <w:p w14:paraId="370B367B">
      <w:pPr>
        <w:numPr>
          <w:ilvl w:val="0"/>
          <w:numId w:val="8"/>
        </w:numPr>
        <w:kinsoku w:val="0"/>
        <w:autoSpaceDE w:val="0"/>
        <w:autoSpaceDN w:val="0"/>
        <w:adjustRightInd w:val="0"/>
        <w:snapToGrid w:val="0"/>
        <w:spacing w:before="182" w:line="327" w:lineRule="auto"/>
        <w:ind w:left="-176" w:leftChars="0" w:right="110" w:rightChars="0" w:firstLine="656" w:firstLineChars="0"/>
        <w:jc w:val="both"/>
        <w:textAlignment w:val="baseline"/>
        <w:rPr>
          <w:rFonts w:hint="eastAsia" w:ascii="楷体" w:hAnsi="楷体" w:eastAsia="楷体" w:cs="楷体"/>
          <w:snapToGrid w:val="0"/>
          <w:color w:val="000000"/>
          <w:spacing w:val="6"/>
          <w:kern w:val="0"/>
          <w:sz w:val="31"/>
          <w:szCs w:val="31"/>
          <w:lang w:val="en-US" w:eastAsia="en-US" w:bidi="ar-SA"/>
        </w:rPr>
      </w:pPr>
      <w:r>
        <w:rPr>
          <w:rFonts w:hint="eastAsia" w:ascii="楷体" w:hAnsi="楷体" w:eastAsia="楷体" w:cs="楷体"/>
          <w:snapToGrid w:val="0"/>
          <w:color w:val="000000"/>
          <w:spacing w:val="6"/>
          <w:kern w:val="0"/>
          <w:sz w:val="31"/>
          <w:szCs w:val="31"/>
          <w:lang w:val="en-US" w:eastAsia="en-US" w:bidi="ar-SA"/>
        </w:rPr>
        <w:t>标准编制原则</w:t>
      </w:r>
    </w:p>
    <w:p w14:paraId="327DB99D">
      <w:pPr>
        <w:spacing w:before="0" w:after="0" w:line="360" w:lineRule="auto"/>
        <w:ind w:firstLine="480"/>
        <w:jc w:val="both"/>
      </w:pPr>
      <w:r>
        <w:rPr>
          <w:rFonts w:ascii="宋体" w:hAnsi="宋体" w:eastAsia="宋体"/>
          <w:b w:val="0"/>
          <w:sz w:val="24"/>
        </w:rPr>
        <w:t>1、本标准所有条款均以保障灸刮技术临床操作安全、统一中医外治诊疗服务质量为核心前提制定。</w:t>
      </w:r>
    </w:p>
    <w:p w14:paraId="33AC5344">
      <w:pPr>
        <w:spacing w:before="0" w:after="0" w:line="360" w:lineRule="auto"/>
        <w:ind w:firstLine="480"/>
        <w:jc w:val="both"/>
      </w:pPr>
      <w:r>
        <w:rPr>
          <w:rFonts w:ascii="宋体" w:hAnsi="宋体" w:eastAsia="宋体"/>
          <w:b w:val="0"/>
          <w:sz w:val="24"/>
        </w:rPr>
        <w:t>2、本标准编写严格遵循</w:t>
      </w:r>
      <w:r>
        <w:rPr>
          <w:rFonts w:hint="default" w:ascii="Times New Roman" w:hAnsi="Times New Roman" w:eastAsia="宋体" w:cs="Times New Roman"/>
          <w:b w:val="0"/>
          <w:sz w:val="24"/>
        </w:rPr>
        <w:t>GB/T 1.1-2020</w:t>
      </w:r>
      <w:r>
        <w:rPr>
          <w:rFonts w:ascii="宋体" w:hAnsi="宋体" w:eastAsia="宋体"/>
          <w:b w:val="0"/>
          <w:sz w:val="24"/>
        </w:rPr>
        <w:t>《标准化工作导则第1部分：标准化文件的结构和起草规则》要求，从标准格式框架、专业术语表述到临床操作技术参数，均经过多中心临床验证、行业专家反复推敲论证，形成规范统一的团体标准。标准设定的操作流程、器械管理、不良反应处置、疗效评价体系贴合各级医疗机构临床实操场景，保障标准落地实施可行性与技术科学性。</w:t>
      </w:r>
    </w:p>
    <w:p w14:paraId="2C1D1A52">
      <w:pPr>
        <w:numPr>
          <w:ilvl w:val="0"/>
          <w:numId w:val="8"/>
        </w:numPr>
        <w:kinsoku w:val="0"/>
        <w:autoSpaceDE w:val="0"/>
        <w:autoSpaceDN w:val="0"/>
        <w:adjustRightInd w:val="0"/>
        <w:snapToGrid w:val="0"/>
        <w:spacing w:before="182" w:line="327" w:lineRule="auto"/>
        <w:ind w:left="-176" w:leftChars="0" w:right="110" w:rightChars="0" w:firstLine="656" w:firstLineChars="0"/>
        <w:jc w:val="both"/>
        <w:textAlignment w:val="baseline"/>
        <w:rPr>
          <w:rFonts w:hint="eastAsia" w:ascii="楷体" w:hAnsi="楷体" w:eastAsia="楷体" w:cs="楷体"/>
          <w:snapToGrid w:val="0"/>
          <w:color w:val="000000"/>
          <w:spacing w:val="6"/>
          <w:kern w:val="0"/>
          <w:sz w:val="31"/>
          <w:szCs w:val="31"/>
          <w:lang w:val="en-US" w:eastAsia="en-US" w:bidi="ar-SA"/>
        </w:rPr>
      </w:pPr>
      <w:r>
        <w:rPr>
          <w:rFonts w:hint="eastAsia" w:ascii="楷体" w:hAnsi="楷体" w:eastAsia="楷体" w:cs="楷体"/>
          <w:snapToGrid w:val="0"/>
          <w:color w:val="000000"/>
          <w:spacing w:val="6"/>
          <w:kern w:val="0"/>
          <w:sz w:val="31"/>
          <w:szCs w:val="31"/>
          <w:lang w:val="en-US" w:eastAsia="en-US" w:bidi="ar-SA"/>
        </w:rPr>
        <w:t>团体标准主要内容确定</w:t>
      </w:r>
    </w:p>
    <w:p w14:paraId="4ABD2832">
      <w:pPr>
        <w:spacing w:before="0" w:after="0" w:line="360" w:lineRule="auto"/>
        <w:ind w:firstLine="480"/>
        <w:jc w:val="both"/>
      </w:pPr>
      <w:r>
        <w:rPr>
          <w:rFonts w:ascii="宋体" w:hAnsi="宋体" w:eastAsia="宋体"/>
          <w:b w:val="0"/>
          <w:sz w:val="24"/>
        </w:rPr>
        <w:t>本标准主要内容如下：</w:t>
      </w:r>
    </w:p>
    <w:p w14:paraId="332E06C7">
      <w:pPr>
        <w:rPr>
          <w:rFonts w:hint="eastAsia"/>
        </w:rPr>
      </w:pPr>
      <w:r>
        <w:rPr>
          <w:rFonts w:hint="eastAsia"/>
        </w:rPr>
        <w:t>1  范围</w:t>
      </w:r>
    </w:p>
    <w:p w14:paraId="0EC4C435">
      <w:pPr>
        <w:rPr>
          <w:rFonts w:hint="eastAsia"/>
        </w:rPr>
      </w:pPr>
      <w:r>
        <w:rPr>
          <w:rFonts w:hint="eastAsia"/>
        </w:rPr>
        <w:t>2  规范性引用文件</w:t>
      </w:r>
    </w:p>
    <w:p w14:paraId="1A0546F6">
      <w:pPr>
        <w:rPr>
          <w:rFonts w:hint="eastAsia"/>
        </w:rPr>
      </w:pPr>
      <w:r>
        <w:rPr>
          <w:rFonts w:hint="eastAsia"/>
        </w:rPr>
        <w:t>3  术语和定义</w:t>
      </w:r>
    </w:p>
    <w:p w14:paraId="3419FBFE">
      <w:pPr>
        <w:rPr>
          <w:rFonts w:hint="eastAsia"/>
        </w:rPr>
      </w:pPr>
      <w:r>
        <w:rPr>
          <w:rFonts w:hint="eastAsia"/>
        </w:rPr>
        <w:t>4  操作前基本要求</w:t>
      </w:r>
    </w:p>
    <w:p w14:paraId="2F1CA4A2">
      <w:pPr>
        <w:rPr>
          <w:rFonts w:hint="eastAsia"/>
        </w:rPr>
      </w:pPr>
      <w:r>
        <w:rPr>
          <w:rFonts w:hint="eastAsia"/>
        </w:rPr>
        <w:t>5  适应证</w:t>
      </w:r>
    </w:p>
    <w:p w14:paraId="6FAB5548">
      <w:pPr>
        <w:rPr>
          <w:rFonts w:hint="eastAsia"/>
        </w:rPr>
      </w:pPr>
      <w:r>
        <w:rPr>
          <w:rFonts w:hint="eastAsia"/>
        </w:rPr>
        <w:t>6  禁忌证</w:t>
      </w:r>
    </w:p>
    <w:p w14:paraId="239DFD60">
      <w:pPr>
        <w:rPr>
          <w:rFonts w:hint="eastAsia"/>
        </w:rPr>
      </w:pPr>
      <w:r>
        <w:rPr>
          <w:rFonts w:hint="eastAsia"/>
        </w:rPr>
        <w:t>7  操作流程与要求</w:t>
      </w:r>
    </w:p>
    <w:p w14:paraId="7C93970A">
      <w:pPr>
        <w:rPr>
          <w:rFonts w:hint="eastAsia"/>
        </w:rPr>
      </w:pPr>
      <w:r>
        <w:rPr>
          <w:rFonts w:hint="eastAsia"/>
        </w:rPr>
        <w:t>8  质量控制</w:t>
      </w:r>
    </w:p>
    <w:p w14:paraId="5042AD7D">
      <w:pPr>
        <w:spacing w:before="240" w:after="120" w:line="360" w:lineRule="auto"/>
        <w:jc w:val="left"/>
      </w:pPr>
      <w:r>
        <w:rPr>
          <w:rFonts w:ascii="黑体" w:hAnsi="黑体" w:eastAsia="黑体"/>
          <w:b/>
          <w:sz w:val="32"/>
        </w:rPr>
        <w:t>四、采用国际、国内标准情况</w:t>
      </w:r>
    </w:p>
    <w:p w14:paraId="13E8C622">
      <w:pPr>
        <w:spacing w:before="120" w:after="60" w:line="360" w:lineRule="auto"/>
        <w:ind w:firstLine="480"/>
        <w:jc w:val="left"/>
      </w:pPr>
      <w:r>
        <w:rPr>
          <w:rFonts w:ascii="宋体" w:hAnsi="宋体" w:eastAsia="宋体"/>
          <w:b/>
          <w:sz w:val="24"/>
        </w:rPr>
        <w:t>1、国内标准采用情况</w:t>
      </w:r>
      <w:r>
        <w:rPr>
          <w:rFonts w:hint="eastAsia"/>
          <w:b/>
          <w:sz w:val="24"/>
          <w:lang w:val="en-US" w:eastAsia="zh-CN"/>
        </w:rPr>
        <w:t xml:space="preserve"> </w:t>
      </w:r>
      <w:r>
        <w:rPr>
          <w:rFonts w:ascii="宋体" w:hAnsi="宋体" w:eastAsia="宋体"/>
          <w:b w:val="0"/>
          <w:sz w:val="24"/>
        </w:rPr>
        <w:t>本标准全文编写严格遵照</w:t>
      </w:r>
      <w:r>
        <w:rPr>
          <w:rFonts w:hint="default" w:ascii="Times New Roman" w:hAnsi="Times New Roman" w:eastAsia="宋体" w:cs="Times New Roman"/>
          <w:b w:val="0"/>
          <w:sz w:val="24"/>
        </w:rPr>
        <w:t>GB/T 1.1-2020</w:t>
      </w:r>
      <w:r>
        <w:rPr>
          <w:rFonts w:ascii="宋体" w:hAnsi="宋体" w:eastAsia="宋体"/>
          <w:b w:val="0"/>
          <w:sz w:val="24"/>
        </w:rPr>
        <w:t>《标准化工作导则第1部分：标准化文件的结构和起草规则》执行文本框架、术语、格式编制。经穴定位相关条款直接引用</w:t>
      </w:r>
      <w:r>
        <w:rPr>
          <w:rFonts w:hint="default" w:ascii="Times New Roman" w:hAnsi="Times New Roman" w:eastAsia="宋体" w:cs="Times New Roman"/>
          <w:b w:val="0"/>
          <w:sz w:val="24"/>
        </w:rPr>
        <w:t>GB/T 12346—2021</w:t>
      </w:r>
      <w:r>
        <w:rPr>
          <w:rFonts w:ascii="宋体" w:hAnsi="宋体" w:eastAsia="宋体"/>
          <w:b w:val="0"/>
          <w:sz w:val="24"/>
        </w:rPr>
        <w:t>《经穴名称与定位》国家标准，确保腧穴定位的准确性与权威性；医院消毒卫生标准直接引用</w:t>
      </w:r>
      <w:r>
        <w:rPr>
          <w:rFonts w:hint="default" w:ascii="Times New Roman" w:hAnsi="Times New Roman" w:eastAsia="宋体" w:cs="Times New Roman"/>
          <w:b w:val="0"/>
          <w:sz w:val="24"/>
        </w:rPr>
        <w:t>GB 15982—2012</w:t>
      </w:r>
      <w:r>
        <w:rPr>
          <w:rFonts w:ascii="宋体" w:hAnsi="宋体" w:eastAsia="宋体"/>
          <w:b w:val="0"/>
          <w:sz w:val="24"/>
        </w:rPr>
        <w:t>《医院消毒卫生标准》，保障操作环境卫生安全；器械清洗消毒相关条款直接引用</w:t>
      </w:r>
      <w:r>
        <w:rPr>
          <w:rFonts w:hint="default" w:ascii="Times New Roman" w:hAnsi="Times New Roman" w:eastAsia="宋体" w:cs="Times New Roman"/>
          <w:b w:val="0"/>
          <w:sz w:val="24"/>
        </w:rPr>
        <w:t>WS/T 367—2012</w:t>
      </w:r>
      <w:r>
        <w:rPr>
          <w:rFonts w:ascii="宋体" w:hAnsi="宋体" w:eastAsia="宋体"/>
          <w:b w:val="0"/>
          <w:sz w:val="24"/>
        </w:rPr>
        <w:t>《医疗机构消毒技术规范》，院感相关技术要求完全对标国家统一规范。</w:t>
      </w:r>
    </w:p>
    <w:p w14:paraId="3B2B6A1A">
      <w:pPr>
        <w:spacing w:before="0" w:after="0" w:line="360" w:lineRule="auto"/>
        <w:ind w:firstLine="480"/>
        <w:jc w:val="both"/>
      </w:pPr>
      <w:r>
        <w:rPr>
          <w:rFonts w:ascii="宋体" w:hAnsi="宋体" w:eastAsia="宋体"/>
          <w:b w:val="0"/>
          <w:sz w:val="24"/>
        </w:rPr>
        <w:t>同时，标准技术内容参考《中医药标准化行动计划（2024—2026年）》《"十四五"中医药发展规划》相关政策要求，依托中医经筋理论、经络腧穴理论专著、国内公开发表的灸刮技术临床研究文献、医疗器械备案管理相关规定编制，全部国内标准、政策文件、临床研究成果均完整落地到标准条款中。</w:t>
      </w:r>
    </w:p>
    <w:p w14:paraId="35C2E132">
      <w:pPr>
        <w:spacing w:before="120" w:after="60" w:line="360" w:lineRule="auto"/>
        <w:ind w:firstLine="480"/>
        <w:jc w:val="left"/>
      </w:pPr>
      <w:r>
        <w:rPr>
          <w:rFonts w:ascii="宋体" w:hAnsi="宋体" w:eastAsia="宋体"/>
          <w:b/>
          <w:sz w:val="24"/>
        </w:rPr>
        <w:t>2、国际标准采用情况</w:t>
      </w:r>
      <w:r>
        <w:rPr>
          <w:rFonts w:hint="eastAsia"/>
          <w:b/>
          <w:sz w:val="24"/>
          <w:lang w:val="en-US" w:eastAsia="zh-CN"/>
        </w:rPr>
        <w:t xml:space="preserve"> </w:t>
      </w:r>
      <w:r>
        <w:rPr>
          <w:rFonts w:ascii="宋体" w:hAnsi="宋体" w:eastAsia="宋体"/>
          <w:b w:val="0"/>
          <w:sz w:val="24"/>
        </w:rPr>
        <w:t>本标准无等同采用、修改采用的国际标准。标准技术内容立足中医药传统理论与中国临床实践，结合国内各级医疗机构灸刮技术临床应用实际编制，充分体现中医药特色外治技术的本土化特征。</w:t>
      </w:r>
    </w:p>
    <w:p w14:paraId="167C52BD">
      <w:pPr>
        <w:spacing w:before="240" w:after="120" w:line="360" w:lineRule="auto"/>
        <w:jc w:val="left"/>
      </w:pPr>
      <w:r>
        <w:rPr>
          <w:rFonts w:ascii="黑体" w:hAnsi="黑体" w:eastAsia="黑体"/>
          <w:b/>
          <w:sz w:val="32"/>
        </w:rPr>
        <w:t>五、与现行法律法规和强制性标准的关系</w:t>
      </w:r>
    </w:p>
    <w:p w14:paraId="737EC4A7">
      <w:pPr>
        <w:spacing w:before="0" w:after="0" w:line="360" w:lineRule="auto"/>
        <w:ind w:firstLine="480"/>
        <w:jc w:val="both"/>
      </w:pPr>
      <w:r>
        <w:rPr>
          <w:rFonts w:ascii="宋体" w:hAnsi="宋体" w:eastAsia="宋体"/>
          <w:b w:val="0"/>
          <w:sz w:val="24"/>
        </w:rPr>
        <w:t>本标准与现行中医药、医疗机构管理、院感防控相关法律法规、强制性卫生行业标准协调一致，无冲突、抵触条款。</w:t>
      </w:r>
    </w:p>
    <w:p w14:paraId="5324C841">
      <w:pPr>
        <w:spacing w:before="0" w:after="0" w:line="360" w:lineRule="auto"/>
        <w:ind w:firstLine="480"/>
        <w:jc w:val="both"/>
      </w:pPr>
      <w:r>
        <w:rPr>
          <w:rFonts w:ascii="宋体" w:hAnsi="宋体" w:eastAsia="宋体"/>
          <w:b w:val="0"/>
          <w:sz w:val="24"/>
        </w:rPr>
        <w:t>规范的起草、编写格式严格符合GB/T 1.1-2020《标准化工作导则第1部分：标准化文件的结构和起草规则》、GB/T 1.2-2002《标准化工作导则第2部分：标准中规范性技术要素内容的确定方法》的编制要求。</w:t>
      </w:r>
    </w:p>
    <w:p w14:paraId="4906FAE5">
      <w:pPr>
        <w:spacing w:before="160" w:after="80" w:line="360" w:lineRule="auto"/>
        <w:ind w:firstLine="480"/>
        <w:jc w:val="left"/>
      </w:pPr>
      <w:r>
        <w:rPr>
          <w:rFonts w:ascii="宋体" w:hAnsi="宋体" w:eastAsia="宋体"/>
          <w:b/>
          <w:sz w:val="24"/>
        </w:rPr>
        <w:t>1. 法律法规适配性</w:t>
      </w:r>
      <w:r>
        <w:rPr>
          <w:rFonts w:hint="eastAsia" w:ascii="宋体" w:hAnsi="宋体" w:eastAsia="宋体"/>
          <w:b/>
          <w:sz w:val="24"/>
          <w:lang w:val="en-US" w:eastAsia="zh-CN"/>
        </w:rPr>
        <w:t xml:space="preserve"> </w:t>
      </w:r>
      <w:r>
        <w:rPr>
          <w:rFonts w:ascii="宋体" w:hAnsi="宋体" w:eastAsia="宋体"/>
          <w:b w:val="0"/>
          <w:sz w:val="24"/>
        </w:rPr>
        <w:t>本标准操作管理、器械使用、病历记录、医疗废物处置等内容，符合《中华人民共和国中医药法》《医疗机构管理条例》《医院感染管理办法》《医疗器械监督管理条例》等现行法律法规相关要求，规范中医外治临床执业行为。</w:t>
      </w:r>
    </w:p>
    <w:p w14:paraId="45509764">
      <w:pPr>
        <w:spacing w:before="160" w:after="80" w:line="360" w:lineRule="auto"/>
        <w:ind w:firstLine="480"/>
        <w:jc w:val="left"/>
      </w:pPr>
      <w:r>
        <w:rPr>
          <w:rFonts w:ascii="宋体" w:hAnsi="宋体" w:eastAsia="宋体"/>
          <w:b/>
          <w:sz w:val="24"/>
        </w:rPr>
        <w:t>2. 强制性卫生标准适配性</w:t>
      </w:r>
      <w:r>
        <w:rPr>
          <w:rFonts w:hint="eastAsia" w:ascii="宋体" w:hAnsi="宋体" w:eastAsia="宋体"/>
          <w:b/>
          <w:sz w:val="24"/>
          <w:lang w:val="en-US" w:eastAsia="zh-CN"/>
        </w:rPr>
        <w:t xml:space="preserve"> </w:t>
      </w:r>
      <w:r>
        <w:rPr>
          <w:rFonts w:ascii="宋体" w:hAnsi="宋体" w:eastAsia="宋体"/>
          <w:b w:val="0"/>
          <w:sz w:val="24"/>
        </w:rPr>
        <w:t>经穴定位条款引用</w:t>
      </w:r>
      <w:r>
        <w:rPr>
          <w:rFonts w:hint="default" w:ascii="Times New Roman" w:hAnsi="Times New Roman" w:eastAsia="宋体" w:cs="Times New Roman"/>
          <w:b w:val="0"/>
          <w:sz w:val="24"/>
        </w:rPr>
        <w:t>GB/T 12346—2021</w:t>
      </w:r>
      <w:r>
        <w:rPr>
          <w:rFonts w:ascii="宋体" w:hAnsi="宋体" w:eastAsia="宋体"/>
          <w:b w:val="0"/>
          <w:sz w:val="24"/>
        </w:rPr>
        <w:t>国家标准，医院消毒卫生引用</w:t>
      </w:r>
      <w:r>
        <w:rPr>
          <w:rFonts w:hint="default" w:ascii="Times New Roman" w:hAnsi="Times New Roman" w:eastAsia="宋体" w:cs="Times New Roman"/>
          <w:b w:val="0"/>
          <w:sz w:val="24"/>
        </w:rPr>
        <w:t>GB 15982—2012</w:t>
      </w:r>
      <w:r>
        <w:rPr>
          <w:rFonts w:ascii="宋体" w:hAnsi="宋体" w:eastAsia="宋体"/>
          <w:b w:val="0"/>
          <w:sz w:val="24"/>
        </w:rPr>
        <w:t>国家标准，器械清洗消毒、医务人员手卫生、医疗废物处置相关条款匹配</w:t>
      </w:r>
      <w:r>
        <w:rPr>
          <w:rFonts w:hint="default" w:ascii="Times New Roman" w:hAnsi="Times New Roman" w:eastAsia="宋体" w:cs="Times New Roman"/>
          <w:b w:val="0"/>
          <w:sz w:val="24"/>
        </w:rPr>
        <w:t>WS/T 367—2012</w:t>
      </w:r>
      <w:r>
        <w:rPr>
          <w:rFonts w:ascii="宋体" w:hAnsi="宋体" w:eastAsia="宋体"/>
          <w:b w:val="0"/>
          <w:sz w:val="24"/>
        </w:rPr>
        <w:t>等国家强制性/推荐性卫生标准，医疗机构可直接将本标准纳入院内院感、护理质控体系落地执行。</w:t>
      </w:r>
    </w:p>
    <w:p w14:paraId="355BCB1F">
      <w:pPr>
        <w:spacing w:before="160" w:after="80" w:line="360" w:lineRule="auto"/>
        <w:ind w:firstLine="480"/>
        <w:jc w:val="left"/>
      </w:pPr>
      <w:r>
        <w:rPr>
          <w:rFonts w:ascii="宋体" w:hAnsi="宋体" w:eastAsia="宋体"/>
          <w:b/>
          <w:sz w:val="24"/>
        </w:rPr>
        <w:t>3. 行业政策适配性</w:t>
      </w:r>
      <w:r>
        <w:rPr>
          <w:rFonts w:hint="eastAsia" w:ascii="宋体" w:hAnsi="宋体" w:eastAsia="宋体"/>
          <w:b/>
          <w:sz w:val="24"/>
          <w:lang w:val="en-US" w:eastAsia="zh-CN"/>
        </w:rPr>
        <w:t xml:space="preserve"> </w:t>
      </w:r>
      <w:r>
        <w:rPr>
          <w:rFonts w:ascii="宋体" w:hAnsi="宋体" w:eastAsia="宋体"/>
          <w:b w:val="0"/>
          <w:sz w:val="24"/>
        </w:rPr>
        <w:t>标准整体技术框架、中医适宜技术规范化要求契合《"十四五"中医药发展规划》《中医药标准化行动计划（2024—2026年）》相关指导要求，支撑基层中医特色技术标准化推广工作。</w:t>
      </w:r>
    </w:p>
    <w:p w14:paraId="2D428B89">
      <w:pPr>
        <w:spacing w:before="240" w:after="120" w:line="360" w:lineRule="auto"/>
        <w:jc w:val="left"/>
      </w:pPr>
      <w:r>
        <w:rPr>
          <w:rFonts w:ascii="黑体" w:hAnsi="黑体" w:eastAsia="黑体"/>
          <w:b/>
          <w:sz w:val="32"/>
        </w:rPr>
        <w:t>六、重大分歧意见处理</w:t>
      </w:r>
    </w:p>
    <w:p w14:paraId="071FAF17">
      <w:pPr>
        <w:spacing w:before="0" w:after="0" w:line="360" w:lineRule="auto"/>
        <w:ind w:firstLine="480"/>
        <w:jc w:val="both"/>
      </w:pPr>
      <w:r>
        <w:rPr>
          <w:rFonts w:ascii="宋体" w:hAnsi="宋体" w:eastAsia="宋体"/>
          <w:b w:val="0"/>
          <w:sz w:val="24"/>
        </w:rPr>
        <w:t>无。</w:t>
      </w:r>
    </w:p>
    <w:p w14:paraId="59EA5B72">
      <w:pPr>
        <w:spacing w:before="240" w:after="120" w:line="360" w:lineRule="auto"/>
        <w:jc w:val="left"/>
      </w:pPr>
      <w:r>
        <w:rPr>
          <w:rFonts w:ascii="黑体" w:hAnsi="黑体" w:eastAsia="黑体"/>
          <w:b/>
          <w:sz w:val="32"/>
        </w:rPr>
        <w:t>七、标准作为强制性或推荐性标准发布的意见</w:t>
      </w:r>
    </w:p>
    <w:p w14:paraId="6598ABB5">
      <w:pPr>
        <w:spacing w:before="0" w:after="0" w:line="360" w:lineRule="auto"/>
        <w:ind w:firstLine="480"/>
        <w:jc w:val="both"/>
      </w:pPr>
      <w:r>
        <w:rPr>
          <w:rFonts w:ascii="宋体" w:hAnsi="宋体" w:eastAsia="宋体"/>
          <w:b w:val="0"/>
          <w:sz w:val="24"/>
        </w:rPr>
        <w:t>推荐性。</w:t>
      </w:r>
    </w:p>
    <w:p w14:paraId="0BF394F9">
      <w:pPr>
        <w:spacing w:before="240" w:after="120" w:line="360" w:lineRule="auto"/>
        <w:jc w:val="left"/>
      </w:pPr>
      <w:r>
        <w:rPr>
          <w:rFonts w:ascii="黑体" w:hAnsi="黑体" w:eastAsia="黑体"/>
          <w:b/>
          <w:sz w:val="32"/>
        </w:rPr>
        <w:t>八、贯彻标准的建议</w:t>
      </w:r>
    </w:p>
    <w:p w14:paraId="29EF0097">
      <w:pPr>
        <w:spacing w:before="160" w:after="80" w:line="360" w:lineRule="auto"/>
        <w:ind w:firstLine="480"/>
        <w:jc w:val="left"/>
        <w:rPr>
          <w:rFonts w:ascii="宋体" w:hAnsi="宋体" w:eastAsia="宋体"/>
          <w:b/>
          <w:sz w:val="24"/>
        </w:rPr>
      </w:pPr>
      <w:r>
        <w:rPr>
          <w:rFonts w:ascii="宋体" w:hAnsi="宋体" w:eastAsia="宋体"/>
          <w:b/>
          <w:sz w:val="24"/>
        </w:rPr>
        <w:t>实施推广建议</w:t>
      </w:r>
    </w:p>
    <w:p w14:paraId="055A6C87">
      <w:pPr>
        <w:spacing w:before="0" w:after="0" w:line="360" w:lineRule="auto"/>
        <w:ind w:firstLine="480"/>
        <w:jc w:val="both"/>
      </w:pPr>
      <w:r>
        <w:rPr>
          <w:rFonts w:ascii="宋体" w:hAnsi="宋体" w:eastAsia="宋体"/>
          <w:b w:val="0"/>
          <w:sz w:val="24"/>
        </w:rPr>
        <w:t>注重《灸刮技术规范》标准内容宣贯，确保标准在各级医疗机构落地推广与常态化应用。加强标准贯彻落实的日常质控、考核验收工作，通过中医药学术期刊、行业新媒体、医学学术会议等媒介，提升标准行业影响力，建立标准化长效执行机制。选取全部参编起草单位、参与征求意见的医疗机构作为首批标准化试点单位先行落地实施，总结标准化实操管理经验，对规范落实成效突出的单位、临床从业人员予以行业表彰，带动全国各级中医、康复、</w:t>
      </w:r>
      <w:r>
        <w:rPr>
          <w:rFonts w:hint="eastAsia"/>
          <w:b w:val="0"/>
          <w:sz w:val="24"/>
          <w:lang w:val="en-US" w:eastAsia="zh-CN"/>
        </w:rPr>
        <w:t>社区等</w:t>
      </w:r>
      <w:r>
        <w:rPr>
          <w:rFonts w:ascii="宋体" w:hAnsi="宋体" w:eastAsia="宋体"/>
          <w:b w:val="0"/>
          <w:sz w:val="24"/>
        </w:rPr>
        <w:t>科室主动参照本标准开展诊疗工作。</w:t>
      </w:r>
    </w:p>
    <w:p w14:paraId="69A3920B">
      <w:pPr>
        <w:spacing w:before="0" w:after="0" w:line="360" w:lineRule="auto"/>
        <w:ind w:firstLine="480"/>
        <w:jc w:val="both"/>
      </w:pPr>
      <w:r>
        <w:rPr>
          <w:rFonts w:ascii="宋体" w:hAnsi="宋体" w:eastAsia="宋体"/>
          <w:b w:val="0"/>
          <w:sz w:val="24"/>
        </w:rPr>
        <w:t>本标准主编单位广东省中医院将牵头开展标准条文释义、专题研讨；标准正式发布后，联合各参编单位统一组织全国线上、线下宣贯专项培训。</w:t>
      </w:r>
    </w:p>
    <w:p w14:paraId="26A083CD">
      <w:pPr>
        <w:spacing w:before="0" w:after="0" w:line="360" w:lineRule="auto"/>
        <w:ind w:firstLine="480"/>
        <w:jc w:val="both"/>
      </w:pPr>
      <w:r>
        <w:rPr>
          <w:rFonts w:ascii="宋体" w:hAnsi="宋体" w:eastAsia="宋体"/>
          <w:b w:val="0"/>
          <w:sz w:val="24"/>
        </w:rPr>
        <w:t>为保障本规范全面落地实施，具体建议如下：</w:t>
      </w:r>
    </w:p>
    <w:p w14:paraId="587E5210">
      <w:pPr>
        <w:spacing w:before="0" w:after="0" w:line="360" w:lineRule="auto"/>
        <w:ind w:firstLine="480"/>
        <w:jc w:val="both"/>
      </w:pPr>
      <w:r>
        <w:rPr>
          <w:rFonts w:ascii="宋体" w:hAnsi="宋体" w:eastAsia="宋体"/>
          <w:b w:val="0"/>
          <w:sz w:val="24"/>
        </w:rPr>
        <w:t>一是印刷标准纸质文本、配套操作手册下发各级医疗机构，方便临床医师、护士、康复治疗师日常学习查阅，依托中医护理分会、康复专委会多渠道开展标准科普宣传；</w:t>
      </w:r>
    </w:p>
    <w:p w14:paraId="04983C92">
      <w:pPr>
        <w:spacing w:before="0" w:after="0" w:line="360" w:lineRule="auto"/>
        <w:ind w:firstLine="480"/>
        <w:jc w:val="both"/>
      </w:pPr>
      <w:r>
        <w:rPr>
          <w:rFonts w:ascii="宋体" w:hAnsi="宋体" w:eastAsia="宋体"/>
          <w:b w:val="0"/>
          <w:sz w:val="24"/>
        </w:rPr>
        <w:t>二是围绕灸刮技术全流程操作、器械消毒保养、不良反应处置、疗效评价等核心内容制作标准化实操教学视频、图文图解，直观展示六大规范手法（揉拨法、推拨法、刮拨法、回旋法、点按法、定灸法），降低一线人员学习理解难度；</w:t>
      </w:r>
    </w:p>
    <w:p w14:paraId="10BBB09E">
      <w:pPr>
        <w:spacing w:before="0" w:after="0" w:line="360" w:lineRule="auto"/>
        <w:ind w:firstLine="480"/>
        <w:jc w:val="both"/>
      </w:pPr>
      <w:r>
        <w:rPr>
          <w:rFonts w:ascii="宋体" w:hAnsi="宋体" w:eastAsia="宋体"/>
          <w:b w:val="0"/>
          <w:sz w:val="24"/>
        </w:rPr>
        <w:t>三是面向全国中医骨伤、康复、中医护理从业人员分层举办专项标准化培训班，统一操作规范、质控要求，全面提升从业人员专业操作水平与安全管理能力；</w:t>
      </w:r>
    </w:p>
    <w:p w14:paraId="1B124C89">
      <w:pPr>
        <w:spacing w:before="0" w:after="0" w:line="360" w:lineRule="auto"/>
        <w:ind w:firstLine="480"/>
        <w:jc w:val="both"/>
      </w:pPr>
      <w:r>
        <w:rPr>
          <w:rFonts w:ascii="宋体" w:hAnsi="宋体" w:eastAsia="宋体"/>
          <w:b w:val="0"/>
          <w:sz w:val="24"/>
        </w:rPr>
        <w:t>四是建立灸刮技术操作人员定期培训、复训与考核制度，确保技术传承的规范性与同质性，推动灸刮技术安全、规范、高质量推广。</w:t>
      </w:r>
    </w:p>
    <w:p w14:paraId="5E3A04F7">
      <w:pPr>
        <w:spacing w:before="240" w:after="120" w:line="360" w:lineRule="auto"/>
        <w:jc w:val="left"/>
      </w:pPr>
      <w:r>
        <w:rPr>
          <w:rFonts w:ascii="黑体" w:hAnsi="黑体" w:eastAsia="黑体"/>
          <w:b/>
          <w:sz w:val="32"/>
        </w:rPr>
        <w:t>九、经费使用情况</w:t>
      </w:r>
    </w:p>
    <w:p w14:paraId="3AA1A25D">
      <w:pPr>
        <w:spacing w:before="0" w:after="0" w:line="360" w:lineRule="auto"/>
        <w:ind w:firstLine="480"/>
        <w:jc w:val="both"/>
      </w:pPr>
      <w:r>
        <w:rPr>
          <w:rFonts w:ascii="宋体" w:hAnsi="宋体" w:eastAsia="宋体"/>
          <w:b w:val="0"/>
          <w:sz w:val="24"/>
        </w:rPr>
        <w:t>无经费支持。</w:t>
      </w:r>
    </w:p>
    <w:p w14:paraId="292AC50D">
      <w:pPr>
        <w:pStyle w:val="19"/>
        <w:kinsoku w:val="0"/>
        <w:autoSpaceDE w:val="0"/>
        <w:autoSpaceDN w:val="0"/>
        <w:adjustRightInd w:val="0"/>
        <w:snapToGrid w:val="0"/>
        <w:spacing w:before="100" w:after="0" w:line="317" w:lineRule="auto"/>
        <w:ind w:right="321"/>
        <w:jc w:val="right"/>
        <w:textAlignment w:val="baseline"/>
        <w:rPr>
          <w:rFonts w:ascii="仿宋" w:hAnsi="仿宋" w:eastAsia="仿宋" w:cs="仿宋"/>
          <w:snapToGrid w:val="0"/>
          <w:color w:val="000000"/>
          <w:spacing w:val="8"/>
          <w:kern w:val="0"/>
          <w:sz w:val="31"/>
          <w:szCs w:val="31"/>
        </w:rPr>
      </w:pPr>
      <w:r>
        <w:rPr>
          <w:rFonts w:ascii="仿宋" w:hAnsi="仿宋" w:eastAsia="仿宋" w:cs="仿宋"/>
          <w:snapToGrid w:val="0"/>
          <w:color w:val="000000"/>
          <w:spacing w:val="8"/>
          <w:kern w:val="0"/>
          <w:sz w:val="31"/>
          <w:szCs w:val="31"/>
        </w:rPr>
        <w:t>《灸刮技术规范》起草组</w:t>
      </w:r>
    </w:p>
    <w:p w14:paraId="443A3652">
      <w:pPr>
        <w:pStyle w:val="19"/>
        <w:kinsoku w:val="0"/>
        <w:autoSpaceDE w:val="0"/>
        <w:autoSpaceDN w:val="0"/>
        <w:adjustRightInd w:val="0"/>
        <w:snapToGrid w:val="0"/>
        <w:spacing w:before="100" w:after="0" w:line="317" w:lineRule="auto"/>
        <w:ind w:left="5705" w:right="321" w:hanging="2127"/>
        <w:jc w:val="right"/>
        <w:textAlignment w:val="baseline"/>
        <w:rPr>
          <w:rFonts w:ascii="仿宋" w:hAnsi="仿宋" w:eastAsia="仿宋" w:cs="仿宋"/>
          <w:snapToGrid w:val="0"/>
          <w:color w:val="000000"/>
          <w:spacing w:val="8"/>
          <w:kern w:val="0"/>
          <w:sz w:val="31"/>
          <w:szCs w:val="31"/>
        </w:rPr>
      </w:pPr>
      <w:r>
        <w:rPr>
          <w:rFonts w:ascii="仿宋" w:hAnsi="仿宋" w:eastAsia="仿宋" w:cs="仿宋"/>
          <w:snapToGrid w:val="0"/>
          <w:color w:val="000000"/>
          <w:spacing w:val="8"/>
          <w:kern w:val="0"/>
          <w:sz w:val="31"/>
          <w:szCs w:val="31"/>
        </w:rPr>
        <w:t>2026年6月23日</w:t>
      </w:r>
    </w:p>
    <w:sectPr>
      <w:headerReference r:id="rId5" w:type="default"/>
      <w:pgSz w:w="11906" w:h="16838"/>
      <w:pgMar w:top="1440" w:right="1797" w:bottom="1440" w:left="1797"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04141B">
    <w:pPr>
      <w:pStyle w:val="25"/>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abstractNum w:abstractNumId="6">
    <w:nsid w:val="1928DE08"/>
    <w:multiLevelType w:val="singleLevel"/>
    <w:tmpl w:val="1928DE08"/>
    <w:lvl w:ilvl="0" w:tentative="0">
      <w:start w:val="1"/>
      <w:numFmt w:val="chineseCounting"/>
      <w:suff w:val="nothing"/>
      <w:lvlText w:val="（%1）"/>
      <w:lvlJc w:val="left"/>
      <w:pPr>
        <w:ind w:left="-178"/>
      </w:pPr>
      <w:rPr>
        <w:rFonts w:hint="eastAsia"/>
      </w:rPr>
    </w:lvl>
  </w:abstractNum>
  <w:abstractNum w:abstractNumId="7">
    <w:nsid w:val="6F0347A5"/>
    <w:multiLevelType w:val="singleLevel"/>
    <w:tmpl w:val="6F0347A5"/>
    <w:lvl w:ilvl="0" w:tentative="0">
      <w:start w:val="1"/>
      <w:numFmt w:val="chineseCounting"/>
      <w:suff w:val="nothing"/>
      <w:lvlText w:val="（%1）"/>
      <w:lvlJc w:val="left"/>
      <w:pPr>
        <w:ind w:left="-178"/>
      </w:pPr>
      <w:rPr>
        <w:rFonts w:hint="eastAsia"/>
      </w:rPr>
    </w:lvl>
  </w:abstractNum>
  <w:num w:numId="1">
    <w:abstractNumId w:val="1"/>
  </w:num>
  <w:num w:numId="2">
    <w:abstractNumId w:val="4"/>
  </w:num>
  <w:num w:numId="3">
    <w:abstractNumId w:val="5"/>
  </w:num>
  <w:num w:numId="4">
    <w:abstractNumId w:val="2"/>
  </w:num>
  <w:num w:numId="5">
    <w:abstractNumId w:val="0"/>
  </w:num>
  <w:num w:numId="6">
    <w:abstractNumId w:val="3"/>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3141B9A"/>
    <w:rsid w:val="19E17F65"/>
    <w:rsid w:val="369B35A4"/>
    <w:rsid w:val="54960ECB"/>
    <w:rsid w:val="71BF6217"/>
    <w:rsid w:val="7A2D231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uiPriority="99" w:semiHidden="0" w:name="List Bullet 3"/>
    <w:lsdException w:uiPriority="99" w:name="List Bullet 4"/>
    <w:lsdException w:uiPriority="99" w:name="List Bullet 5"/>
    <w:lsdException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semiHidden="0" w:name="Body Text"/>
    <w:lsdException w:uiPriority="99" w:name="Body Text Indent"/>
    <w:lsdException w:qFormat="1"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qFormat="1" w:unhideWhenUsed="0" w:uiPriority="61" w:semiHidden="0" w:name="Light List"/>
    <w:lsdException w:qFormat="1"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unhideWhenUsed="0" w:uiPriority="68" w:semiHidden="0" w:name="Medium Grid 2 Accent 1"/>
    <w:lsdException w:qFormat="1"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qFormat="1" w:unhideWhenUsed="0" w:uiPriority="64" w:semiHidden="0" w:name="Medium Shading 2 Accent 2"/>
    <w:lsdException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qFormat="1" w:unhideWhenUsed="0" w:uiPriority="60" w:semiHidden="0" w:name="Light Shading Accent 3"/>
    <w:lsdException w:unhideWhenUsed="0" w:uiPriority="61" w:semiHidden="0" w:name="Light List Accent 3"/>
    <w:lsdException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unhideWhenUsed="0" w:uiPriority="68" w:semiHidden="0" w:name="Medium Grid 2 Accent 3"/>
    <w:lsdException w:qFormat="1"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qFormat="1" w:unhideWhenUsed="0" w:uiPriority="60" w:semiHidden="0" w:name="Light Shading Accent 4"/>
    <w:lsdException w:qFormat="1" w:unhideWhenUsed="0" w:uiPriority="61" w:semiHidden="0" w:name="Light List Accent 4"/>
    <w:lsdException w:unhideWhenUsed="0" w:uiPriority="62" w:semiHidden="0" w:name="Light Grid Accent 4"/>
    <w:lsdException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unhideWhenUsed="0" w:uiPriority="67" w:semiHidden="0" w:name="Medium Grid 1 Accent 4"/>
    <w:lsdException w:unhideWhenUsed="0" w:uiPriority="68" w:semiHidden="0" w:name="Medium Grid 2 Accent 4"/>
    <w:lsdException w:qFormat="1"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qFormat="1" w:unhideWhenUsed="0" w:uiPriority="60" w:semiHidden="0" w:name="Light Shading Accent 5"/>
    <w:lsdException w:unhideWhenUsed="0" w:uiPriority="61" w:semiHidden="0" w:name="Light List Accent 5"/>
    <w:lsdException w:qFormat="1" w:unhideWhenUsed="0" w:uiPriority="62" w:semiHidden="0" w:name="Light Grid Accent 5"/>
    <w:lsdException w:qFormat="1" w:unhideWhenUsed="0" w:uiPriority="63" w:semiHidden="0" w:name="Medium Shading 1 Accent 5"/>
    <w:lsdException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unhideWhenUsed="0" w:uiPriority="68" w:semiHidden="0" w:name="Medium Grid 2 Accent 5"/>
    <w:lsdException w:qFormat="1"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qFormat="1" w:unhideWhenUsed="0" w:uiPriority="61" w:semiHidden="0" w:name="Light List Accent 6"/>
    <w:lsdException w:qFormat="1" w:unhideWhenUsed="0" w:uiPriority="62" w:semiHidden="0" w:name="Light Grid Accent 6"/>
    <w:lsdException w:unhideWhenUsed="0" w:uiPriority="63" w:semiHidden="0" w:name="Medium Shading 1 Accent 6"/>
    <w:lsdException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unhideWhenUsed="0" w:uiPriority="68" w:semiHidden="0" w:name="Medium Grid 2 Accent 6"/>
    <w:lsdException w:qFormat="1"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宋体" w:hAnsi="宋体" w:eastAsia="宋体" w:cstheme="minorBidi"/>
      <w:sz w:val="24"/>
      <w:szCs w:val="22"/>
      <w:lang w:val="en-US" w:eastAsia="en-US" w:bidi="ar-SA"/>
    </w:rPr>
  </w:style>
  <w:style w:type="paragraph" w:styleId="3">
    <w:name w:val="heading 1"/>
    <w:basedOn w:val="1"/>
    <w:next w:val="1"/>
    <w:link w:val="140"/>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1"/>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2"/>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2"/>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3"/>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4"/>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5"/>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6"/>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7"/>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4">
    <w:name w:val="Default Paragraph Font"/>
    <w:semiHidden/>
    <w:unhideWhenUsed/>
    <w:qFormat/>
    <w:uiPriority w:val="1"/>
  </w:style>
  <w:style w:type="table" w:default="1" w:styleId="34">
    <w:name w:val="Normal Table"/>
    <w:semiHidden/>
    <w:unhideWhenUsed/>
    <w:uiPriority w:val="99"/>
    <w:tblPr>
      <w:tblCellMar>
        <w:top w:w="0" w:type="dxa"/>
        <w:left w:w="108" w:type="dxa"/>
        <w:bottom w:w="0" w:type="dxa"/>
        <w:right w:w="108" w:type="dxa"/>
      </w:tblCellMar>
    </w:tblPr>
  </w:style>
  <w:style w:type="paragraph" w:styleId="2">
    <w:name w:val="macro"/>
    <w:link w:val="149"/>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8"/>
    <w:unhideWhenUsed/>
    <w:qFormat/>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6"/>
    <w:unhideWhenUsed/>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8"/>
    <w:unhideWhenUsed/>
    <w:uiPriority w:val="99"/>
    <w:pPr>
      <w:tabs>
        <w:tab w:val="center" w:pos="4680"/>
        <w:tab w:val="right" w:pos="9360"/>
      </w:tabs>
      <w:spacing w:after="0" w:line="240" w:lineRule="auto"/>
    </w:pPr>
  </w:style>
  <w:style w:type="paragraph" w:styleId="25">
    <w:name w:val="header"/>
    <w:basedOn w:val="1"/>
    <w:link w:val="137"/>
    <w:unhideWhenUsed/>
    <w:qFormat/>
    <w:uiPriority w:val="99"/>
    <w:pPr>
      <w:tabs>
        <w:tab w:val="center" w:pos="4680"/>
        <w:tab w:val="right" w:pos="9360"/>
      </w:tabs>
      <w:spacing w:after="0" w:line="240" w:lineRule="auto"/>
    </w:pPr>
  </w:style>
  <w:style w:type="paragraph" w:styleId="26">
    <w:name w:val="toc 1"/>
    <w:basedOn w:val="1"/>
    <w:next w:val="1"/>
    <w:unhideWhenUsed/>
    <w:qFormat/>
    <w:uiPriority w:val="39"/>
  </w:style>
  <w:style w:type="paragraph" w:styleId="27">
    <w:name w:val="Subtitle"/>
    <w:basedOn w:val="1"/>
    <w:next w:val="1"/>
    <w:link w:val="144"/>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8">
    <w:name w:val="List"/>
    <w:basedOn w:val="1"/>
    <w:unhideWhenUsed/>
    <w:qFormat/>
    <w:uiPriority w:val="99"/>
    <w:pPr>
      <w:ind w:left="360" w:hanging="360"/>
      <w:contextualSpacing/>
    </w:pPr>
  </w:style>
  <w:style w:type="paragraph" w:styleId="29">
    <w:name w:val="toc 2"/>
    <w:basedOn w:val="1"/>
    <w:next w:val="1"/>
    <w:unhideWhenUsed/>
    <w:qFormat/>
    <w:uiPriority w:val="39"/>
    <w:pPr>
      <w:ind w:left="420" w:leftChars="200"/>
    </w:pPr>
  </w:style>
  <w:style w:type="paragraph" w:styleId="30">
    <w:name w:val="Body Text 2"/>
    <w:basedOn w:val="1"/>
    <w:link w:val="147"/>
    <w:unhideWhenUsed/>
    <w:qFormat/>
    <w:uiPriority w:val="99"/>
    <w:pPr>
      <w:spacing w:after="120" w:line="480" w:lineRule="auto"/>
    </w:pPr>
  </w:style>
  <w:style w:type="paragraph" w:styleId="31">
    <w:name w:val="List Continue 2"/>
    <w:basedOn w:val="1"/>
    <w:unhideWhenUsed/>
    <w:uiPriority w:val="99"/>
    <w:pPr>
      <w:spacing w:after="120"/>
      <w:ind w:left="720"/>
      <w:contextualSpacing/>
    </w:pPr>
  </w:style>
  <w:style w:type="paragraph" w:styleId="32">
    <w:name w:val="List Continue 3"/>
    <w:basedOn w:val="1"/>
    <w:unhideWhenUsed/>
    <w:uiPriority w:val="99"/>
    <w:pPr>
      <w:spacing w:after="120"/>
      <w:ind w:left="1080"/>
      <w:contextualSpacing/>
    </w:pPr>
  </w:style>
  <w:style w:type="paragraph" w:styleId="33">
    <w:name w:val="Title"/>
    <w:basedOn w:val="1"/>
    <w:next w:val="1"/>
    <w:link w:val="143"/>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5">
    <w:name w:val="Table Grid"/>
    <w:basedOn w:val="34"/>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6">
    <w:name w:val="Light Shading"/>
    <w:basedOn w:val="34"/>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7">
    <w:name w:val="Light Shading Accent 1"/>
    <w:basedOn w:val="34"/>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8">
    <w:name w:val="Light Shading Accent 2"/>
    <w:basedOn w:val="34"/>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9">
    <w:name w:val="Light Shading Accent 3"/>
    <w:basedOn w:val="34"/>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34"/>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1">
    <w:name w:val="Light Shading Accent 5"/>
    <w:basedOn w:val="34"/>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2">
    <w:name w:val="Light Shading Accent 6"/>
    <w:basedOn w:val="34"/>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3">
    <w:name w:val="Light List"/>
    <w:basedOn w:val="34"/>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4">
    <w:name w:val="Light List Accent 1"/>
    <w:basedOn w:val="34"/>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5">
    <w:name w:val="Light List Accent 2"/>
    <w:basedOn w:val="34"/>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6">
    <w:name w:val="Light List Accent 3"/>
    <w:basedOn w:val="34"/>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7">
    <w:name w:val="Light List Accent 4"/>
    <w:basedOn w:val="34"/>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8">
    <w:name w:val="Light List Accent 5"/>
    <w:basedOn w:val="34"/>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9">
    <w:name w:val="Light List Accent 6"/>
    <w:basedOn w:val="34"/>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0">
    <w:name w:val="Light Grid"/>
    <w:basedOn w:val="34"/>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1">
    <w:name w:val="Light Grid Accent 1"/>
    <w:basedOn w:val="34"/>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2">
    <w:name w:val="Light Grid Accent 2"/>
    <w:basedOn w:val="34"/>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3">
    <w:name w:val="Light Grid Accent 3"/>
    <w:basedOn w:val="34"/>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4">
    <w:name w:val="Light Grid Accent 4"/>
    <w:basedOn w:val="34"/>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5">
    <w:name w:val="Light Grid Accent 5"/>
    <w:basedOn w:val="34"/>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6">
    <w:name w:val="Light Grid Accent 6"/>
    <w:basedOn w:val="34"/>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7">
    <w:name w:val="Medium Shading 1"/>
    <w:basedOn w:val="34"/>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8">
    <w:name w:val="Medium Shading 1 Accent 1"/>
    <w:basedOn w:val="34"/>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9">
    <w:name w:val="Medium Shading 1 Accent 2"/>
    <w:basedOn w:val="34"/>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0">
    <w:name w:val="Medium Shading 1 Accent 3"/>
    <w:basedOn w:val="34"/>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1">
    <w:name w:val="Medium Shading 1 Accent 4"/>
    <w:basedOn w:val="34"/>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2">
    <w:name w:val="Medium Shading 1 Accent 5"/>
    <w:basedOn w:val="34"/>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3">
    <w:name w:val="Medium Shading 1 Accent 6"/>
    <w:basedOn w:val="34"/>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4">
    <w:name w:val="Medium Shading 2"/>
    <w:basedOn w:val="34"/>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1"/>
    <w:basedOn w:val="34"/>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2"/>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3"/>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4"/>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5"/>
    <w:basedOn w:val="34"/>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6"/>
    <w:basedOn w:val="34"/>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List 1"/>
    <w:basedOn w:val="34"/>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2">
    <w:name w:val="Medium List 1 Accent 1"/>
    <w:basedOn w:val="34"/>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3">
    <w:name w:val="Medium List 1 Accent 2"/>
    <w:basedOn w:val="34"/>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4">
    <w:name w:val="Medium List 1 Accent 3"/>
    <w:basedOn w:val="34"/>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5">
    <w:name w:val="Medium List 1 Accent 4"/>
    <w:basedOn w:val="34"/>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6">
    <w:name w:val="Medium List 1 Accent 5"/>
    <w:basedOn w:val="34"/>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7">
    <w:name w:val="Medium List 1 Accent 6"/>
    <w:basedOn w:val="34"/>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8">
    <w:name w:val="Medium List 2"/>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1"/>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2"/>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3"/>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4"/>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5"/>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6"/>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Grid 1"/>
    <w:basedOn w:val="34"/>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6">
    <w:name w:val="Medium Grid 1 Accent 1"/>
    <w:basedOn w:val="34"/>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7">
    <w:name w:val="Medium Grid 1 Accent 2"/>
    <w:basedOn w:val="34"/>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8">
    <w:name w:val="Medium Grid 1 Accent 3"/>
    <w:basedOn w:val="34"/>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9">
    <w:name w:val="Medium Grid 1 Accent 4"/>
    <w:basedOn w:val="34"/>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0">
    <w:name w:val="Medium Grid 1 Accent 5"/>
    <w:basedOn w:val="34"/>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1">
    <w:name w:val="Medium Grid 1 Accent 6"/>
    <w:basedOn w:val="34"/>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2">
    <w:name w:val="Medium Grid 2"/>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3">
    <w:name w:val="Medium Grid 2 Accent 1"/>
    <w:basedOn w:val="34"/>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4">
    <w:name w:val="Medium Grid 2 Accent 2"/>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5">
    <w:name w:val="Medium Grid 2 Accent 3"/>
    <w:basedOn w:val="34"/>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6">
    <w:name w:val="Medium Grid 2 Accent 4"/>
    <w:basedOn w:val="34"/>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7">
    <w:name w:val="Medium Grid 2 Accent 5"/>
    <w:basedOn w:val="34"/>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8">
    <w:name w:val="Medium Grid 2 Accent 6"/>
    <w:basedOn w:val="34"/>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9">
    <w:name w:val="Medium Grid 3"/>
    <w:basedOn w:val="34"/>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0">
    <w:name w:val="Medium Grid 3 Accent 1"/>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1">
    <w:name w:val="Medium Grid 3 Accent 2"/>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2">
    <w:name w:val="Medium Grid 3 Accent 3"/>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3">
    <w:name w:val="Medium Grid 3 Accent 4"/>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4">
    <w:name w:val="Medium Grid 3 Accent 5"/>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5">
    <w:name w:val="Medium Grid 3 Accent 6"/>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6">
    <w:name w:val="Dark List"/>
    <w:basedOn w:val="34"/>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7">
    <w:name w:val="Dark List Accent 1"/>
    <w:basedOn w:val="34"/>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8">
    <w:name w:val="Dark List Accent 2"/>
    <w:basedOn w:val="34"/>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9">
    <w:name w:val="Dark List Accent 3"/>
    <w:basedOn w:val="34"/>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0">
    <w:name w:val="Dark List Accent 4"/>
    <w:basedOn w:val="34"/>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1">
    <w:name w:val="Dark List Accent 5"/>
    <w:basedOn w:val="34"/>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2">
    <w:name w:val="Dark List Accent 6"/>
    <w:basedOn w:val="34"/>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3">
    <w:name w:val="Colorful Shading"/>
    <w:basedOn w:val="34"/>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1"/>
    <w:basedOn w:val="34"/>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2"/>
    <w:basedOn w:val="34"/>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3"/>
    <w:basedOn w:val="34"/>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7">
    <w:name w:val="Colorful Shading Accent 4"/>
    <w:basedOn w:val="34"/>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5"/>
    <w:basedOn w:val="34"/>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6"/>
    <w:basedOn w:val="34"/>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List"/>
    <w:basedOn w:val="34"/>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1">
    <w:name w:val="Colorful List Accent 1"/>
    <w:basedOn w:val="34"/>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2">
    <w:name w:val="Colorful List Accent 2"/>
    <w:basedOn w:val="34"/>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3">
    <w:name w:val="Colorful List Accent 3"/>
    <w:basedOn w:val="34"/>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4">
    <w:name w:val="Colorful List Accent 4"/>
    <w:basedOn w:val="34"/>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5">
    <w:name w:val="Colorful List Accent 5"/>
    <w:basedOn w:val="34"/>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6">
    <w:name w:val="Colorful List Accent 6"/>
    <w:basedOn w:val="34"/>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7">
    <w:name w:val="Colorful Grid"/>
    <w:basedOn w:val="34"/>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8">
    <w:name w:val="Colorful Grid Accent 1"/>
    <w:basedOn w:val="34"/>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9">
    <w:name w:val="Colorful Grid Accent 2"/>
    <w:basedOn w:val="34"/>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0">
    <w:name w:val="Colorful Grid Accent 3"/>
    <w:basedOn w:val="34"/>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1">
    <w:name w:val="Colorful Grid Accent 4"/>
    <w:basedOn w:val="34"/>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2">
    <w:name w:val="Colorful Grid Accent 5"/>
    <w:basedOn w:val="34"/>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3">
    <w:name w:val="Colorful Grid Accent 6"/>
    <w:basedOn w:val="34"/>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5">
    <w:name w:val="Strong"/>
    <w:basedOn w:val="134"/>
    <w:qFormat/>
    <w:uiPriority w:val="22"/>
    <w:rPr>
      <w:b/>
      <w:bCs/>
    </w:rPr>
  </w:style>
  <w:style w:type="character" w:styleId="136">
    <w:name w:val="Emphasis"/>
    <w:basedOn w:val="134"/>
    <w:qFormat/>
    <w:uiPriority w:val="20"/>
    <w:rPr>
      <w:i/>
      <w:iCs/>
    </w:rPr>
  </w:style>
  <w:style w:type="character" w:customStyle="1" w:styleId="137">
    <w:name w:val="Header Char"/>
    <w:basedOn w:val="134"/>
    <w:link w:val="25"/>
    <w:uiPriority w:val="99"/>
  </w:style>
  <w:style w:type="character" w:customStyle="1" w:styleId="138">
    <w:name w:val="Footer Char"/>
    <w:basedOn w:val="134"/>
    <w:link w:val="24"/>
    <w:uiPriority w:val="99"/>
  </w:style>
  <w:style w:type="paragraph" w:styleId="139">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40">
    <w:name w:val="Heading 1 Char"/>
    <w:basedOn w:val="134"/>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1">
    <w:name w:val="Heading 2 Char"/>
    <w:basedOn w:val="134"/>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2">
    <w:name w:val="Heading 3 Char"/>
    <w:basedOn w:val="134"/>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3">
    <w:name w:val="Title Char"/>
    <w:basedOn w:val="134"/>
    <w:link w:val="33"/>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4">
    <w:name w:val="Subtitle Char"/>
    <w:basedOn w:val="134"/>
    <w:link w:val="27"/>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5">
    <w:name w:val="List Paragraph"/>
    <w:basedOn w:val="1"/>
    <w:qFormat/>
    <w:uiPriority w:val="34"/>
    <w:pPr>
      <w:ind w:left="720"/>
      <w:contextualSpacing/>
    </w:pPr>
  </w:style>
  <w:style w:type="character" w:customStyle="1" w:styleId="146">
    <w:name w:val="Body Text Char"/>
    <w:basedOn w:val="134"/>
    <w:link w:val="19"/>
    <w:qFormat/>
    <w:uiPriority w:val="99"/>
  </w:style>
  <w:style w:type="character" w:customStyle="1" w:styleId="147">
    <w:name w:val="Body Text 2 Char"/>
    <w:basedOn w:val="134"/>
    <w:link w:val="30"/>
    <w:qFormat/>
    <w:uiPriority w:val="99"/>
  </w:style>
  <w:style w:type="character" w:customStyle="1" w:styleId="148">
    <w:name w:val="Body Text 3 Char"/>
    <w:basedOn w:val="134"/>
    <w:link w:val="17"/>
    <w:qFormat/>
    <w:uiPriority w:val="99"/>
    <w:rPr>
      <w:sz w:val="16"/>
      <w:szCs w:val="16"/>
    </w:rPr>
  </w:style>
  <w:style w:type="character" w:customStyle="1" w:styleId="149">
    <w:name w:val="Macro Text Char"/>
    <w:basedOn w:val="134"/>
    <w:link w:val="2"/>
    <w:qFormat/>
    <w:uiPriority w:val="99"/>
    <w:rPr>
      <w:rFonts w:ascii="Courier" w:hAnsi="Courier"/>
      <w:sz w:val="20"/>
      <w:szCs w:val="20"/>
    </w:rPr>
  </w:style>
  <w:style w:type="paragraph" w:styleId="150">
    <w:name w:val="Quote"/>
    <w:basedOn w:val="1"/>
    <w:next w:val="1"/>
    <w:link w:val="151"/>
    <w:qFormat/>
    <w:uiPriority w:val="29"/>
    <w:rPr>
      <w:i/>
      <w:iCs/>
      <w:color w:val="000000" w:themeColor="text1"/>
      <w14:textFill>
        <w14:solidFill>
          <w14:schemeClr w14:val="tx1"/>
        </w14:solidFill>
      </w14:textFill>
    </w:rPr>
  </w:style>
  <w:style w:type="character" w:customStyle="1" w:styleId="151">
    <w:name w:val="Quote Char"/>
    <w:basedOn w:val="134"/>
    <w:link w:val="150"/>
    <w:qFormat/>
    <w:uiPriority w:val="29"/>
    <w:rPr>
      <w:i/>
      <w:iCs/>
      <w:color w:val="000000" w:themeColor="text1"/>
      <w14:textFill>
        <w14:solidFill>
          <w14:schemeClr w14:val="tx1"/>
        </w14:solidFill>
      </w14:textFill>
    </w:rPr>
  </w:style>
  <w:style w:type="character" w:customStyle="1" w:styleId="152">
    <w:name w:val="Heading 4 Char"/>
    <w:basedOn w:val="134"/>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3">
    <w:name w:val="Heading 5 Char"/>
    <w:basedOn w:val="134"/>
    <w:link w:val="7"/>
    <w:semiHidden/>
    <w:qFormat/>
    <w:uiPriority w:val="9"/>
    <w:rPr>
      <w:rFonts w:asciiTheme="majorHAnsi" w:hAnsiTheme="majorHAnsi" w:eastAsiaTheme="majorEastAsia" w:cstheme="majorBidi"/>
      <w:color w:val="254061" w:themeColor="accent1" w:themeShade="80"/>
    </w:rPr>
  </w:style>
  <w:style w:type="character" w:customStyle="1" w:styleId="154">
    <w:name w:val="Heading 6 Char"/>
    <w:basedOn w:val="134"/>
    <w:link w:val="8"/>
    <w:semiHidden/>
    <w:qFormat/>
    <w:uiPriority w:val="9"/>
    <w:rPr>
      <w:rFonts w:asciiTheme="majorHAnsi" w:hAnsiTheme="majorHAnsi" w:eastAsiaTheme="majorEastAsia" w:cstheme="majorBidi"/>
      <w:i/>
      <w:iCs/>
      <w:color w:val="254061" w:themeColor="accent1" w:themeShade="80"/>
    </w:rPr>
  </w:style>
  <w:style w:type="character" w:customStyle="1" w:styleId="155">
    <w:name w:val="Heading 7 Char"/>
    <w:basedOn w:val="134"/>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6">
    <w:name w:val="Heading 8 Char"/>
    <w:basedOn w:val="134"/>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7">
    <w:name w:val="Heading 9 Char"/>
    <w:basedOn w:val="134"/>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8">
    <w:name w:val="Intense Quote"/>
    <w:basedOn w:val="1"/>
    <w:next w:val="1"/>
    <w:link w:val="159"/>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9">
    <w:name w:val="Intense Quote Char"/>
    <w:basedOn w:val="134"/>
    <w:link w:val="158"/>
    <w:qFormat/>
    <w:uiPriority w:val="30"/>
    <w:rPr>
      <w:b/>
      <w:bCs/>
      <w:i/>
      <w:iCs/>
      <w:color w:val="4F81BD" w:themeColor="accent1"/>
      <w14:textFill>
        <w14:solidFill>
          <w14:schemeClr w14:val="accent1"/>
        </w14:solidFill>
      </w14:textFill>
    </w:rPr>
  </w:style>
  <w:style w:type="character" w:customStyle="1" w:styleId="160">
    <w:name w:val="Subtle Emphasis"/>
    <w:basedOn w:val="134"/>
    <w:qFormat/>
    <w:uiPriority w:val="19"/>
    <w:rPr>
      <w:i/>
      <w:iCs/>
      <w:color w:val="808080" w:themeColor="text1" w:themeTint="80"/>
      <w14:textFill>
        <w14:solidFill>
          <w14:schemeClr w14:val="tx1">
            <w14:lumMod w14:val="50000"/>
            <w14:lumOff w14:val="50000"/>
          </w14:schemeClr>
        </w14:solidFill>
      </w14:textFill>
    </w:rPr>
  </w:style>
  <w:style w:type="character" w:customStyle="1" w:styleId="161">
    <w:name w:val="Intense Emphasis"/>
    <w:basedOn w:val="134"/>
    <w:qFormat/>
    <w:uiPriority w:val="21"/>
    <w:rPr>
      <w:b/>
      <w:bCs/>
      <w:i/>
      <w:iCs/>
      <w:color w:val="4F81BD" w:themeColor="accent1"/>
      <w14:textFill>
        <w14:solidFill>
          <w14:schemeClr w14:val="accent1"/>
        </w14:solidFill>
      </w14:textFill>
    </w:rPr>
  </w:style>
  <w:style w:type="character" w:customStyle="1" w:styleId="162">
    <w:name w:val="Subtle Reference"/>
    <w:basedOn w:val="134"/>
    <w:qFormat/>
    <w:uiPriority w:val="31"/>
    <w:rPr>
      <w:smallCaps/>
      <w:color w:val="C0504D" w:themeColor="accent2"/>
      <w:u w:val="single"/>
      <w14:textFill>
        <w14:solidFill>
          <w14:schemeClr w14:val="accent2"/>
        </w14:solidFill>
      </w14:textFill>
    </w:rPr>
  </w:style>
  <w:style w:type="character" w:customStyle="1" w:styleId="163">
    <w:name w:val="Intense Reference"/>
    <w:basedOn w:val="134"/>
    <w:qFormat/>
    <w:uiPriority w:val="32"/>
    <w:rPr>
      <w:b/>
      <w:bCs/>
      <w:smallCaps/>
      <w:color w:val="C0504D" w:themeColor="accent2"/>
      <w:spacing w:val="5"/>
      <w:u w:val="single"/>
      <w14:textFill>
        <w14:solidFill>
          <w14:schemeClr w14:val="accent2"/>
        </w14:solidFill>
      </w14:textFill>
    </w:rPr>
  </w:style>
  <w:style w:type="character" w:customStyle="1" w:styleId="164">
    <w:name w:val="Book Title"/>
    <w:basedOn w:val="134"/>
    <w:qFormat/>
    <w:uiPriority w:val="33"/>
    <w:rPr>
      <w:b/>
      <w:bCs/>
      <w:smallCaps/>
      <w:spacing w:val="5"/>
    </w:rPr>
  </w:style>
  <w:style w:type="paragraph" w:customStyle="1" w:styleId="165">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numbering" Target="numbering.xml"/><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pn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5617</Words>
  <Characters>5840</Characters>
  <Lines>0</Lines>
  <Paragraphs>0</Paragraphs>
  <TotalTime>214</TotalTime>
  <ScaleCrop>false</ScaleCrop>
  <LinksUpToDate>false</LinksUpToDate>
  <CharactersWithSpaces>5879</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小陈皮</cp:lastModifiedBy>
  <dcterms:modified xsi:type="dcterms:W3CDTF">2026-06-30T16:34:03Z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eyJoZGlkIjoiMWY5OTUwNGZiZjY1YWE0NDNhOGRjOGNmYTFlMGU5NTciLCJ1c2VySWQiOiIzNzcxMTczMzEifQ==</vt:lpwstr>
  </property>
  <property fmtid="{D5CDD505-2E9C-101B-9397-08002B2CF9AE}" pid="3" name="KSOProductBuildVer">
    <vt:lpwstr>2052-12.1.0.26884</vt:lpwstr>
  </property>
  <property fmtid="{D5CDD505-2E9C-101B-9397-08002B2CF9AE}" pid="4" name="ICV">
    <vt:lpwstr>3138FA8BD3B04AC384AA3DE5820B1D06_13</vt:lpwstr>
  </property>
</Properties>
</file>