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CD44E">
      <w:pPr>
        <w:keepNext w:val="0"/>
        <w:keepLines w:val="0"/>
        <w:pageBreakBefore w:val="0"/>
        <w:widowControl/>
        <w:kinsoku w:val="0"/>
        <w:wordWrap/>
        <w:overflowPunct/>
        <w:topLinePunct w:val="0"/>
        <w:autoSpaceDE w:val="0"/>
        <w:autoSpaceDN w:val="0"/>
        <w:bidi w:val="0"/>
        <w:adjustRightInd w:val="0"/>
        <w:snapToGrid w:val="0"/>
        <w:spacing w:before="255" w:after="0" w:afterLines="50" w:line="320" w:lineRule="auto"/>
        <w:ind w:right="1270"/>
        <w:jc w:val="center"/>
        <w:textAlignment w:val="baseline"/>
        <w:rPr>
          <w:rFonts w:hint="eastAsia" w:ascii="黑体" w:hAnsi="黑体" w:eastAsia="黑体" w:cs="黑体"/>
          <w:b/>
          <w:bCs/>
          <w:spacing w:val="10"/>
          <w:sz w:val="43"/>
          <w:szCs w:val="43"/>
          <w:lang w:eastAsia="zh-CN"/>
        </w:rPr>
      </w:pPr>
      <w:r>
        <w:rPr>
          <w:rFonts w:hint="eastAsia" w:ascii="黑体" w:hAnsi="黑体" w:eastAsia="黑体" w:cs="黑体"/>
          <w:b/>
          <w:bCs/>
          <w:spacing w:val="15"/>
          <w:sz w:val="43"/>
          <w:szCs w:val="43"/>
          <w:lang w:val="en-US" w:eastAsia="zh-CN"/>
        </w:rPr>
        <w:t xml:space="preserve">   </w:t>
      </w:r>
      <w:r>
        <w:rPr>
          <w:rFonts w:ascii="黑体" w:hAnsi="黑体" w:eastAsia="黑体" w:cs="黑体"/>
          <w:b/>
          <w:bCs/>
          <w:spacing w:val="15"/>
          <w:sz w:val="43"/>
          <w:szCs w:val="43"/>
        </w:rPr>
        <w:t>《</w:t>
      </w:r>
      <w:r>
        <w:rPr>
          <w:rFonts w:hint="eastAsia" w:ascii="黑体" w:hAnsi="黑体" w:eastAsia="黑体" w:cs="黑体"/>
          <w:b/>
          <w:bCs/>
          <w:spacing w:val="15"/>
          <w:sz w:val="43"/>
          <w:szCs w:val="43"/>
          <w:lang w:val="en-US" w:eastAsia="zh-CN"/>
        </w:rPr>
        <w:t>药陶罐</w:t>
      </w:r>
      <w:r>
        <w:rPr>
          <w:rFonts w:hint="eastAsia" w:ascii="黑体" w:hAnsi="黑体" w:eastAsia="黑体" w:cs="黑体"/>
          <w:b/>
          <w:bCs/>
          <w:spacing w:val="15"/>
          <w:sz w:val="43"/>
          <w:szCs w:val="43"/>
          <w:lang w:eastAsia="zh-CN"/>
        </w:rPr>
        <w:t>技术</w:t>
      </w:r>
      <w:r>
        <w:rPr>
          <w:rFonts w:ascii="黑体" w:hAnsi="黑体" w:eastAsia="黑体" w:cs="黑体"/>
          <w:b/>
          <w:bCs/>
          <w:spacing w:val="15"/>
          <w:sz w:val="43"/>
          <w:szCs w:val="43"/>
        </w:rPr>
        <w:t>规范</w:t>
      </w:r>
      <w:r>
        <w:rPr>
          <w:rFonts w:hint="eastAsia" w:ascii="黑体" w:hAnsi="黑体" w:eastAsia="黑体" w:cs="黑体"/>
          <w:b/>
          <w:bCs/>
          <w:spacing w:val="15"/>
          <w:sz w:val="43"/>
          <w:szCs w:val="43"/>
          <w:lang w:eastAsia="zh-CN"/>
        </w:rPr>
        <w:t>》</w:t>
      </w:r>
      <w:r>
        <w:rPr>
          <w:rFonts w:ascii="黑体" w:hAnsi="黑体" w:eastAsia="黑体" w:cs="黑体"/>
          <w:b/>
          <w:bCs/>
          <w:spacing w:val="10"/>
          <w:sz w:val="43"/>
          <w:szCs w:val="43"/>
        </w:rPr>
        <w:t>团体标</w:t>
      </w:r>
      <w:r>
        <w:rPr>
          <w:rFonts w:hint="eastAsia" w:ascii="黑体" w:hAnsi="黑体" w:eastAsia="黑体" w:cs="黑体"/>
          <w:b/>
          <w:bCs/>
          <w:spacing w:val="10"/>
          <w:sz w:val="43"/>
          <w:szCs w:val="43"/>
          <w:lang w:eastAsia="zh-CN"/>
        </w:rPr>
        <w:t>准</w:t>
      </w:r>
    </w:p>
    <w:p w14:paraId="24D38812">
      <w:pPr>
        <w:keepNext w:val="0"/>
        <w:keepLines w:val="0"/>
        <w:pageBreakBefore w:val="0"/>
        <w:widowControl/>
        <w:kinsoku w:val="0"/>
        <w:wordWrap/>
        <w:overflowPunct/>
        <w:topLinePunct w:val="0"/>
        <w:autoSpaceDE w:val="0"/>
        <w:autoSpaceDN w:val="0"/>
        <w:bidi w:val="0"/>
        <w:adjustRightInd w:val="0"/>
        <w:snapToGrid w:val="0"/>
        <w:spacing w:before="255" w:after="0" w:afterLines="50" w:line="320" w:lineRule="auto"/>
        <w:ind w:right="1270"/>
        <w:jc w:val="center"/>
        <w:textAlignment w:val="baseline"/>
        <w:rPr>
          <w:rFonts w:ascii="黑体" w:hAnsi="黑体" w:eastAsia="黑体" w:cs="黑体"/>
          <w:b/>
          <w:bCs/>
          <w:spacing w:val="10"/>
          <w:sz w:val="43"/>
          <w:szCs w:val="43"/>
        </w:rPr>
      </w:pPr>
      <w:r>
        <w:rPr>
          <w:rFonts w:hint="eastAsia" w:ascii="黑体" w:hAnsi="黑体" w:eastAsia="黑体" w:cs="黑体"/>
          <w:b/>
          <w:bCs/>
          <w:spacing w:val="10"/>
          <w:sz w:val="43"/>
          <w:szCs w:val="43"/>
          <w:lang w:val="en-US" w:eastAsia="zh-CN"/>
        </w:rPr>
        <w:t xml:space="preserve">    </w:t>
      </w:r>
      <w:r>
        <w:rPr>
          <w:rFonts w:ascii="黑体" w:hAnsi="黑体" w:eastAsia="黑体" w:cs="黑体"/>
          <w:b/>
          <w:bCs/>
          <w:spacing w:val="10"/>
          <w:sz w:val="43"/>
          <w:szCs w:val="43"/>
        </w:rPr>
        <w:t>编制说明</w:t>
      </w:r>
    </w:p>
    <w:p w14:paraId="24367FEC">
      <w:pPr>
        <w:spacing w:before="133" w:line="226" w:lineRule="auto"/>
        <w:rPr>
          <w:rFonts w:ascii="黑体" w:hAnsi="黑体" w:eastAsia="黑体" w:cs="黑体"/>
          <w:sz w:val="32"/>
          <w:szCs w:val="32"/>
        </w:rPr>
      </w:pPr>
      <w:r>
        <w:rPr>
          <w:rFonts w:ascii="黑体" w:hAnsi="黑体" w:eastAsia="黑体" w:cs="黑体"/>
          <w:spacing w:val="8"/>
          <w:sz w:val="32"/>
          <w:szCs w:val="32"/>
        </w:rPr>
        <w:t>一、标准编制背景及任务来源</w:t>
      </w:r>
    </w:p>
    <w:p w14:paraId="6B36EE20">
      <w:pPr>
        <w:spacing w:line="318" w:lineRule="auto"/>
        <w:rPr>
          <w:rFonts w:ascii="Arial"/>
          <w:sz w:val="21"/>
        </w:rPr>
      </w:pPr>
    </w:p>
    <w:p w14:paraId="094A8A63">
      <w:pPr>
        <w:spacing w:before="101" w:line="360" w:lineRule="auto"/>
        <w:ind w:firstLine="291" w:firstLineChars="100"/>
        <w:rPr>
          <w:rFonts w:hint="eastAsia" w:ascii="仿宋" w:hAnsi="仿宋" w:eastAsia="仿宋" w:cs="仿宋"/>
          <w:b/>
          <w:bCs/>
          <w:sz w:val="28"/>
          <w:szCs w:val="28"/>
        </w:rPr>
      </w:pPr>
      <w:r>
        <w:rPr>
          <w:rFonts w:hint="eastAsia" w:ascii="仿宋" w:hAnsi="仿宋" w:eastAsia="仿宋" w:cs="仿宋"/>
          <w:b/>
          <w:bCs/>
          <w:spacing w:val="5"/>
          <w:sz w:val="28"/>
          <w:szCs w:val="28"/>
        </w:rPr>
        <w:t>（一）标准编制背景</w:t>
      </w:r>
    </w:p>
    <w:p w14:paraId="0DFAF781">
      <w:pPr>
        <w:spacing w:before="54" w:line="360" w:lineRule="auto"/>
        <w:ind w:firstLine="584" w:firstLineChars="200"/>
        <w:outlineLvl w:val="0"/>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随着人口老龄化进程加快、慢性劳损性疾病发病率持续攀升，肌肉骨骼系统疾病已成为影响国民健康与生活质量的重要公共卫生问题。据统计，我国慢性疼痛患者已超过3亿人，其中以颈肩腰腿痛、关节痛、软组织损伤为代表的肌肉骨骼系统疾病占比极高，且呈现年轻化趋势。在基层医疗卫生服务体系中，安全、有效、简便的中医外治技术对于缓解此类病症、减少药物依赖、降低医疗负担具有不可替代的作用。</w:t>
      </w:r>
    </w:p>
    <w:p w14:paraId="77F54077">
      <w:pPr>
        <w:spacing w:before="54" w:line="360" w:lineRule="auto"/>
        <w:ind w:firstLine="584" w:firstLineChars="200"/>
        <w:outlineLvl w:val="0"/>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药陶罐技术是一项融合拔罐、热熨与艾灸原理的中医特色外治法。该技术以宣蛰人软组织外科学理论及中医基础理论为学术根基，借助特制药陶罐为治疗工具，通过罐内药酒燃烧形成负压吸附于体表，配合面饼介质与罐底艾绒燃烧产生的温热刺激，实现“罐、药、热、灸”四效合一，具有温经散寒、舒筋活络、祛湿止痛的独特功效。该技术源于钱卫东先生钱氏家族五代祖传医术，已被正式列入地方非物质文化遗产名录，具有深厚的历史底蕴与文化价值。经钱卫东先生及其弟子团队的多年临床实践与系统改良，药陶罐在材质、型号、操作规范等方面持续优化，已在全国多家医疗机构推广应用，成为中医骨伤科、康复科、疼痛科及中医护理领域的特色治疗手段。</w:t>
      </w:r>
    </w:p>
    <w:p w14:paraId="56C8D754">
      <w:pPr>
        <w:spacing w:before="54" w:line="360" w:lineRule="auto"/>
        <w:ind w:firstLine="584" w:firstLineChars="200"/>
        <w:outlineLvl w:val="0"/>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然而，随着该技术临床应用范围不断扩大，标准化体系缺失的问题日益突出。目前全国尚无统一的药陶罐技术操作规范，在操作流程、药酒配方与使用、面饼制作、留罐时间、安全控制等方面多依赖师承经验与口传心授，各地执行尺度不一。与此同时，该技术涉及药酒燃烧、艾绒点燃等明火操作环节，存在烫伤、火灾、晕罐等潜在风险，但因缺乏系统性的适应证与禁忌证界定、标准化的风险评估流程以及突发事件的应急处置规范，患者安全隐患不容忽视。此外，从业人员培训缺乏权威教材与考核依据，不同机构操作同质化不足，严重制约了技术的安全推广与高质量传承。</w:t>
      </w:r>
    </w:p>
    <w:p w14:paraId="53035883">
      <w:pPr>
        <w:spacing w:before="54" w:line="360" w:lineRule="auto"/>
        <w:ind w:firstLine="584" w:firstLineChars="200"/>
        <w:outlineLvl w:val="0"/>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国家高度重视中医药标准化建设。《中医药标准化行动计划（2024—2026年）》明确提出，要加快特色中医外治技术标准制修订，完善操作规范、安全管控、疗效评价完整体系，推动中医适宜技术安全同质化下沉基层医疗机构。《“十四五”中医药发展规划》同步要求建立中医特色技术统一管理、培训、质控机制。在此背景下，制定《药陶罐技术规范》团体标准，填补该技术领域标准空白，统一临床操作规范、降低安全风险、支撑技术标准化传承，具有极强的现实必要性与政策支撑。</w:t>
      </w:r>
    </w:p>
    <w:p w14:paraId="2D8F52F4">
      <w:pPr>
        <w:spacing w:before="54" w:line="360" w:lineRule="auto"/>
        <w:ind w:left="658"/>
        <w:outlineLvl w:val="0"/>
        <w:rPr>
          <w:rFonts w:hint="eastAsia" w:ascii="仿宋" w:hAnsi="仿宋" w:eastAsia="仿宋" w:cs="仿宋"/>
          <w:b/>
          <w:bCs/>
          <w:sz w:val="28"/>
          <w:szCs w:val="28"/>
        </w:rPr>
      </w:pPr>
      <w:r>
        <w:rPr>
          <w:rFonts w:hint="eastAsia" w:ascii="仿宋" w:hAnsi="仿宋" w:eastAsia="仿宋" w:cs="仿宋"/>
          <w:b/>
          <w:bCs/>
          <w:spacing w:val="4"/>
          <w:sz w:val="28"/>
          <w:szCs w:val="28"/>
        </w:rPr>
        <w:t>（二）任务来源</w:t>
      </w:r>
    </w:p>
    <w:p w14:paraId="43DC480A">
      <w:pPr>
        <w:pStyle w:val="2"/>
        <w:spacing w:before="182" w:line="360" w:lineRule="auto"/>
        <w:ind w:left="2" w:right="110" w:firstLine="595" w:firstLineChars="204"/>
        <w:jc w:val="both"/>
        <w:rPr>
          <w:rFonts w:hint="eastAsia" w:ascii="仿宋" w:hAnsi="仿宋" w:eastAsia="仿宋" w:cs="仿宋"/>
          <w:spacing w:val="6"/>
          <w:sz w:val="28"/>
          <w:szCs w:val="28"/>
          <w:lang w:val="en-US" w:eastAsia="en-US"/>
        </w:rPr>
      </w:pPr>
      <w:r>
        <w:rPr>
          <w:rFonts w:hint="eastAsia" w:ascii="仿宋" w:hAnsi="仿宋" w:eastAsia="仿宋" w:cs="仿宋"/>
          <w:spacing w:val="6"/>
          <w:sz w:val="28"/>
          <w:szCs w:val="28"/>
          <w:lang w:val="en-US" w:eastAsia="en-US"/>
        </w:rPr>
        <w:t>中国民族卫生协会是经原卫生部（现国家卫生健康委员会）、国家民族事务委员会、民政部审核同意并报国务院批准成立的国家一级非营利性行业社会团体，2005年5月18日正式成立，社会组织评估等级为AAAA级，国家卫生健康委员会为其业务主管单位。协会严格遵守宪法、法律法规，贯彻落实党和国家民族卫生、中医药发展相关政策，以团结整合行业资源、开展国内外学术交流协作、推动民族地区卫生事业提质升级、传承弘扬中华传统医药、助力民族医药产业规范化发展、保障各族群众全民健康、服务小康社会与和谐社会建设为核心宗旨，具备中医适宜技术、民族医药类团体标准立项、发布、宣贯完整资质。</w:t>
      </w:r>
    </w:p>
    <w:p w14:paraId="491E0626">
      <w:pPr>
        <w:pStyle w:val="2"/>
        <w:spacing w:before="182" w:line="360" w:lineRule="auto"/>
        <w:ind w:left="2" w:right="110" w:firstLine="595" w:firstLineChars="204"/>
        <w:jc w:val="both"/>
        <w:rPr>
          <w:rFonts w:hint="eastAsia" w:ascii="仿宋" w:hAnsi="仿宋" w:eastAsia="仿宋" w:cs="仿宋"/>
          <w:spacing w:val="6"/>
          <w:sz w:val="28"/>
          <w:szCs w:val="28"/>
          <w:lang w:val="en-US" w:eastAsia="en-US"/>
        </w:rPr>
      </w:pPr>
      <w:r>
        <w:rPr>
          <w:rFonts w:hint="eastAsia" w:ascii="仿宋" w:hAnsi="仿宋" w:eastAsia="仿宋" w:cs="仿宋"/>
          <w:spacing w:val="6"/>
          <w:sz w:val="28"/>
          <w:szCs w:val="28"/>
          <w:lang w:val="en-US" w:eastAsia="en-US"/>
        </w:rPr>
        <w:t>为深入贯彻《中医药标准化行动计划（2024—2026年）》《“十四五”中医药发展规划》要求，落实健康中国战略，统一药陶罐临床操作规范、补齐中医复合型外治技术标准空白；依据《中国民族卫生协会团体标准管理办法（试行）》相关规定，本标准由广东省中医院（广州中医药大学第二附属医院）提出立项申请，经中国民族卫生协会标准化工作委员会组织专家评审、研究论证，正式批准《</w:t>
      </w:r>
      <w:r>
        <w:rPr>
          <w:rFonts w:hint="eastAsia" w:ascii="仿宋" w:hAnsi="仿宋" w:eastAsia="仿宋" w:cs="仿宋"/>
          <w:spacing w:val="6"/>
          <w:sz w:val="28"/>
          <w:szCs w:val="28"/>
          <w:lang w:val="en-US" w:eastAsia="zh-CN"/>
        </w:rPr>
        <w:t>药陶罐</w:t>
      </w:r>
      <w:r>
        <w:rPr>
          <w:rFonts w:hint="eastAsia" w:ascii="仿宋" w:hAnsi="仿宋" w:eastAsia="仿宋" w:cs="仿宋"/>
          <w:spacing w:val="6"/>
          <w:sz w:val="28"/>
          <w:szCs w:val="28"/>
          <w:lang w:val="en-US" w:eastAsia="en-US"/>
        </w:rPr>
        <w:t>技术规范》团体标准制定项目立项，标准编号T/CNHAW</w:t>
      </w:r>
      <w:r>
        <w:rPr>
          <w:rFonts w:hint="eastAsia" w:ascii="仿宋" w:hAnsi="仿宋" w:eastAsia="仿宋" w:cs="仿宋"/>
          <w:spacing w:val="6"/>
          <w:sz w:val="28"/>
          <w:szCs w:val="28"/>
          <w:lang w:val="en-US" w:eastAsia="zh-CN"/>
        </w:rPr>
        <w:t xml:space="preserve"> </w:t>
      </w:r>
      <w:r>
        <w:rPr>
          <w:rFonts w:hint="eastAsia" w:ascii="仿宋" w:hAnsi="仿宋" w:eastAsia="仿宋" w:cs="仿宋"/>
          <w:spacing w:val="6"/>
          <w:sz w:val="28"/>
          <w:szCs w:val="28"/>
          <w:lang w:val="en-US" w:eastAsia="en-US"/>
        </w:rPr>
        <w:t>001</w:t>
      </w:r>
      <w:r>
        <w:rPr>
          <w:rFonts w:hint="eastAsia" w:ascii="仿宋" w:hAnsi="仿宋" w:eastAsia="仿宋" w:cs="仿宋"/>
          <w:spacing w:val="6"/>
          <w:sz w:val="28"/>
          <w:szCs w:val="28"/>
          <w:lang w:val="en-US" w:eastAsia="zh-CN"/>
        </w:rPr>
        <w:t>6</w:t>
      </w:r>
      <w:r>
        <w:rPr>
          <w:rFonts w:hint="eastAsia" w:ascii="仿宋" w:hAnsi="仿宋" w:eastAsia="仿宋" w:cs="仿宋"/>
          <w:spacing w:val="6"/>
          <w:sz w:val="28"/>
          <w:szCs w:val="28"/>
          <w:lang w:val="en-US" w:eastAsia="en-US"/>
        </w:rPr>
        <w:t>-2026。</w:t>
      </w:r>
    </w:p>
    <w:p w14:paraId="2A93169B">
      <w:pPr>
        <w:pStyle w:val="2"/>
        <w:spacing w:before="182" w:line="360" w:lineRule="auto"/>
        <w:ind w:left="2" w:right="110" w:firstLine="595" w:firstLineChars="204"/>
        <w:jc w:val="both"/>
        <w:rPr>
          <w:rFonts w:hint="eastAsia" w:ascii="仿宋" w:hAnsi="仿宋" w:eastAsia="仿宋" w:cs="仿宋"/>
          <w:spacing w:val="6"/>
          <w:sz w:val="28"/>
          <w:szCs w:val="28"/>
          <w:lang w:val="en-US" w:eastAsia="en-US"/>
        </w:rPr>
      </w:pPr>
      <w:r>
        <w:rPr>
          <w:rFonts w:hint="eastAsia" w:ascii="仿宋" w:hAnsi="仿宋" w:eastAsia="仿宋" w:cs="仿宋"/>
          <w:spacing w:val="6"/>
          <w:sz w:val="28"/>
          <w:szCs w:val="28"/>
          <w:lang w:val="en-US" w:eastAsia="en-US"/>
        </w:rPr>
        <w:t>为保障标准编制内容科学严谨、贴合临床实操、具备行业普适性，确保编制质量与落地实施效果，本标准以广东省中医院（广州中医药大学第二附属医院）为主编单位，联合全国多省市三甲中医医院、中西医结合医院、基层中医院、中医药高校、康复专科机构等多方单位共同组建起草工作组，协同完成标准全流程起草、调研、论证与编制工作。</w:t>
      </w:r>
    </w:p>
    <w:p w14:paraId="4382817C">
      <w:pPr>
        <w:spacing w:before="133" w:line="226" w:lineRule="auto"/>
        <w:rPr>
          <w:rFonts w:hint="eastAsia" w:ascii="仿宋" w:hAnsi="仿宋" w:eastAsia="仿宋" w:cs="仿宋"/>
          <w:sz w:val="28"/>
          <w:szCs w:val="28"/>
        </w:rPr>
      </w:pPr>
      <w:r>
        <w:rPr>
          <w:rFonts w:hint="eastAsia" w:ascii="黑体" w:hAnsi="黑体" w:eastAsia="黑体" w:cs="黑体"/>
          <w:spacing w:val="8"/>
          <w:sz w:val="32"/>
          <w:szCs w:val="32"/>
        </w:rPr>
        <w:t>二、主要工作过程</w:t>
      </w:r>
    </w:p>
    <w:p w14:paraId="6F43BEF4">
      <w:pPr>
        <w:numPr>
          <w:ilvl w:val="0"/>
          <w:numId w:val="1"/>
        </w:numPr>
        <w:kinsoku w:val="0"/>
        <w:autoSpaceDE w:val="0"/>
        <w:autoSpaceDN w:val="0"/>
        <w:adjustRightInd w:val="0"/>
        <w:snapToGrid w:val="0"/>
        <w:spacing w:before="182" w:line="360" w:lineRule="auto"/>
        <w:ind w:left="2" w:leftChars="0" w:right="110" w:rightChars="0" w:firstLine="598" w:firstLineChars="204"/>
        <w:jc w:val="both"/>
        <w:textAlignment w:val="baseline"/>
        <w:rPr>
          <w:rFonts w:hint="eastAsia" w:ascii="仿宋" w:hAnsi="仿宋" w:eastAsia="仿宋" w:cs="仿宋"/>
          <w:b/>
          <w:bCs/>
          <w:snapToGrid w:val="0"/>
          <w:color w:val="000000"/>
          <w:spacing w:val="6"/>
          <w:kern w:val="0"/>
          <w:sz w:val="28"/>
          <w:szCs w:val="28"/>
          <w:lang w:val="en-US" w:eastAsia="en-US" w:bidi="ar-SA"/>
        </w:rPr>
      </w:pPr>
      <w:r>
        <w:rPr>
          <w:rFonts w:hint="eastAsia" w:ascii="仿宋" w:hAnsi="仿宋" w:eastAsia="仿宋" w:cs="仿宋"/>
          <w:b/>
          <w:bCs/>
          <w:snapToGrid w:val="0"/>
          <w:color w:val="000000"/>
          <w:spacing w:val="6"/>
          <w:kern w:val="0"/>
          <w:sz w:val="28"/>
          <w:szCs w:val="28"/>
          <w:lang w:val="en-US" w:eastAsia="en-US" w:bidi="ar-SA"/>
        </w:rPr>
        <w:t xml:space="preserve">预研申报阶段（2025年8月～2026年2月） </w:t>
      </w:r>
    </w:p>
    <w:p w14:paraId="515635B7">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2025年8月，广东省中医院（广州中医药大学第二附属医院）牵头组建标准筹备工作组，联合广西国际壮医医院、广州医科大学附属中医医院（广州市中医医院）等参编单位，正式启动标准预研工作。</w:t>
      </w:r>
    </w:p>
    <w:p w14:paraId="5CDA1669">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筹备组系统收集了药陶罐技术的历史文献、传承资料、钱氏家族五代传承记录、临床操作规范及各机构现行内部规程，对广东省中医院药陶罐技术的临床应用数据进行汇总分析。同时，筹备组对广东、广西、</w:t>
      </w:r>
      <w:r>
        <w:rPr>
          <w:rFonts w:hint="eastAsia" w:ascii="仿宋" w:hAnsi="仿宋" w:eastAsia="仿宋" w:cs="仿宋"/>
          <w:snapToGrid w:val="0"/>
          <w:color w:val="000000"/>
          <w:spacing w:val="6"/>
          <w:kern w:val="0"/>
          <w:sz w:val="28"/>
          <w:szCs w:val="28"/>
          <w:lang w:val="en-US" w:eastAsia="zh-CN" w:bidi="ar-SA"/>
        </w:rPr>
        <w:t>湖南</w:t>
      </w:r>
      <w:r>
        <w:rPr>
          <w:rFonts w:hint="eastAsia" w:ascii="仿宋" w:hAnsi="仿宋" w:eastAsia="仿宋" w:cs="仿宋"/>
          <w:snapToGrid w:val="0"/>
          <w:color w:val="000000"/>
          <w:spacing w:val="6"/>
          <w:kern w:val="0"/>
          <w:sz w:val="28"/>
          <w:szCs w:val="28"/>
          <w:lang w:val="en-US" w:eastAsia="en-US" w:bidi="ar-SA"/>
        </w:rPr>
        <w:t>等地多家应用该技术的医疗机构进行了书面调研，全面掌握当前临床操作的多样性、共性问题及标准化需求。调研发现，各机构在面饼厚度、药酒用量、留罐时长等关键参数上差异明显，部分机构缺乏系统的安全评估与不良反应记录，进一步印证了标准制定的紧迫性。</w:t>
      </w:r>
    </w:p>
    <w:p w14:paraId="15652FEA">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en-US" w:bidi="ar-SA"/>
        </w:rPr>
        <w:t>在此基础上，筹备组梳理了技术标准化亟需解决的核心问题，包括术语不统一、适应证界定模糊、操作流程差异大、量化参数缺失等，并初步确定了标准的主体框架方向。2026年</w:t>
      </w:r>
      <w:r>
        <w:rPr>
          <w:rFonts w:hint="eastAsia" w:ascii="仿宋" w:hAnsi="仿宋" w:eastAsia="仿宋" w:cs="仿宋"/>
          <w:snapToGrid w:val="0"/>
          <w:color w:val="000000"/>
          <w:spacing w:val="6"/>
          <w:kern w:val="0"/>
          <w:sz w:val="28"/>
          <w:szCs w:val="28"/>
          <w:lang w:val="en-US" w:eastAsia="zh-CN" w:bidi="ar-SA"/>
        </w:rPr>
        <w:t>2</w:t>
      </w:r>
      <w:r>
        <w:rPr>
          <w:rFonts w:hint="eastAsia" w:ascii="仿宋" w:hAnsi="仿宋" w:eastAsia="仿宋" w:cs="仿宋"/>
          <w:snapToGrid w:val="0"/>
          <w:color w:val="000000"/>
          <w:spacing w:val="6"/>
          <w:kern w:val="0"/>
          <w:sz w:val="28"/>
          <w:szCs w:val="28"/>
          <w:lang w:val="en-US" w:eastAsia="en-US" w:bidi="ar-SA"/>
        </w:rPr>
        <w:t>月，筹备组完成立项申报材料的撰写，正式向中国民族卫生协会标准化工作委员会提交立项申请</w:t>
      </w:r>
      <w:r>
        <w:rPr>
          <w:rFonts w:hint="eastAsia" w:ascii="仿宋" w:hAnsi="仿宋" w:eastAsia="仿宋" w:cs="仿宋"/>
          <w:snapToGrid w:val="0"/>
          <w:color w:val="000000"/>
          <w:spacing w:val="6"/>
          <w:kern w:val="0"/>
          <w:sz w:val="28"/>
          <w:szCs w:val="28"/>
          <w:lang w:val="en-US" w:eastAsia="zh-CN" w:bidi="ar-SA"/>
        </w:rPr>
        <w:t>。</w:t>
      </w:r>
    </w:p>
    <w:p w14:paraId="37433C1C">
      <w:pPr>
        <w:kinsoku w:val="0"/>
        <w:autoSpaceDE w:val="0"/>
        <w:autoSpaceDN w:val="0"/>
        <w:adjustRightInd w:val="0"/>
        <w:snapToGrid w:val="0"/>
        <w:spacing w:before="182" w:line="360" w:lineRule="auto"/>
        <w:ind w:right="110" w:rightChars="0"/>
        <w:jc w:val="center"/>
        <w:textAlignment w:val="baseline"/>
        <w:rPr>
          <w:rFonts w:hint="eastAsia" w:ascii="仿宋" w:hAnsi="仿宋" w:eastAsia="仿宋" w:cs="仿宋"/>
          <w:snapToGrid w:val="0"/>
          <w:color w:val="000000"/>
          <w:spacing w:val="6"/>
          <w:kern w:val="0"/>
          <w:sz w:val="28"/>
          <w:szCs w:val="28"/>
          <w:lang w:val="en-US" w:eastAsia="zh-CN" w:bidi="ar-SA"/>
        </w:rPr>
      </w:pPr>
      <w:bookmarkStart w:id="0" w:name="_GoBack"/>
      <w:r>
        <w:rPr>
          <w:rFonts w:hint="eastAsia" w:ascii="仿宋" w:hAnsi="仿宋" w:eastAsia="仿宋" w:cs="仿宋"/>
          <w:snapToGrid w:val="0"/>
          <w:color w:val="000000"/>
          <w:spacing w:val="6"/>
          <w:kern w:val="0"/>
          <w:sz w:val="28"/>
          <w:szCs w:val="28"/>
          <w:lang w:val="en-US" w:eastAsia="zh-CN" w:bidi="ar-SA"/>
        </w:rPr>
        <w:drawing>
          <wp:inline distT="0" distB="0" distL="114300" distR="114300">
            <wp:extent cx="5076190" cy="3580130"/>
            <wp:effectExtent l="0" t="0" r="10160" b="1270"/>
            <wp:docPr id="4" name="图片 4" descr="93451e940d40d701d3933b90f866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3451e940d40d701d3933b90f8665487"/>
                    <pic:cNvPicPr>
                      <a:picLocks noChangeAspect="1"/>
                    </pic:cNvPicPr>
                  </pic:nvPicPr>
                  <pic:blipFill>
                    <a:blip r:embed="rId7"/>
                    <a:stretch>
                      <a:fillRect/>
                    </a:stretch>
                  </pic:blipFill>
                  <pic:spPr>
                    <a:xfrm>
                      <a:off x="0" y="0"/>
                      <a:ext cx="5076190" cy="3580130"/>
                    </a:xfrm>
                    <a:prstGeom prst="rect">
                      <a:avLst/>
                    </a:prstGeom>
                  </pic:spPr>
                </pic:pic>
              </a:graphicData>
            </a:graphic>
          </wp:inline>
        </w:drawing>
      </w:r>
      <w:bookmarkEnd w:id="0"/>
    </w:p>
    <w:p w14:paraId="08F761D0">
      <w:pPr>
        <w:numPr>
          <w:ilvl w:val="0"/>
          <w:numId w:val="1"/>
        </w:numPr>
        <w:kinsoku w:val="0"/>
        <w:autoSpaceDE w:val="0"/>
        <w:autoSpaceDN w:val="0"/>
        <w:adjustRightInd w:val="0"/>
        <w:snapToGrid w:val="0"/>
        <w:spacing w:before="182" w:line="360" w:lineRule="auto"/>
        <w:ind w:left="2" w:leftChars="0" w:right="110" w:rightChars="0" w:firstLine="598" w:firstLineChars="204"/>
        <w:jc w:val="both"/>
        <w:textAlignment w:val="baseline"/>
        <w:rPr>
          <w:rFonts w:hint="eastAsia" w:ascii="仿宋" w:hAnsi="仿宋" w:eastAsia="仿宋" w:cs="仿宋"/>
          <w:b/>
          <w:bCs/>
          <w:snapToGrid w:val="0"/>
          <w:color w:val="000000"/>
          <w:spacing w:val="6"/>
          <w:kern w:val="0"/>
          <w:sz w:val="28"/>
          <w:szCs w:val="28"/>
          <w:lang w:val="en-US" w:eastAsia="en-US" w:bidi="ar-SA"/>
        </w:rPr>
      </w:pPr>
      <w:r>
        <w:rPr>
          <w:rFonts w:hint="eastAsia" w:ascii="仿宋" w:hAnsi="仿宋" w:eastAsia="仿宋" w:cs="仿宋"/>
          <w:b/>
          <w:bCs/>
          <w:snapToGrid w:val="0"/>
          <w:color w:val="000000"/>
          <w:spacing w:val="6"/>
          <w:kern w:val="0"/>
          <w:sz w:val="28"/>
          <w:szCs w:val="28"/>
          <w:lang w:val="en-US" w:eastAsia="en-US" w:bidi="ar-SA"/>
        </w:rPr>
        <w:t xml:space="preserve">立项批复与起草组建阶段（2026年3月） </w:t>
      </w:r>
    </w:p>
    <w:p w14:paraId="69214DA5">
      <w:pPr>
        <w:numPr>
          <w:ilvl w:val="0"/>
          <w:numId w:val="0"/>
        </w:numPr>
        <w:kinsoku w:val="0"/>
        <w:autoSpaceDE w:val="0"/>
        <w:autoSpaceDN w:val="0"/>
        <w:adjustRightInd w:val="0"/>
        <w:snapToGrid w:val="0"/>
        <w:spacing w:before="182" w:line="360" w:lineRule="auto"/>
        <w:ind w:right="110" w:rightChars="0"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2026年3月，中国民族卫生协会标准化工作委员会完成申报材料专家评审，正式下发本标准立项通知，标准编号T/CNHAW</w:t>
      </w:r>
      <w:r>
        <w:rPr>
          <w:rFonts w:hint="eastAsia" w:ascii="仿宋" w:hAnsi="仿宋" w:eastAsia="仿宋" w:cs="仿宋"/>
          <w:snapToGrid w:val="0"/>
          <w:color w:val="000000"/>
          <w:spacing w:val="6"/>
          <w:kern w:val="0"/>
          <w:sz w:val="28"/>
          <w:szCs w:val="28"/>
          <w:lang w:val="en-US" w:eastAsia="zh-CN" w:bidi="ar-SA"/>
        </w:rPr>
        <w:t>-B-</w:t>
      </w:r>
      <w:r>
        <w:rPr>
          <w:rFonts w:hint="eastAsia" w:ascii="仿宋" w:hAnsi="仿宋" w:eastAsia="仿宋" w:cs="仿宋"/>
          <w:snapToGrid w:val="0"/>
          <w:color w:val="000000"/>
          <w:spacing w:val="6"/>
          <w:kern w:val="0"/>
          <w:sz w:val="28"/>
          <w:szCs w:val="28"/>
          <w:lang w:val="en-US" w:eastAsia="en-US" w:bidi="ar-SA"/>
        </w:rPr>
        <w:t xml:space="preserve"> 001</w:t>
      </w:r>
      <w:r>
        <w:rPr>
          <w:rFonts w:hint="eastAsia" w:ascii="仿宋" w:hAnsi="仿宋" w:eastAsia="仿宋" w:cs="仿宋"/>
          <w:snapToGrid w:val="0"/>
          <w:color w:val="000000"/>
          <w:spacing w:val="6"/>
          <w:kern w:val="0"/>
          <w:sz w:val="28"/>
          <w:szCs w:val="28"/>
          <w:lang w:val="en-US" w:eastAsia="zh-CN" w:bidi="ar-SA"/>
        </w:rPr>
        <w:t>5</w:t>
      </w:r>
      <w:r>
        <w:rPr>
          <w:rFonts w:hint="eastAsia" w:ascii="仿宋" w:hAnsi="仿宋" w:eastAsia="仿宋" w:cs="仿宋"/>
          <w:snapToGrid w:val="0"/>
          <w:color w:val="000000"/>
          <w:spacing w:val="6"/>
          <w:kern w:val="0"/>
          <w:sz w:val="28"/>
          <w:szCs w:val="28"/>
          <w:lang w:val="en-US" w:eastAsia="en-US" w:bidi="ar-SA"/>
        </w:rPr>
        <w:t xml:space="preserve">-2026。 </w:t>
      </w:r>
    </w:p>
    <w:p w14:paraId="504BF84C">
      <w:pPr>
        <w:kinsoku w:val="0"/>
        <w:autoSpaceDE w:val="0"/>
        <w:autoSpaceDN w:val="0"/>
        <w:adjustRightInd w:val="0"/>
        <w:snapToGrid w:val="0"/>
        <w:spacing w:before="182" w:line="360"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default" w:ascii="仿宋" w:hAnsi="仿宋" w:eastAsia="仿宋" w:cs="仿宋"/>
          <w:snapToGrid w:val="0"/>
          <w:color w:val="000000"/>
          <w:spacing w:val="6"/>
          <w:kern w:val="0"/>
          <w:sz w:val="31"/>
          <w:szCs w:val="31"/>
          <w:lang w:val="en-US" w:eastAsia="zh-CN" w:bidi="ar-SA"/>
        </w:rPr>
        <w:drawing>
          <wp:anchor distT="0" distB="0" distL="114300" distR="114300" simplePos="0" relativeHeight="251659264" behindDoc="0" locked="0" layoutInCell="1" allowOverlap="1">
            <wp:simplePos x="0" y="0"/>
            <wp:positionH relativeFrom="column">
              <wp:posOffset>1301750</wp:posOffset>
            </wp:positionH>
            <wp:positionV relativeFrom="paragraph">
              <wp:posOffset>1097915</wp:posOffset>
            </wp:positionV>
            <wp:extent cx="3381375" cy="1889760"/>
            <wp:effectExtent l="0" t="0" r="9525" b="15240"/>
            <wp:wrapNone/>
            <wp:docPr id="5" name="图片 5" descr="0ad7644756aa38a962975955e5efb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ad7644756aa38a962975955e5efb549"/>
                    <pic:cNvPicPr>
                      <a:picLocks noChangeAspect="1"/>
                    </pic:cNvPicPr>
                  </pic:nvPicPr>
                  <pic:blipFill>
                    <a:blip r:embed="rId8"/>
                    <a:srcRect l="13555" t="14418" r="16577" b="16718"/>
                    <a:stretch>
                      <a:fillRect/>
                    </a:stretch>
                  </pic:blipFill>
                  <pic:spPr>
                    <a:xfrm>
                      <a:off x="0" y="0"/>
                      <a:ext cx="3381375" cy="1889760"/>
                    </a:xfrm>
                    <a:prstGeom prst="rect">
                      <a:avLst/>
                    </a:prstGeom>
                  </pic:spPr>
                </pic:pic>
              </a:graphicData>
            </a:graphic>
          </wp:anchor>
        </w:drawing>
      </w:r>
      <w:r>
        <w:rPr>
          <w:rFonts w:hint="eastAsia" w:ascii="仿宋" w:hAnsi="仿宋" w:eastAsia="仿宋" w:cs="仿宋"/>
          <w:snapToGrid w:val="0"/>
          <w:color w:val="000000"/>
          <w:spacing w:val="6"/>
          <w:kern w:val="0"/>
          <w:sz w:val="28"/>
          <w:szCs w:val="28"/>
          <w:lang w:val="en-US" w:eastAsia="en-US" w:bidi="ar-SA"/>
        </w:rPr>
        <w:t>收到立项批复后，主编单位组织全部参编单位召开标准起草工作启动会议，成立标准起草工作组，明确各参编单位分工与职责。按临床操作、器具材料、安全质控三大模块分组承担相应内容的起草与审核任务。</w:t>
      </w:r>
    </w:p>
    <w:p w14:paraId="24E6FFC3">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p>
    <w:p w14:paraId="18DE50C1">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p>
    <w:p w14:paraId="1F3EDA45">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p>
    <w:p w14:paraId="43852B5E">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anchor distT="0" distB="0" distL="114300" distR="114300" simplePos="0" relativeHeight="251661312" behindDoc="0" locked="0" layoutInCell="1" allowOverlap="1">
            <wp:simplePos x="0" y="0"/>
            <wp:positionH relativeFrom="column">
              <wp:posOffset>2724150</wp:posOffset>
            </wp:positionH>
            <wp:positionV relativeFrom="paragraph">
              <wp:posOffset>-24130</wp:posOffset>
            </wp:positionV>
            <wp:extent cx="2301240" cy="2810510"/>
            <wp:effectExtent l="0" t="0" r="3810" b="8890"/>
            <wp:wrapNone/>
            <wp:docPr id="15" name="图片 15" descr="ec0a91e9-8055-4056-9c9e-ca4f1ed522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c0a91e9-8055-4056-9c9e-ca4f1ed522ab"/>
                    <pic:cNvPicPr>
                      <a:picLocks noChangeAspect="1"/>
                    </pic:cNvPicPr>
                  </pic:nvPicPr>
                  <pic:blipFill>
                    <a:blip r:embed="rId9"/>
                    <a:stretch>
                      <a:fillRect/>
                    </a:stretch>
                  </pic:blipFill>
                  <pic:spPr>
                    <a:xfrm>
                      <a:off x="0" y="0"/>
                      <a:ext cx="2301240" cy="2810510"/>
                    </a:xfrm>
                    <a:prstGeom prst="rect">
                      <a:avLst/>
                    </a:prstGeom>
                  </pic:spPr>
                </pic:pic>
              </a:graphicData>
            </a:graphic>
          </wp:anchor>
        </w:drawing>
      </w:r>
      <w:r>
        <w:rPr>
          <w:rFonts w:hint="eastAsia" w:ascii="Times New Roman" w:hAnsi="Times New Roman" w:eastAsia="方正楷体_GB2312" w:cs="方正楷体_GB2312"/>
          <w:snapToGrid w:val="0"/>
          <w:color w:val="000000"/>
          <w:spacing w:val="6"/>
          <w:kern w:val="0"/>
          <w:sz w:val="28"/>
          <w:szCs w:val="28"/>
          <w:vertAlign w:val="baseline"/>
          <w:lang w:eastAsia="zh-CN"/>
        </w:rPr>
        <w:drawing>
          <wp:anchor distT="0" distB="0" distL="114300" distR="114300" simplePos="0" relativeHeight="251660288" behindDoc="0" locked="0" layoutInCell="1" allowOverlap="1">
            <wp:simplePos x="0" y="0"/>
            <wp:positionH relativeFrom="column">
              <wp:posOffset>419100</wp:posOffset>
            </wp:positionH>
            <wp:positionV relativeFrom="paragraph">
              <wp:posOffset>42545</wp:posOffset>
            </wp:positionV>
            <wp:extent cx="2433320" cy="2985135"/>
            <wp:effectExtent l="0" t="0" r="5080" b="5715"/>
            <wp:wrapNone/>
            <wp:docPr id="14" name="图片 14" descr="19f73262-6d1f-4849-abe5-93de2fe15e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9f73262-6d1f-4849-abe5-93de2fe15e6f"/>
                    <pic:cNvPicPr>
                      <a:picLocks noChangeAspect="1"/>
                    </pic:cNvPicPr>
                  </pic:nvPicPr>
                  <pic:blipFill>
                    <a:blip r:embed="rId10"/>
                    <a:srcRect b="8632"/>
                    <a:stretch>
                      <a:fillRect/>
                    </a:stretch>
                  </pic:blipFill>
                  <pic:spPr>
                    <a:xfrm>
                      <a:off x="0" y="0"/>
                      <a:ext cx="2433320" cy="2985135"/>
                    </a:xfrm>
                    <a:prstGeom prst="rect">
                      <a:avLst/>
                    </a:prstGeom>
                  </pic:spPr>
                </pic:pic>
              </a:graphicData>
            </a:graphic>
          </wp:anchor>
        </w:drawing>
      </w:r>
    </w:p>
    <w:p w14:paraId="65A2690E">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p>
    <w:p w14:paraId="1B9E24E3">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p>
    <w:p w14:paraId="50E4E678">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p>
    <w:p w14:paraId="48A05059">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p>
    <w:p w14:paraId="105899BC">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p>
    <w:p w14:paraId="776B33ED">
      <w:pPr>
        <w:kinsoku w:val="0"/>
        <w:autoSpaceDE w:val="0"/>
        <w:autoSpaceDN w:val="0"/>
        <w:adjustRightInd w:val="0"/>
        <w:snapToGrid w:val="0"/>
        <w:spacing w:before="182" w:line="360" w:lineRule="auto"/>
        <w:ind w:right="110" w:rightChars="0"/>
        <w:jc w:val="both"/>
        <w:textAlignment w:val="baseline"/>
        <w:rPr>
          <w:rFonts w:hint="eastAsia" w:ascii="仿宋" w:hAnsi="仿宋" w:eastAsia="仿宋" w:cs="仿宋"/>
          <w:snapToGrid w:val="0"/>
          <w:color w:val="000000"/>
          <w:spacing w:val="6"/>
          <w:kern w:val="0"/>
          <w:sz w:val="28"/>
          <w:szCs w:val="28"/>
          <w:lang w:val="en-US" w:eastAsia="en-US" w:bidi="ar-SA"/>
        </w:rPr>
      </w:pPr>
    </w:p>
    <w:p w14:paraId="063EC67A">
      <w:pPr>
        <w:numPr>
          <w:ilvl w:val="0"/>
          <w:numId w:val="0"/>
        </w:numPr>
        <w:kinsoku w:val="0"/>
        <w:autoSpaceDE w:val="0"/>
        <w:autoSpaceDN w:val="0"/>
        <w:adjustRightInd w:val="0"/>
        <w:snapToGrid w:val="0"/>
        <w:spacing w:before="182" w:line="360" w:lineRule="auto"/>
        <w:ind w:right="110" w:rightChars="0"/>
        <w:jc w:val="both"/>
        <w:textAlignment w:val="baseline"/>
        <w:rPr>
          <w:rFonts w:hint="eastAsia" w:ascii="仿宋" w:hAnsi="仿宋" w:eastAsia="仿宋" w:cs="仿宋"/>
          <w:b/>
          <w:bCs/>
          <w:snapToGrid w:val="0"/>
          <w:color w:val="000000"/>
          <w:spacing w:val="6"/>
          <w:kern w:val="0"/>
          <w:sz w:val="28"/>
          <w:szCs w:val="28"/>
          <w:lang w:val="en-US" w:eastAsia="en-US" w:bidi="ar-SA"/>
        </w:rPr>
      </w:pPr>
      <w:r>
        <w:rPr>
          <w:rFonts w:hint="eastAsia" w:ascii="仿宋" w:hAnsi="仿宋" w:eastAsia="仿宋" w:cs="仿宋"/>
          <w:b/>
          <w:bCs/>
          <w:snapToGrid w:val="0"/>
          <w:color w:val="000000"/>
          <w:spacing w:val="6"/>
          <w:kern w:val="0"/>
          <w:sz w:val="28"/>
          <w:szCs w:val="28"/>
          <w:lang w:val="en-US" w:eastAsia="zh-CN" w:bidi="ar-SA"/>
        </w:rPr>
        <w:t>（三）</w:t>
      </w:r>
      <w:r>
        <w:rPr>
          <w:rFonts w:hint="eastAsia" w:ascii="仿宋" w:hAnsi="仿宋" w:eastAsia="仿宋" w:cs="仿宋"/>
          <w:b/>
          <w:bCs/>
          <w:snapToGrid w:val="0"/>
          <w:color w:val="000000"/>
          <w:spacing w:val="6"/>
          <w:kern w:val="0"/>
          <w:sz w:val="28"/>
          <w:szCs w:val="28"/>
          <w:lang w:val="en-US" w:eastAsia="en-US" w:bidi="ar-SA"/>
        </w:rPr>
        <w:t>框架搭建与初稿编制阶段（2026年3月下旬～2026年</w:t>
      </w:r>
      <w:r>
        <w:rPr>
          <w:rFonts w:hint="eastAsia" w:ascii="仿宋" w:hAnsi="仿宋" w:eastAsia="仿宋" w:cs="仿宋"/>
          <w:b/>
          <w:bCs/>
          <w:snapToGrid w:val="0"/>
          <w:color w:val="000000"/>
          <w:spacing w:val="6"/>
          <w:kern w:val="0"/>
          <w:sz w:val="28"/>
          <w:szCs w:val="28"/>
          <w:lang w:val="en-US" w:eastAsia="zh-CN" w:bidi="ar-SA"/>
        </w:rPr>
        <w:t>5</w:t>
      </w:r>
      <w:r>
        <w:rPr>
          <w:rFonts w:hint="eastAsia" w:ascii="仿宋" w:hAnsi="仿宋" w:eastAsia="仿宋" w:cs="仿宋"/>
          <w:b/>
          <w:bCs/>
          <w:snapToGrid w:val="0"/>
          <w:color w:val="000000"/>
          <w:spacing w:val="6"/>
          <w:kern w:val="0"/>
          <w:sz w:val="28"/>
          <w:szCs w:val="28"/>
          <w:lang w:val="en-US" w:eastAsia="en-US" w:bidi="ar-SA"/>
        </w:rPr>
        <w:t xml:space="preserve">月） </w:t>
      </w:r>
    </w:p>
    <w:p w14:paraId="4B30A154">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2026年3月</w:t>
      </w:r>
      <w:r>
        <w:rPr>
          <w:rFonts w:hint="eastAsia" w:ascii="仿宋" w:hAnsi="仿宋" w:eastAsia="仿宋" w:cs="仿宋"/>
          <w:snapToGrid w:val="0"/>
          <w:color w:val="000000"/>
          <w:spacing w:val="6"/>
          <w:kern w:val="0"/>
          <w:sz w:val="28"/>
          <w:szCs w:val="28"/>
          <w:lang w:val="en-US" w:eastAsia="zh-CN" w:bidi="ar-SA"/>
        </w:rPr>
        <w:t>下</w:t>
      </w:r>
      <w:r>
        <w:rPr>
          <w:rFonts w:hint="eastAsia" w:ascii="仿宋" w:hAnsi="仿宋" w:eastAsia="仿宋" w:cs="仿宋"/>
          <w:snapToGrid w:val="0"/>
          <w:color w:val="000000"/>
          <w:spacing w:val="6"/>
          <w:kern w:val="0"/>
          <w:sz w:val="28"/>
          <w:szCs w:val="28"/>
          <w:lang w:val="en-US" w:eastAsia="en-US" w:bidi="ar-SA"/>
        </w:rPr>
        <w:t>旬</w:t>
      </w:r>
      <w:r>
        <w:rPr>
          <w:rFonts w:hint="eastAsia" w:ascii="仿宋" w:hAnsi="仿宋" w:eastAsia="仿宋" w:cs="仿宋"/>
          <w:snapToGrid w:val="0"/>
          <w:color w:val="000000"/>
          <w:spacing w:val="6"/>
          <w:kern w:val="0"/>
          <w:sz w:val="28"/>
          <w:szCs w:val="28"/>
          <w:lang w:val="en-US" w:eastAsia="zh-CN" w:bidi="ar-SA"/>
        </w:rPr>
        <w:t>-4月</w:t>
      </w:r>
      <w:r>
        <w:rPr>
          <w:rFonts w:hint="eastAsia" w:ascii="仿宋" w:hAnsi="仿宋" w:eastAsia="仿宋" w:cs="仿宋"/>
          <w:snapToGrid w:val="0"/>
          <w:color w:val="000000"/>
          <w:spacing w:val="6"/>
          <w:kern w:val="0"/>
          <w:sz w:val="28"/>
          <w:szCs w:val="28"/>
          <w:lang w:val="en-US" w:eastAsia="en-US" w:bidi="ar-SA"/>
        </w:rPr>
        <w:t>，起草组结合前期调研成果，基于标准编制总体目标和临床实际需求，初步确定了标准的基本框架。初始框架设置6个主体章节：范围、规范性引用文件、术语和定义、基本要求、操作流程与要求、注意事项与禁忌，同时规划了器具清洗消毒与保存方法、操作评分标准等配套附录。</w:t>
      </w:r>
    </w:p>
    <w:p w14:paraId="61E4D7EC">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2026年</w:t>
      </w:r>
      <w:r>
        <w:rPr>
          <w:rFonts w:hint="eastAsia" w:ascii="仿宋" w:hAnsi="仿宋" w:eastAsia="仿宋" w:cs="仿宋"/>
          <w:snapToGrid w:val="0"/>
          <w:color w:val="000000"/>
          <w:spacing w:val="6"/>
          <w:kern w:val="0"/>
          <w:sz w:val="28"/>
          <w:szCs w:val="28"/>
          <w:lang w:val="en-US" w:eastAsia="zh-CN" w:bidi="ar-SA"/>
        </w:rPr>
        <w:t>4</w:t>
      </w:r>
      <w:r>
        <w:rPr>
          <w:rFonts w:hint="eastAsia" w:ascii="仿宋" w:hAnsi="仿宋" w:eastAsia="仿宋" w:cs="仿宋"/>
          <w:snapToGrid w:val="0"/>
          <w:color w:val="000000"/>
          <w:spacing w:val="6"/>
          <w:kern w:val="0"/>
          <w:sz w:val="28"/>
          <w:szCs w:val="28"/>
          <w:lang w:val="en-US" w:eastAsia="en-US" w:bidi="ar-SA"/>
        </w:rPr>
        <w:t>月下旬，起草组召开框架论证会。起草组核心成员与中国民族卫生协会标委会专家围绕框架的科学性、完整性与实用性开展专题研讨。与会专家认为，初始框架应进一步突出临床操作的规范化引导功能，新增适应证、禁忌证独立章节，并增设质量控制章节以保障技术实施的同质化。同时建议将操作流程中的各步骤细化为可量化、可考核的具体条款。根据专家论证意见，起草组对框架进行了优化调整：新增适应证、禁忌证、质量控制三个独立章节，配套附录调整为药陶罐罐具材质型号规格、器具清洗消毒与保存方法、常见不良反应及处理措施三个板块。调整后的框架共设9章及3个附录。</w:t>
      </w:r>
    </w:p>
    <w:p w14:paraId="76CC1765">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2026年</w:t>
      </w:r>
      <w:r>
        <w:rPr>
          <w:rFonts w:hint="eastAsia" w:ascii="仿宋" w:hAnsi="仿宋" w:eastAsia="仿宋" w:cs="仿宋"/>
          <w:snapToGrid w:val="0"/>
          <w:color w:val="000000"/>
          <w:spacing w:val="6"/>
          <w:kern w:val="0"/>
          <w:sz w:val="28"/>
          <w:szCs w:val="28"/>
          <w:lang w:val="en-US" w:eastAsia="zh-CN" w:bidi="ar-SA"/>
        </w:rPr>
        <w:t>5</w:t>
      </w:r>
      <w:r>
        <w:rPr>
          <w:rFonts w:hint="eastAsia" w:ascii="仿宋" w:hAnsi="仿宋" w:eastAsia="仿宋" w:cs="仿宋"/>
          <w:snapToGrid w:val="0"/>
          <w:color w:val="000000"/>
          <w:spacing w:val="6"/>
          <w:kern w:val="0"/>
          <w:sz w:val="28"/>
          <w:szCs w:val="28"/>
          <w:lang w:val="en-US" w:eastAsia="en-US" w:bidi="ar-SA"/>
        </w:rPr>
        <w:t>月，起草组进入初稿集中撰写阶段。各专项小组按分工开展起草工作：临床操作组负责操作流程与要求、注意事项等章节的撰写；器具材料组负责药陶罐规格参数、面饼与药酒要求等内容的编制；安全质控组负责适应证、禁忌证及质量控制章节的拟定。撰写过程中，起草组对涉及量化参数的核心条款进行了多轮临床论证，通过回顾性分析既往临床数据、征询一线操作人员意见、参照同类中医外治技术标准等方式，对面饼厚度、留罐时间等关键参数进行了反复验证。2026年</w:t>
      </w:r>
      <w:r>
        <w:rPr>
          <w:rFonts w:hint="eastAsia" w:ascii="仿宋" w:hAnsi="仿宋" w:eastAsia="仿宋" w:cs="仿宋"/>
          <w:snapToGrid w:val="0"/>
          <w:color w:val="000000"/>
          <w:spacing w:val="6"/>
          <w:kern w:val="0"/>
          <w:sz w:val="28"/>
          <w:szCs w:val="28"/>
          <w:lang w:val="en-US" w:eastAsia="zh-CN" w:bidi="ar-SA"/>
        </w:rPr>
        <w:t>5</w:t>
      </w:r>
      <w:r>
        <w:rPr>
          <w:rFonts w:hint="eastAsia" w:ascii="仿宋" w:hAnsi="仿宋" w:eastAsia="仿宋" w:cs="仿宋"/>
          <w:snapToGrid w:val="0"/>
          <w:color w:val="000000"/>
          <w:spacing w:val="6"/>
          <w:kern w:val="0"/>
          <w:sz w:val="28"/>
          <w:szCs w:val="28"/>
          <w:lang w:val="en-US" w:eastAsia="en-US" w:bidi="ar-SA"/>
        </w:rPr>
        <w:t>月</w:t>
      </w:r>
      <w:r>
        <w:rPr>
          <w:rFonts w:hint="eastAsia" w:ascii="仿宋" w:hAnsi="仿宋" w:eastAsia="仿宋" w:cs="仿宋"/>
          <w:snapToGrid w:val="0"/>
          <w:color w:val="000000"/>
          <w:spacing w:val="6"/>
          <w:kern w:val="0"/>
          <w:sz w:val="28"/>
          <w:szCs w:val="28"/>
          <w:lang w:val="en-US" w:eastAsia="zh-CN" w:bidi="ar-SA"/>
        </w:rPr>
        <w:t>上</w:t>
      </w:r>
      <w:r>
        <w:rPr>
          <w:rFonts w:hint="eastAsia" w:ascii="仿宋" w:hAnsi="仿宋" w:eastAsia="仿宋" w:cs="仿宋"/>
          <w:snapToGrid w:val="0"/>
          <w:color w:val="000000"/>
          <w:spacing w:val="6"/>
          <w:kern w:val="0"/>
          <w:sz w:val="28"/>
          <w:szCs w:val="28"/>
          <w:lang w:val="en-US" w:eastAsia="en-US" w:bidi="ar-SA"/>
        </w:rPr>
        <w:t xml:space="preserve">旬，各专项小组完成初稿撰写，由主要起草人进行统稿整合，形成标准内部讨论稿。 </w:t>
      </w:r>
    </w:p>
    <w:p w14:paraId="498D832C">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zh-CN" w:bidi="ar-SA"/>
        </w:rPr>
        <w:drawing>
          <wp:inline distT="0" distB="0" distL="114300" distR="114300">
            <wp:extent cx="5128895" cy="3627755"/>
            <wp:effectExtent l="0" t="0" r="14605" b="10795"/>
            <wp:docPr id="1" name="图片 1" descr="a874967417ad67cad0250e774f3b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874967417ad67cad0250e774f3b0290"/>
                    <pic:cNvPicPr>
                      <a:picLocks noChangeAspect="1"/>
                    </pic:cNvPicPr>
                  </pic:nvPicPr>
                  <pic:blipFill>
                    <a:blip r:embed="rId11"/>
                    <a:stretch>
                      <a:fillRect/>
                    </a:stretch>
                  </pic:blipFill>
                  <pic:spPr>
                    <a:xfrm>
                      <a:off x="0" y="0"/>
                      <a:ext cx="5128895" cy="3627755"/>
                    </a:xfrm>
                    <a:prstGeom prst="rect">
                      <a:avLst/>
                    </a:prstGeom>
                  </pic:spPr>
                </pic:pic>
              </a:graphicData>
            </a:graphic>
          </wp:inline>
        </w:drawing>
      </w:r>
    </w:p>
    <w:p w14:paraId="6B3C6223">
      <w:pPr>
        <w:numPr>
          <w:ilvl w:val="0"/>
          <w:numId w:val="0"/>
        </w:numPr>
        <w:kinsoku w:val="0"/>
        <w:autoSpaceDE w:val="0"/>
        <w:autoSpaceDN w:val="0"/>
        <w:adjustRightInd w:val="0"/>
        <w:snapToGrid w:val="0"/>
        <w:spacing w:before="182" w:line="360" w:lineRule="auto"/>
        <w:ind w:leftChars="204" w:right="110" w:rightChars="0"/>
        <w:jc w:val="both"/>
        <w:textAlignment w:val="baseline"/>
        <w:rPr>
          <w:rFonts w:hint="eastAsia" w:ascii="仿宋" w:hAnsi="仿宋" w:eastAsia="仿宋" w:cs="仿宋"/>
          <w:b/>
          <w:bCs/>
          <w:snapToGrid w:val="0"/>
          <w:color w:val="000000"/>
          <w:spacing w:val="6"/>
          <w:kern w:val="0"/>
          <w:sz w:val="28"/>
          <w:szCs w:val="28"/>
          <w:lang w:val="en-US" w:eastAsia="en-US" w:bidi="ar-SA"/>
        </w:rPr>
      </w:pPr>
      <w:r>
        <w:rPr>
          <w:rFonts w:hint="eastAsia" w:ascii="仿宋" w:hAnsi="仿宋" w:eastAsia="仿宋" w:cs="仿宋"/>
          <w:b/>
          <w:bCs/>
          <w:snapToGrid w:val="0"/>
          <w:color w:val="000000"/>
          <w:spacing w:val="6"/>
          <w:kern w:val="0"/>
          <w:sz w:val="28"/>
          <w:szCs w:val="28"/>
          <w:lang w:val="en-US" w:eastAsia="zh-CN" w:bidi="ar-SA"/>
        </w:rPr>
        <w:t>（四）</w:t>
      </w:r>
      <w:r>
        <w:rPr>
          <w:rFonts w:hint="eastAsia" w:ascii="仿宋" w:hAnsi="仿宋" w:eastAsia="仿宋" w:cs="仿宋"/>
          <w:b/>
          <w:bCs/>
          <w:snapToGrid w:val="0"/>
          <w:color w:val="000000"/>
          <w:spacing w:val="6"/>
          <w:kern w:val="0"/>
          <w:sz w:val="28"/>
          <w:szCs w:val="28"/>
          <w:lang w:val="en-US" w:eastAsia="en-US" w:bidi="ar-SA"/>
        </w:rPr>
        <w:t>集中研讨与征求意见稿定稿阶段（2026年</w:t>
      </w:r>
      <w:r>
        <w:rPr>
          <w:rFonts w:hint="eastAsia" w:ascii="仿宋" w:hAnsi="仿宋" w:eastAsia="仿宋" w:cs="仿宋"/>
          <w:b/>
          <w:bCs/>
          <w:snapToGrid w:val="0"/>
          <w:color w:val="000000"/>
          <w:spacing w:val="6"/>
          <w:kern w:val="0"/>
          <w:sz w:val="28"/>
          <w:szCs w:val="28"/>
          <w:lang w:val="en-US" w:eastAsia="zh-CN" w:bidi="ar-SA"/>
        </w:rPr>
        <w:t>5</w:t>
      </w:r>
      <w:r>
        <w:rPr>
          <w:rFonts w:hint="eastAsia" w:ascii="仿宋" w:hAnsi="仿宋" w:eastAsia="仿宋" w:cs="仿宋"/>
          <w:b/>
          <w:bCs/>
          <w:snapToGrid w:val="0"/>
          <w:color w:val="000000"/>
          <w:spacing w:val="6"/>
          <w:kern w:val="0"/>
          <w:sz w:val="28"/>
          <w:szCs w:val="28"/>
          <w:lang w:val="en-US" w:eastAsia="en-US" w:bidi="ar-SA"/>
        </w:rPr>
        <w:t xml:space="preserve">月） </w:t>
      </w:r>
    </w:p>
    <w:p w14:paraId="71F459D5">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2026年5月</w:t>
      </w:r>
      <w:r>
        <w:rPr>
          <w:rFonts w:hint="eastAsia" w:ascii="仿宋" w:hAnsi="仿宋" w:eastAsia="仿宋" w:cs="仿宋"/>
          <w:snapToGrid w:val="0"/>
          <w:color w:val="000000"/>
          <w:spacing w:val="6"/>
          <w:kern w:val="0"/>
          <w:sz w:val="28"/>
          <w:szCs w:val="28"/>
          <w:lang w:val="en-US" w:eastAsia="zh-CN" w:bidi="ar-SA"/>
        </w:rPr>
        <w:t>中</w:t>
      </w:r>
      <w:r>
        <w:rPr>
          <w:rFonts w:hint="eastAsia" w:ascii="仿宋" w:hAnsi="仿宋" w:eastAsia="仿宋" w:cs="仿宋"/>
          <w:snapToGrid w:val="0"/>
          <w:color w:val="000000"/>
          <w:spacing w:val="6"/>
          <w:kern w:val="0"/>
          <w:sz w:val="28"/>
          <w:szCs w:val="28"/>
          <w:lang w:val="en-US" w:eastAsia="en-US" w:bidi="ar-SA"/>
        </w:rPr>
        <w:t>旬，起草组组织多轮集中研讨，对内部讨论稿全文进行逐条审议。审议重点包括：术语定义的准确性、操作步骤的逻辑顺序与完整性、量化参数的科学依据、安全管控条款的全面性、文本表述的规范性等。通过逐条推敲与修订，统一了全篇术语表述，规范了技术参数，完善了不良反应处置流程，并将药酒浸泡时间明确为不少于14天，将艾绒质量要求直接引用GB/T 40976—2021标准。</w:t>
      </w:r>
    </w:p>
    <w:p w14:paraId="250C7F36">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zh-CN" w:bidi="ar-SA"/>
        </w:rPr>
        <w:t>同时</w:t>
      </w:r>
      <w:r>
        <w:rPr>
          <w:rFonts w:hint="eastAsia" w:ascii="仿宋" w:hAnsi="仿宋" w:eastAsia="仿宋" w:cs="仿宋"/>
          <w:snapToGrid w:val="0"/>
          <w:color w:val="000000"/>
          <w:spacing w:val="6"/>
          <w:kern w:val="0"/>
          <w:sz w:val="28"/>
          <w:szCs w:val="28"/>
          <w:lang w:val="en-US" w:eastAsia="en-US" w:bidi="ar-SA"/>
        </w:rPr>
        <w:t>面向全国中医骨伤、康复、疼痛、中医护理等领域的临床专家发放标准征求意见稿，广泛征集意见。本次征求意见共覆盖20余家参编单位及50余位行业专家。反馈意见主要集中在以下几个方面：器具规格应进一步细化以利于临床选用；走罐法作为可选辅助手法应在正文中予以明确标注；药酒配制相关要求应与现行管理规定衔接；面饼厚度的浮动范围应予以说明等。</w:t>
      </w:r>
    </w:p>
    <w:p w14:paraId="3BEC3D01">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en-US" w:bidi="ar-SA"/>
        </w:rPr>
        <w:t xml:space="preserve">2026年5月下旬，起草组召开意见处理专题会议，对全部反馈意见逐条讨论研究。采纳了细化器具型号规格、明确走罐法为选用手法、增加面饼厚度浮动说明等合理性建议，并对标准文本进行了相应修改。对未采纳的意见逐一向建议方说明了理由并达成一致。经修改完善后，形成标准送审稿。 </w:t>
      </w:r>
    </w:p>
    <w:p w14:paraId="5C846336">
      <w:pPr>
        <w:kinsoku w:val="0"/>
        <w:autoSpaceDE w:val="0"/>
        <w:autoSpaceDN w:val="0"/>
        <w:adjustRightInd w:val="0"/>
        <w:snapToGrid w:val="0"/>
        <w:spacing w:before="182" w:line="360" w:lineRule="auto"/>
        <w:ind w:left="2" w:leftChars="0" w:right="110" w:rightChars="0" w:firstLine="595" w:firstLineChars="204"/>
        <w:jc w:val="both"/>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zh-CN" w:bidi="ar-SA"/>
        </w:rPr>
        <w:drawing>
          <wp:inline distT="0" distB="0" distL="114300" distR="114300">
            <wp:extent cx="5633085" cy="3512820"/>
            <wp:effectExtent l="0" t="0" r="5715" b="11430"/>
            <wp:docPr id="3" name="图片 3" descr="2a24eb091a315a4c89164802433ff6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a24eb091a315a4c89164802433ff60a"/>
                    <pic:cNvPicPr>
                      <a:picLocks noChangeAspect="1"/>
                    </pic:cNvPicPr>
                  </pic:nvPicPr>
                  <pic:blipFill>
                    <a:blip r:embed="rId12"/>
                    <a:srcRect b="5725"/>
                    <a:stretch>
                      <a:fillRect/>
                    </a:stretch>
                  </pic:blipFill>
                  <pic:spPr>
                    <a:xfrm>
                      <a:off x="0" y="0"/>
                      <a:ext cx="5633085" cy="3512820"/>
                    </a:xfrm>
                    <a:prstGeom prst="rect">
                      <a:avLst/>
                    </a:prstGeom>
                  </pic:spPr>
                </pic:pic>
              </a:graphicData>
            </a:graphic>
          </wp:inline>
        </w:drawing>
      </w:r>
    </w:p>
    <w:p w14:paraId="4F7E18CF">
      <w:pPr>
        <w:kinsoku w:val="0"/>
        <w:autoSpaceDE w:val="0"/>
        <w:autoSpaceDN w:val="0"/>
        <w:adjustRightInd w:val="0"/>
        <w:snapToGrid w:val="0"/>
        <w:spacing w:before="182" w:line="360" w:lineRule="auto"/>
        <w:ind w:left="2" w:leftChars="0" w:right="110" w:rightChars="0" w:firstLine="428" w:firstLineChars="204"/>
        <w:jc w:val="both"/>
        <w:textAlignment w:val="baseline"/>
        <w:rPr>
          <w:rFonts w:hint="eastAsia" w:ascii="仿宋" w:hAnsi="仿宋" w:eastAsia="仿宋" w:cs="仿宋"/>
          <w:snapToGrid w:val="0"/>
          <w:color w:val="000000"/>
          <w:spacing w:val="6"/>
          <w:kern w:val="0"/>
          <w:sz w:val="28"/>
          <w:szCs w:val="28"/>
          <w:lang w:val="en-US" w:eastAsia="en-US" w:bidi="ar-SA"/>
        </w:rPr>
      </w:pPr>
      <w:r>
        <w:drawing>
          <wp:inline distT="0" distB="0" distL="114300" distR="114300">
            <wp:extent cx="5353050" cy="2074545"/>
            <wp:effectExtent l="0" t="0" r="0"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3"/>
                    <a:stretch>
                      <a:fillRect/>
                    </a:stretch>
                  </pic:blipFill>
                  <pic:spPr>
                    <a:xfrm>
                      <a:off x="0" y="0"/>
                      <a:ext cx="5353050" cy="2074545"/>
                    </a:xfrm>
                    <a:prstGeom prst="rect">
                      <a:avLst/>
                    </a:prstGeom>
                    <a:noFill/>
                    <a:ln>
                      <a:noFill/>
                    </a:ln>
                  </pic:spPr>
                </pic:pic>
              </a:graphicData>
            </a:graphic>
          </wp:inline>
        </w:drawing>
      </w:r>
    </w:p>
    <w:p w14:paraId="3AAA6E3B">
      <w:pPr>
        <w:numPr>
          <w:ilvl w:val="0"/>
          <w:numId w:val="0"/>
        </w:numPr>
        <w:kinsoku w:val="0"/>
        <w:autoSpaceDE w:val="0"/>
        <w:autoSpaceDN w:val="0"/>
        <w:adjustRightInd w:val="0"/>
        <w:snapToGrid w:val="0"/>
        <w:spacing w:before="182" w:line="360" w:lineRule="auto"/>
        <w:ind w:leftChars="204" w:right="110" w:rightChars="0"/>
        <w:jc w:val="both"/>
        <w:textAlignment w:val="baseline"/>
        <w:rPr>
          <w:rFonts w:hint="eastAsia" w:ascii="仿宋" w:hAnsi="仿宋" w:eastAsia="仿宋" w:cs="仿宋"/>
          <w:b/>
          <w:bCs/>
          <w:snapToGrid w:val="0"/>
          <w:color w:val="000000"/>
          <w:spacing w:val="6"/>
          <w:kern w:val="0"/>
          <w:sz w:val="28"/>
          <w:szCs w:val="28"/>
          <w:lang w:val="en-US" w:eastAsia="en-US" w:bidi="ar-SA"/>
        </w:rPr>
      </w:pPr>
      <w:r>
        <w:rPr>
          <w:rFonts w:hint="eastAsia" w:ascii="仿宋" w:hAnsi="仿宋" w:eastAsia="仿宋" w:cs="仿宋"/>
          <w:b/>
          <w:bCs/>
          <w:snapToGrid w:val="0"/>
          <w:color w:val="000000"/>
          <w:spacing w:val="6"/>
          <w:kern w:val="0"/>
          <w:sz w:val="28"/>
          <w:szCs w:val="28"/>
          <w:lang w:val="en-US" w:eastAsia="zh-CN" w:bidi="ar-SA"/>
        </w:rPr>
        <w:t>（五）</w:t>
      </w:r>
      <w:r>
        <w:rPr>
          <w:rFonts w:hint="eastAsia" w:ascii="仿宋" w:hAnsi="仿宋" w:eastAsia="仿宋" w:cs="仿宋"/>
          <w:b/>
          <w:bCs/>
          <w:snapToGrid w:val="0"/>
          <w:color w:val="000000"/>
          <w:spacing w:val="6"/>
          <w:kern w:val="0"/>
          <w:sz w:val="28"/>
          <w:szCs w:val="28"/>
          <w:lang w:val="en-US" w:eastAsia="en-US" w:bidi="ar-SA"/>
        </w:rPr>
        <w:t>终稿完善备案阶段（2026年6月1日～2026年6月</w:t>
      </w:r>
      <w:r>
        <w:rPr>
          <w:rFonts w:hint="eastAsia" w:ascii="仿宋" w:hAnsi="仿宋" w:eastAsia="仿宋" w:cs="仿宋"/>
          <w:b/>
          <w:bCs/>
          <w:snapToGrid w:val="0"/>
          <w:color w:val="000000"/>
          <w:spacing w:val="6"/>
          <w:kern w:val="0"/>
          <w:sz w:val="28"/>
          <w:szCs w:val="28"/>
          <w:lang w:val="en-US" w:eastAsia="zh-CN" w:bidi="ar-SA"/>
        </w:rPr>
        <w:t>25</w:t>
      </w:r>
      <w:r>
        <w:rPr>
          <w:rFonts w:hint="eastAsia" w:ascii="仿宋" w:hAnsi="仿宋" w:eastAsia="仿宋" w:cs="仿宋"/>
          <w:b/>
          <w:bCs/>
          <w:snapToGrid w:val="0"/>
          <w:color w:val="000000"/>
          <w:spacing w:val="6"/>
          <w:kern w:val="0"/>
          <w:sz w:val="28"/>
          <w:szCs w:val="28"/>
          <w:lang w:val="en-US" w:eastAsia="en-US" w:bidi="ar-SA"/>
        </w:rPr>
        <w:t xml:space="preserve">日） </w:t>
      </w:r>
    </w:p>
    <w:p w14:paraId="3470C959">
      <w:pPr>
        <w:numPr>
          <w:ilvl w:val="0"/>
          <w:numId w:val="0"/>
        </w:numPr>
        <w:kinsoku w:val="0"/>
        <w:autoSpaceDE w:val="0"/>
        <w:autoSpaceDN w:val="0"/>
        <w:adjustRightInd w:val="0"/>
        <w:snapToGrid w:val="0"/>
        <w:spacing w:before="182" w:line="360" w:lineRule="auto"/>
        <w:ind w:right="110" w:rightChars="0" w:firstLine="584" w:firstLineChars="200"/>
        <w:jc w:val="both"/>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起草小组整合全部征求意见反馈、多轮专家评审修改内容，统一全文排版格式、规范规范性引用文件、核对参考文献条目，形成标准正式终稿，全套材料提交中国民族卫生协会标准化工作委员会审核备案。</w:t>
      </w:r>
    </w:p>
    <w:p w14:paraId="39F02881">
      <w:pPr>
        <w:numPr>
          <w:ilvl w:val="0"/>
          <w:numId w:val="0"/>
        </w:numPr>
        <w:kinsoku w:val="0"/>
        <w:autoSpaceDE w:val="0"/>
        <w:autoSpaceDN w:val="0"/>
        <w:adjustRightInd w:val="0"/>
        <w:snapToGrid w:val="0"/>
        <w:spacing w:before="182" w:line="360" w:lineRule="auto"/>
        <w:ind w:right="110" w:rightChars="0" w:firstLine="584" w:firstLineChars="200"/>
        <w:jc w:val="both"/>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zh-CN" w:bidi="ar-SA"/>
        </w:rPr>
        <w:drawing>
          <wp:inline distT="0" distB="0" distL="114300" distR="114300">
            <wp:extent cx="4934585" cy="3104515"/>
            <wp:effectExtent l="0" t="0" r="18415" b="635"/>
            <wp:docPr id="2" name="图片 2" descr="daa05db12ca83bdf86a1ee97f3f27f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aa05db12ca83bdf86a1ee97f3f27fe7"/>
                    <pic:cNvPicPr>
                      <a:picLocks noChangeAspect="1"/>
                    </pic:cNvPicPr>
                  </pic:nvPicPr>
                  <pic:blipFill>
                    <a:blip r:embed="rId14"/>
                    <a:stretch>
                      <a:fillRect/>
                    </a:stretch>
                  </pic:blipFill>
                  <pic:spPr>
                    <a:xfrm>
                      <a:off x="0" y="0"/>
                      <a:ext cx="4934585" cy="3104515"/>
                    </a:xfrm>
                    <a:prstGeom prst="rect">
                      <a:avLst/>
                    </a:prstGeom>
                  </pic:spPr>
                </pic:pic>
              </a:graphicData>
            </a:graphic>
          </wp:inline>
        </w:drawing>
      </w:r>
    </w:p>
    <w:p w14:paraId="0763C7A7">
      <w:pPr>
        <w:spacing w:before="133" w:line="226" w:lineRule="auto"/>
        <w:rPr>
          <w:rFonts w:hint="eastAsia" w:ascii="黑体" w:hAnsi="黑体" w:eastAsia="黑体" w:cs="黑体"/>
          <w:spacing w:val="8"/>
          <w:sz w:val="32"/>
          <w:szCs w:val="32"/>
        </w:rPr>
      </w:pPr>
      <w:r>
        <w:rPr>
          <w:rFonts w:hint="eastAsia" w:ascii="黑体" w:hAnsi="黑体" w:eastAsia="黑体" w:cs="黑体"/>
          <w:spacing w:val="8"/>
          <w:sz w:val="32"/>
          <w:szCs w:val="32"/>
        </w:rPr>
        <w:t>三、标准编制原则及主要技术内容确定</w:t>
      </w:r>
    </w:p>
    <w:p w14:paraId="7204EACB">
      <w:pPr>
        <w:spacing w:before="179" w:line="360" w:lineRule="auto"/>
        <w:ind w:left="657"/>
        <w:outlineLvl w:val="0"/>
        <w:rPr>
          <w:rFonts w:hint="eastAsia" w:ascii="仿宋" w:hAnsi="仿宋" w:eastAsia="仿宋" w:cs="仿宋"/>
          <w:b/>
          <w:bCs/>
          <w:sz w:val="28"/>
          <w:szCs w:val="28"/>
        </w:rPr>
      </w:pPr>
      <w:r>
        <w:rPr>
          <w:rFonts w:hint="eastAsia" w:ascii="仿宋" w:hAnsi="仿宋" w:eastAsia="仿宋" w:cs="仿宋"/>
          <w:b/>
          <w:bCs/>
          <w:spacing w:val="5"/>
          <w:sz w:val="28"/>
          <w:szCs w:val="28"/>
        </w:rPr>
        <w:t>（一）标准编制原则</w:t>
      </w:r>
    </w:p>
    <w:p w14:paraId="7F27DF9B">
      <w:pPr>
        <w:pStyle w:val="2"/>
        <w:spacing w:before="176" w:line="360" w:lineRule="auto"/>
        <w:ind w:left="1" w:right="78" w:firstLine="633"/>
        <w:rPr>
          <w:rFonts w:hint="eastAsia" w:ascii="仿宋" w:hAnsi="仿宋" w:eastAsia="仿宋" w:cs="仿宋"/>
          <w:snapToGrid w:val="0"/>
          <w:color w:val="000000"/>
          <w:spacing w:val="8"/>
          <w:kern w:val="0"/>
          <w:sz w:val="28"/>
          <w:szCs w:val="28"/>
          <w:lang w:val="en-US" w:eastAsia="en-US" w:bidi="ar-SA"/>
        </w:rPr>
      </w:pPr>
      <w:r>
        <w:rPr>
          <w:rFonts w:hint="eastAsia" w:ascii="仿宋" w:hAnsi="仿宋" w:eastAsia="仿宋" w:cs="仿宋"/>
          <w:snapToGrid w:val="0"/>
          <w:color w:val="000000"/>
          <w:spacing w:val="8"/>
          <w:kern w:val="0"/>
          <w:sz w:val="28"/>
          <w:szCs w:val="28"/>
          <w:lang w:val="en-US" w:eastAsia="en-US" w:bidi="ar-SA"/>
        </w:rPr>
        <w:t>1、本标准所有条款均以保障</w:t>
      </w:r>
      <w:r>
        <w:rPr>
          <w:rFonts w:hint="eastAsia" w:ascii="仿宋" w:hAnsi="仿宋" w:eastAsia="仿宋" w:cs="仿宋"/>
          <w:snapToGrid w:val="0"/>
          <w:color w:val="000000"/>
          <w:spacing w:val="8"/>
          <w:kern w:val="0"/>
          <w:sz w:val="28"/>
          <w:szCs w:val="28"/>
          <w:lang w:val="en-US" w:eastAsia="zh-CN" w:bidi="ar-SA"/>
        </w:rPr>
        <w:t>药陶罐技术</w:t>
      </w:r>
      <w:r>
        <w:rPr>
          <w:rFonts w:hint="eastAsia" w:ascii="仿宋" w:hAnsi="仿宋" w:eastAsia="仿宋" w:cs="仿宋"/>
          <w:snapToGrid w:val="0"/>
          <w:color w:val="000000"/>
          <w:spacing w:val="8"/>
          <w:kern w:val="0"/>
          <w:sz w:val="28"/>
          <w:szCs w:val="28"/>
          <w:lang w:val="en-US" w:eastAsia="en-US" w:bidi="ar-SA"/>
        </w:rPr>
        <w:t>临床操作安全、统一中医外治诊疗服务质量为核心前提制定。</w:t>
      </w:r>
    </w:p>
    <w:p w14:paraId="5DC85AB8">
      <w:pPr>
        <w:pStyle w:val="2"/>
        <w:spacing w:before="176" w:line="360" w:lineRule="auto"/>
        <w:ind w:left="1" w:right="78" w:firstLine="633"/>
        <w:rPr>
          <w:rFonts w:hint="eastAsia" w:ascii="仿宋" w:hAnsi="仿宋" w:eastAsia="仿宋" w:cs="仿宋"/>
          <w:sz w:val="28"/>
          <w:szCs w:val="28"/>
        </w:rPr>
      </w:pPr>
      <w:r>
        <w:rPr>
          <w:rFonts w:hint="eastAsia" w:ascii="仿宋" w:hAnsi="仿宋" w:eastAsia="仿宋" w:cs="仿宋"/>
          <w:snapToGrid w:val="0"/>
          <w:color w:val="000000"/>
          <w:spacing w:val="8"/>
          <w:kern w:val="0"/>
          <w:sz w:val="28"/>
          <w:szCs w:val="28"/>
          <w:lang w:val="en-US" w:eastAsia="en-US" w:bidi="ar-SA"/>
        </w:rPr>
        <w:t>2、本标准编写严格遵循 GB/T 1.1-2020《标准化工作导则第 1 部分：标准化文件的结构和起草规则》要求，从标准格式框架、专业术语表述到临床操作技术参数，均经过多中心临床验证、行业专家反复推敲论证，形成规范统一的团体标准。标准设定的操作流程、器械管理、不良反应处置、疗效评价体系贴合各级医疗机构临床实操场景，保障标准落地实施可行性与技术科学性</w:t>
      </w:r>
    </w:p>
    <w:p w14:paraId="45B23077">
      <w:pPr>
        <w:spacing w:before="182" w:line="360" w:lineRule="auto"/>
        <w:ind w:left="657"/>
        <w:outlineLvl w:val="0"/>
        <w:rPr>
          <w:rFonts w:hint="eastAsia" w:ascii="仿宋" w:hAnsi="仿宋" w:eastAsia="仿宋" w:cs="仿宋"/>
          <w:b/>
          <w:bCs/>
          <w:sz w:val="28"/>
          <w:szCs w:val="28"/>
        </w:rPr>
      </w:pPr>
      <w:r>
        <w:rPr>
          <w:rFonts w:hint="eastAsia" w:ascii="仿宋" w:hAnsi="仿宋" w:eastAsia="仿宋" w:cs="仿宋"/>
          <w:b/>
          <w:bCs/>
          <w:spacing w:val="6"/>
          <w:sz w:val="28"/>
          <w:szCs w:val="28"/>
        </w:rPr>
        <w:t>（二）团体标准主要内容确定</w:t>
      </w:r>
    </w:p>
    <w:p w14:paraId="65E7AF02">
      <w:pPr>
        <w:kinsoku w:val="0"/>
        <w:autoSpaceDE w:val="0"/>
        <w:autoSpaceDN w:val="0"/>
        <w:adjustRightInd w:val="0"/>
        <w:snapToGrid w:val="0"/>
        <w:spacing w:before="171" w:line="360" w:lineRule="auto"/>
        <w:ind w:left="641" w:leftChars="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本标准主要内容如下：</w:t>
      </w:r>
    </w:p>
    <w:p w14:paraId="1A5C1FCB">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 xml:space="preserve">1 </w:t>
      </w:r>
      <w:r>
        <w:rPr>
          <w:rFonts w:hint="eastAsia" w:ascii="仿宋" w:hAnsi="仿宋" w:eastAsia="仿宋" w:cs="仿宋"/>
          <w:snapToGrid w:val="0"/>
          <w:color w:val="000000"/>
          <w:spacing w:val="6"/>
          <w:kern w:val="0"/>
          <w:sz w:val="28"/>
          <w:szCs w:val="28"/>
          <w:lang w:val="en-US" w:eastAsia="zh-CN" w:bidi="ar-SA"/>
        </w:rPr>
        <w:t>适用</w:t>
      </w:r>
      <w:r>
        <w:rPr>
          <w:rFonts w:hint="eastAsia" w:ascii="仿宋" w:hAnsi="仿宋" w:eastAsia="仿宋" w:cs="仿宋"/>
          <w:snapToGrid w:val="0"/>
          <w:color w:val="000000"/>
          <w:spacing w:val="6"/>
          <w:kern w:val="0"/>
          <w:sz w:val="28"/>
          <w:szCs w:val="28"/>
          <w:lang w:val="en-US" w:eastAsia="en-US" w:bidi="ar-SA"/>
        </w:rPr>
        <w:t>范围</w:t>
      </w:r>
    </w:p>
    <w:p w14:paraId="1D57470A">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2 规范性引用文件</w:t>
      </w:r>
    </w:p>
    <w:p w14:paraId="266E2CF1">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3 术语和定义</w:t>
      </w:r>
    </w:p>
    <w:p w14:paraId="726806B7">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4 基本要求</w:t>
      </w:r>
    </w:p>
    <w:p w14:paraId="0E97BE6F">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en-US" w:bidi="ar-SA"/>
        </w:rPr>
        <w:t xml:space="preserve">5 </w:t>
      </w:r>
      <w:r>
        <w:rPr>
          <w:rFonts w:hint="eastAsia" w:ascii="仿宋" w:hAnsi="仿宋" w:eastAsia="仿宋" w:cs="仿宋"/>
          <w:snapToGrid w:val="0"/>
          <w:color w:val="000000"/>
          <w:spacing w:val="6"/>
          <w:kern w:val="0"/>
          <w:sz w:val="28"/>
          <w:szCs w:val="28"/>
          <w:lang w:val="en-US" w:eastAsia="zh-CN" w:bidi="ar-SA"/>
        </w:rPr>
        <w:t>适应证</w:t>
      </w:r>
    </w:p>
    <w:p w14:paraId="089698EF">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en-US" w:bidi="ar-SA"/>
        </w:rPr>
        <w:t xml:space="preserve">6 </w:t>
      </w:r>
      <w:r>
        <w:rPr>
          <w:rFonts w:hint="eastAsia" w:ascii="仿宋" w:hAnsi="仿宋" w:eastAsia="仿宋" w:cs="仿宋"/>
          <w:snapToGrid w:val="0"/>
          <w:color w:val="000000"/>
          <w:spacing w:val="6"/>
          <w:kern w:val="0"/>
          <w:sz w:val="28"/>
          <w:szCs w:val="28"/>
          <w:lang w:val="en-US" w:eastAsia="zh-CN" w:bidi="ar-SA"/>
        </w:rPr>
        <w:t>禁忌症</w:t>
      </w:r>
    </w:p>
    <w:p w14:paraId="488F5E83">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en-US" w:bidi="ar-SA"/>
        </w:rPr>
        <w:t xml:space="preserve">7 </w:t>
      </w:r>
      <w:r>
        <w:rPr>
          <w:rFonts w:hint="eastAsia" w:ascii="仿宋" w:hAnsi="仿宋" w:eastAsia="仿宋" w:cs="仿宋"/>
          <w:snapToGrid w:val="0"/>
          <w:color w:val="000000"/>
          <w:spacing w:val="6"/>
          <w:kern w:val="0"/>
          <w:sz w:val="28"/>
          <w:szCs w:val="28"/>
          <w:lang w:val="en-US" w:eastAsia="zh-CN" w:bidi="ar-SA"/>
        </w:rPr>
        <w:t>操作流程与要求</w:t>
      </w:r>
    </w:p>
    <w:p w14:paraId="6508A617">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zh-CN" w:bidi="ar-SA"/>
        </w:rPr>
        <w:t xml:space="preserve">8 </w:t>
      </w:r>
      <w:r>
        <w:rPr>
          <w:rFonts w:hint="eastAsia" w:ascii="仿宋" w:hAnsi="仿宋" w:eastAsia="仿宋" w:cs="仿宋"/>
          <w:snapToGrid w:val="0"/>
          <w:color w:val="000000"/>
          <w:spacing w:val="6"/>
          <w:kern w:val="0"/>
          <w:sz w:val="28"/>
          <w:szCs w:val="28"/>
          <w:lang w:val="en-US" w:eastAsia="en-US" w:bidi="ar-SA"/>
        </w:rPr>
        <w:t>注意事项</w:t>
      </w:r>
    </w:p>
    <w:p w14:paraId="3EDEFAAE">
      <w:pPr>
        <w:kinsoku w:val="0"/>
        <w:autoSpaceDE w:val="0"/>
        <w:autoSpaceDN w:val="0"/>
        <w:adjustRightInd w:val="0"/>
        <w:snapToGrid w:val="0"/>
        <w:spacing w:before="171" w:line="360" w:lineRule="auto"/>
        <w:ind w:firstLine="584" w:firstLineChars="200"/>
        <w:jc w:val="left"/>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napToGrid w:val="0"/>
          <w:color w:val="000000"/>
          <w:spacing w:val="6"/>
          <w:kern w:val="0"/>
          <w:sz w:val="28"/>
          <w:szCs w:val="28"/>
          <w:lang w:val="en-US" w:eastAsia="zh-CN" w:bidi="ar-SA"/>
        </w:rPr>
        <w:t>9</w:t>
      </w:r>
      <w:r>
        <w:rPr>
          <w:rFonts w:hint="eastAsia" w:ascii="仿宋" w:hAnsi="仿宋" w:eastAsia="仿宋" w:cs="仿宋"/>
          <w:snapToGrid w:val="0"/>
          <w:color w:val="000000"/>
          <w:spacing w:val="6"/>
          <w:kern w:val="0"/>
          <w:sz w:val="28"/>
          <w:szCs w:val="28"/>
          <w:lang w:val="en-US" w:eastAsia="en-US" w:bidi="ar-SA"/>
        </w:rPr>
        <w:t xml:space="preserve"> 质量控制</w:t>
      </w:r>
    </w:p>
    <w:p w14:paraId="2A4193A5">
      <w:pPr>
        <w:pStyle w:val="2"/>
        <w:spacing w:before="100" w:line="360" w:lineRule="auto"/>
        <w:ind w:left="644" w:right="4350" w:firstLine="6"/>
        <w:rPr>
          <w:rFonts w:hint="eastAsia" w:ascii="黑体" w:hAnsi="黑体" w:eastAsia="黑体" w:cs="黑体"/>
          <w:snapToGrid w:val="0"/>
          <w:color w:val="000000"/>
          <w:spacing w:val="8"/>
          <w:kern w:val="0"/>
          <w:sz w:val="32"/>
          <w:szCs w:val="32"/>
          <w:lang w:val="en-US" w:eastAsia="en-US" w:bidi="ar-SA"/>
        </w:rPr>
      </w:pPr>
      <w:r>
        <w:rPr>
          <w:rFonts w:hint="eastAsia" w:ascii="黑体" w:hAnsi="黑体" w:eastAsia="黑体" w:cs="黑体"/>
          <w:snapToGrid w:val="0"/>
          <w:color w:val="000000"/>
          <w:spacing w:val="8"/>
          <w:kern w:val="0"/>
          <w:sz w:val="32"/>
          <w:szCs w:val="32"/>
          <w:lang w:val="en-US" w:eastAsia="en-US" w:bidi="ar-SA"/>
        </w:rPr>
        <w:t xml:space="preserve">四、采用国际、国内标准况 </w:t>
      </w:r>
    </w:p>
    <w:p w14:paraId="60A64319">
      <w:pPr>
        <w:kinsoku w:val="0"/>
        <w:autoSpaceDE w:val="0"/>
        <w:autoSpaceDN w:val="0"/>
        <w:adjustRightInd w:val="0"/>
        <w:snapToGrid w:val="0"/>
        <w:spacing w:before="176" w:line="360" w:lineRule="auto"/>
        <w:ind w:right="78" w:rightChars="0" w:firstLine="584" w:firstLineChars="200"/>
        <w:jc w:val="left"/>
        <w:textAlignment w:val="baseline"/>
        <w:rPr>
          <w:rFonts w:hint="eastAsia" w:ascii="仿宋" w:hAnsi="仿宋" w:eastAsia="仿宋" w:cs="仿宋"/>
          <w:snapToGrid w:val="0"/>
          <w:color w:val="000000"/>
          <w:spacing w:val="6"/>
          <w:kern w:val="0"/>
          <w:sz w:val="28"/>
          <w:szCs w:val="28"/>
          <w:lang w:val="en-US" w:eastAsia="zh-CN" w:bidi="ar-SA"/>
        </w:rPr>
      </w:pPr>
      <w:r>
        <w:rPr>
          <w:rFonts w:hint="eastAsia" w:ascii="仿宋" w:hAnsi="仿宋" w:eastAsia="仿宋" w:cs="仿宋"/>
          <w:snapToGrid w:val="0"/>
          <w:color w:val="000000"/>
          <w:spacing w:val="6"/>
          <w:kern w:val="0"/>
          <w:sz w:val="28"/>
          <w:szCs w:val="28"/>
          <w:lang w:val="en-US" w:eastAsia="en-US" w:bidi="ar-SA"/>
        </w:rPr>
        <w:t>1、本标准编写严格遵照GB/T 1.1—2020《标准化工作导则 第1部分：标准化文件的结构和起草规则》执行文本框架与格式编制。技术层面，直接引用以下现行国家标准与卫生行业标准：GB/T 21709.5—2008《针灸技术操作规范 第5部分：拔罐》——作为罐法类技术的通用基础规范；GB/T 40976—2021《灸用艾绒》——作为艾绒质量要求的直接依据；WS 310.2—2016《医院消毒供应中心 第2部分：清洗消毒与灭菌技术操作规范》及WS 367.2—2012《医疗机构消毒技术规范 第2部分：清洗消毒与灭菌效果监测》——作为器具清洗消毒的技术依据</w:t>
      </w:r>
      <w:r>
        <w:rPr>
          <w:rFonts w:hint="eastAsia" w:ascii="仿宋" w:hAnsi="仿宋" w:eastAsia="仿宋" w:cs="仿宋"/>
          <w:snapToGrid w:val="0"/>
          <w:color w:val="000000"/>
          <w:spacing w:val="6"/>
          <w:kern w:val="0"/>
          <w:sz w:val="28"/>
          <w:szCs w:val="28"/>
          <w:lang w:val="en-US" w:eastAsia="zh-CN" w:bidi="ar-SA"/>
        </w:rPr>
        <w:t>。</w:t>
      </w:r>
    </w:p>
    <w:p w14:paraId="093417DF">
      <w:pPr>
        <w:kinsoku w:val="0"/>
        <w:autoSpaceDE w:val="0"/>
        <w:autoSpaceDN w:val="0"/>
        <w:adjustRightInd w:val="0"/>
        <w:snapToGrid w:val="0"/>
        <w:spacing w:before="176" w:line="360" w:lineRule="auto"/>
        <w:ind w:right="78" w:rightChars="0"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2、本标准无等同采用或修改采用的国际标准。药陶罐技术作为具有中国自主知识产权的中医特色非遗技术，国际上尚无同类技术标准可供参照。</w:t>
      </w:r>
    </w:p>
    <w:p w14:paraId="3866E850">
      <w:pPr>
        <w:spacing w:before="133" w:line="226" w:lineRule="auto"/>
        <w:rPr>
          <w:rFonts w:hint="eastAsia" w:ascii="黑体" w:hAnsi="黑体" w:eastAsia="黑体" w:cs="黑体"/>
          <w:spacing w:val="8"/>
          <w:sz w:val="32"/>
          <w:szCs w:val="32"/>
        </w:rPr>
      </w:pPr>
      <w:r>
        <w:rPr>
          <w:rFonts w:hint="eastAsia" w:ascii="黑体" w:hAnsi="黑体" w:eastAsia="黑体" w:cs="黑体"/>
          <w:spacing w:val="8"/>
          <w:sz w:val="32"/>
          <w:szCs w:val="32"/>
        </w:rPr>
        <w:t>五、与现行法律法规和强制性标准的关系</w:t>
      </w:r>
    </w:p>
    <w:p w14:paraId="3129BE5A">
      <w:pPr>
        <w:pStyle w:val="2"/>
        <w:keepNext w:val="0"/>
        <w:keepLines w:val="0"/>
        <w:pageBreakBefore w:val="0"/>
        <w:widowControl/>
        <w:kinsoku w:val="0"/>
        <w:wordWrap/>
        <w:overflowPunct/>
        <w:topLinePunct w:val="0"/>
        <w:autoSpaceDE w:val="0"/>
        <w:autoSpaceDN w:val="0"/>
        <w:bidi w:val="0"/>
        <w:adjustRightInd w:val="0"/>
        <w:snapToGrid w:val="0"/>
        <w:spacing w:before="214"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 xml:space="preserve">本标准与现行中医药、医疗机构管理、院感防控相关法律法规、强制性卫生行业标准协调一致，无冲突、抵触条款。 </w:t>
      </w:r>
    </w:p>
    <w:p w14:paraId="1F4A7BE7">
      <w:pPr>
        <w:pStyle w:val="2"/>
        <w:keepNext w:val="0"/>
        <w:keepLines w:val="0"/>
        <w:pageBreakBefore w:val="0"/>
        <w:widowControl/>
        <w:kinsoku w:val="0"/>
        <w:wordWrap/>
        <w:overflowPunct/>
        <w:topLinePunct w:val="0"/>
        <w:autoSpaceDE w:val="0"/>
        <w:autoSpaceDN w:val="0"/>
        <w:bidi w:val="0"/>
        <w:adjustRightInd w:val="0"/>
        <w:snapToGrid w:val="0"/>
        <w:spacing w:before="214"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ascii="仿宋" w:hAnsi="仿宋" w:eastAsia="仿宋" w:cs="仿宋"/>
          <w:snapToGrid w:val="0"/>
          <w:color w:val="000000"/>
          <w:spacing w:val="6"/>
          <w:kern w:val="0"/>
          <w:sz w:val="28"/>
          <w:szCs w:val="28"/>
          <w:lang w:val="en-US" w:eastAsia="en-US" w:bidi="ar-SA"/>
        </w:rPr>
        <w:t>规范的起草、编写格式严格符合</w:t>
      </w:r>
      <w:r>
        <w:rPr>
          <w:rFonts w:hint="eastAsia" w:cs="仿宋"/>
          <w:snapToGrid w:val="0"/>
          <w:color w:val="000000"/>
          <w:spacing w:val="6"/>
          <w:kern w:val="0"/>
          <w:sz w:val="28"/>
          <w:szCs w:val="28"/>
          <w:lang w:val="en-US" w:eastAsia="zh-CN" w:bidi="ar-SA"/>
        </w:rPr>
        <w:t xml:space="preserve"> </w:t>
      </w:r>
      <w:r>
        <w:rPr>
          <w:rFonts w:hint="eastAsia" w:ascii="仿宋" w:hAnsi="仿宋" w:eastAsia="仿宋" w:cs="仿宋"/>
          <w:snapToGrid w:val="0"/>
          <w:color w:val="000000"/>
          <w:spacing w:val="6"/>
          <w:kern w:val="0"/>
          <w:sz w:val="28"/>
          <w:szCs w:val="28"/>
          <w:lang w:val="en-US" w:eastAsia="en-US" w:bidi="ar-SA"/>
        </w:rPr>
        <w:t xml:space="preserve">GB/T 1.1-2020《标准化工作导则 第1部分：标准化文件的结构和起草规则》、GB/T 1.2-2002《标准化工作导则 第2部分：标准中规范性技术要素内容的确定方法》的编制要求。 </w:t>
      </w:r>
    </w:p>
    <w:p w14:paraId="522D3EB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214"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cs="仿宋"/>
          <w:snapToGrid w:val="0"/>
          <w:color w:val="000000"/>
          <w:spacing w:val="6"/>
          <w:kern w:val="0"/>
          <w:sz w:val="28"/>
          <w:szCs w:val="28"/>
          <w:lang w:val="en-US" w:eastAsia="zh-CN" w:bidi="ar-SA"/>
        </w:rPr>
        <w:t>1、</w:t>
      </w:r>
      <w:r>
        <w:rPr>
          <w:rFonts w:hint="eastAsia" w:ascii="仿宋" w:hAnsi="仿宋" w:eastAsia="仿宋" w:cs="仿宋"/>
          <w:snapToGrid w:val="0"/>
          <w:color w:val="000000"/>
          <w:spacing w:val="6"/>
          <w:kern w:val="0"/>
          <w:sz w:val="28"/>
          <w:szCs w:val="28"/>
          <w:lang w:val="en-US" w:eastAsia="en-US" w:bidi="ar-SA"/>
        </w:rPr>
        <w:t>法律法规适配性 本标准操作管理、器械使用、病历记录、医疗废物处置等内容，符合《中华人民共和国中医药法》《医疗机构管理条例》《医院感染管理办法》《医疗器械监督管理条例》等现行法律法规相关要求，规范中医外治临床执业行为。</w:t>
      </w:r>
    </w:p>
    <w:p w14:paraId="1E26981E">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214" w:line="360" w:lineRule="auto"/>
        <w:ind w:firstLine="584" w:firstLineChars="200"/>
        <w:jc w:val="left"/>
        <w:textAlignment w:val="baseline"/>
        <w:rPr>
          <w:rFonts w:hint="eastAsia" w:ascii="仿宋" w:hAnsi="仿宋" w:eastAsia="仿宋" w:cs="仿宋"/>
          <w:snapToGrid w:val="0"/>
          <w:color w:val="000000"/>
          <w:spacing w:val="6"/>
          <w:kern w:val="0"/>
          <w:sz w:val="28"/>
          <w:szCs w:val="28"/>
          <w:lang w:val="en-US" w:eastAsia="en-US" w:bidi="ar-SA"/>
        </w:rPr>
      </w:pPr>
      <w:r>
        <w:rPr>
          <w:rFonts w:hint="eastAsia" w:cs="仿宋"/>
          <w:snapToGrid w:val="0"/>
          <w:color w:val="000000"/>
          <w:spacing w:val="6"/>
          <w:kern w:val="0"/>
          <w:sz w:val="28"/>
          <w:szCs w:val="28"/>
          <w:lang w:val="en-US" w:eastAsia="zh-CN" w:bidi="ar-SA"/>
        </w:rPr>
        <w:t>2、</w:t>
      </w:r>
      <w:r>
        <w:rPr>
          <w:rFonts w:hint="eastAsia" w:ascii="仿宋" w:hAnsi="仿宋" w:eastAsia="仿宋" w:cs="仿宋"/>
          <w:snapToGrid w:val="0"/>
          <w:color w:val="000000"/>
          <w:spacing w:val="6"/>
          <w:kern w:val="0"/>
          <w:sz w:val="28"/>
          <w:szCs w:val="28"/>
          <w:lang w:val="en-US" w:eastAsia="en-US" w:bidi="ar-SA"/>
        </w:rPr>
        <w:t xml:space="preserve">强制性卫生标准适配性 本标准器具清洗消毒相关条款与WS 310.2—2016、WS 367.2—2012的规定完全对接。 </w:t>
      </w:r>
    </w:p>
    <w:p w14:paraId="5E38AB1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214" w:line="360" w:lineRule="auto"/>
        <w:ind w:firstLine="584" w:firstLineChars="200"/>
        <w:jc w:val="left"/>
        <w:textAlignment w:val="baseline"/>
        <w:rPr>
          <w:rFonts w:hint="eastAsia" w:ascii="仿宋" w:hAnsi="仿宋" w:eastAsia="仿宋" w:cs="仿宋"/>
          <w:sz w:val="28"/>
          <w:szCs w:val="28"/>
        </w:rPr>
      </w:pPr>
      <w:r>
        <w:rPr>
          <w:rFonts w:hint="eastAsia" w:cs="仿宋"/>
          <w:snapToGrid w:val="0"/>
          <w:color w:val="000000"/>
          <w:spacing w:val="6"/>
          <w:kern w:val="0"/>
          <w:sz w:val="28"/>
          <w:szCs w:val="28"/>
          <w:lang w:val="en-US" w:eastAsia="zh-CN" w:bidi="ar-SA"/>
        </w:rPr>
        <w:t>3、</w:t>
      </w:r>
      <w:r>
        <w:rPr>
          <w:rFonts w:hint="eastAsia" w:ascii="仿宋" w:hAnsi="仿宋" w:eastAsia="仿宋" w:cs="仿宋"/>
          <w:snapToGrid w:val="0"/>
          <w:color w:val="000000"/>
          <w:spacing w:val="6"/>
          <w:kern w:val="0"/>
          <w:sz w:val="28"/>
          <w:szCs w:val="28"/>
          <w:lang w:val="en-US" w:eastAsia="en-US" w:bidi="ar-SA"/>
        </w:rPr>
        <w:t>行业政策适配性 标准整体技术框架、中医适宜技术规范化要求契合《“十四五”中医药发展规划》《中医药标准化行动计划（2024—2026年）》相关指导要求，支撑基层中医特色技术标准化推广工作。</w:t>
      </w:r>
    </w:p>
    <w:p w14:paraId="02614C7B">
      <w:pPr>
        <w:pStyle w:val="2"/>
        <w:spacing w:before="101" w:line="360" w:lineRule="auto"/>
        <w:ind w:left="563" w:right="5232" w:firstLine="79"/>
        <w:rPr>
          <w:rFonts w:hint="eastAsia" w:ascii="仿宋" w:hAnsi="仿宋" w:eastAsia="仿宋" w:cs="仿宋"/>
          <w:sz w:val="28"/>
          <w:szCs w:val="28"/>
        </w:rPr>
      </w:pPr>
      <w:r>
        <w:rPr>
          <w:rFonts w:hint="eastAsia" w:ascii="黑体" w:hAnsi="黑体" w:eastAsia="黑体" w:cs="黑体"/>
          <w:snapToGrid w:val="0"/>
          <w:color w:val="000000"/>
          <w:spacing w:val="8"/>
          <w:kern w:val="0"/>
          <w:sz w:val="32"/>
          <w:szCs w:val="32"/>
          <w:lang w:val="en-US" w:eastAsia="en-US" w:bidi="ar-SA"/>
        </w:rPr>
        <w:t>六、重大分歧意见</w:t>
      </w:r>
      <w:r>
        <w:rPr>
          <w:rFonts w:hint="eastAsia" w:ascii="黑体" w:hAnsi="黑体" w:eastAsia="黑体" w:cs="黑体"/>
          <w:snapToGrid w:val="0"/>
          <w:color w:val="000000"/>
          <w:spacing w:val="8"/>
          <w:kern w:val="0"/>
          <w:sz w:val="32"/>
          <w:szCs w:val="32"/>
          <w:lang w:val="en-US" w:eastAsia="zh-CN" w:bidi="ar-SA"/>
        </w:rPr>
        <w:t>处理</w:t>
      </w:r>
      <w:r>
        <w:rPr>
          <w:rFonts w:hint="eastAsia" w:ascii="仿宋" w:hAnsi="仿宋" w:eastAsia="仿宋" w:cs="仿宋"/>
          <w:spacing w:val="5"/>
          <w:sz w:val="28"/>
          <w:szCs w:val="28"/>
        </w:rPr>
        <w:t xml:space="preserve"> </w:t>
      </w:r>
      <w:r>
        <w:rPr>
          <w:rFonts w:hint="eastAsia" w:ascii="仿宋" w:hAnsi="仿宋" w:eastAsia="仿宋" w:cs="仿宋"/>
          <w:snapToGrid w:val="0"/>
          <w:color w:val="000000"/>
          <w:spacing w:val="6"/>
          <w:kern w:val="0"/>
          <w:sz w:val="28"/>
          <w:szCs w:val="28"/>
          <w:lang w:val="en-US" w:eastAsia="en-US" w:bidi="ar-SA"/>
        </w:rPr>
        <w:t>无</w:t>
      </w:r>
    </w:p>
    <w:p w14:paraId="20E1EA6F">
      <w:pPr>
        <w:pStyle w:val="2"/>
        <w:spacing w:before="100" w:line="360" w:lineRule="auto"/>
        <w:ind w:left="562" w:right="2030" w:firstLine="69"/>
        <w:rPr>
          <w:rFonts w:hint="eastAsia" w:ascii="黑体" w:hAnsi="黑体" w:eastAsia="黑体" w:cs="黑体"/>
          <w:snapToGrid w:val="0"/>
          <w:color w:val="000000"/>
          <w:spacing w:val="8"/>
          <w:kern w:val="0"/>
          <w:sz w:val="32"/>
          <w:szCs w:val="32"/>
          <w:lang w:val="en-US" w:eastAsia="zh-CN" w:bidi="ar-SA"/>
        </w:rPr>
      </w:pPr>
      <w:r>
        <w:rPr>
          <w:rFonts w:hint="eastAsia" w:ascii="黑体" w:hAnsi="黑体" w:eastAsia="黑体" w:cs="黑体"/>
          <w:snapToGrid w:val="0"/>
          <w:color w:val="000000"/>
          <w:spacing w:val="8"/>
          <w:kern w:val="0"/>
          <w:sz w:val="32"/>
          <w:szCs w:val="32"/>
          <w:lang w:val="en-US" w:eastAsia="en-US" w:bidi="ar-SA"/>
        </w:rPr>
        <w:t>七、标准作为强制性或推荐性标准发布的</w:t>
      </w:r>
      <w:r>
        <w:rPr>
          <w:rFonts w:hint="eastAsia" w:ascii="黑体" w:hAnsi="黑体" w:eastAsia="黑体" w:cs="黑体"/>
          <w:snapToGrid w:val="0"/>
          <w:color w:val="000000"/>
          <w:spacing w:val="8"/>
          <w:kern w:val="0"/>
          <w:sz w:val="32"/>
          <w:szCs w:val="32"/>
          <w:lang w:val="en-US" w:eastAsia="zh-CN" w:bidi="ar-SA"/>
        </w:rPr>
        <w:t>意见</w:t>
      </w:r>
    </w:p>
    <w:p w14:paraId="4C272551">
      <w:pPr>
        <w:pStyle w:val="2"/>
        <w:spacing w:before="100" w:line="360" w:lineRule="auto"/>
        <w:ind w:left="562" w:right="2030" w:firstLine="69"/>
        <w:rPr>
          <w:rFonts w:hint="eastAsia" w:ascii="仿宋" w:hAnsi="仿宋" w:eastAsia="仿宋" w:cs="仿宋"/>
          <w:sz w:val="28"/>
          <w:szCs w:val="28"/>
        </w:rPr>
      </w:pPr>
      <w:r>
        <w:rPr>
          <w:rFonts w:hint="eastAsia" w:ascii="仿宋" w:hAnsi="仿宋" w:eastAsia="仿宋" w:cs="仿宋"/>
          <w:spacing w:val="8"/>
          <w:sz w:val="28"/>
          <w:szCs w:val="28"/>
        </w:rPr>
        <w:t xml:space="preserve"> </w:t>
      </w:r>
      <w:r>
        <w:rPr>
          <w:rFonts w:hint="eastAsia" w:ascii="仿宋" w:hAnsi="仿宋" w:eastAsia="仿宋" w:cs="仿宋"/>
          <w:snapToGrid w:val="0"/>
          <w:color w:val="000000"/>
          <w:spacing w:val="6"/>
          <w:kern w:val="0"/>
          <w:sz w:val="28"/>
          <w:szCs w:val="28"/>
          <w:lang w:val="en-US" w:eastAsia="en-US" w:bidi="ar-SA"/>
        </w:rPr>
        <w:t>推荐性</w:t>
      </w:r>
    </w:p>
    <w:p w14:paraId="66C176D1">
      <w:pPr>
        <w:spacing w:before="133" w:line="226" w:lineRule="auto"/>
        <w:ind w:firstLine="672" w:firstLineChars="200"/>
        <w:rPr>
          <w:rFonts w:hint="eastAsia" w:ascii="黑体" w:hAnsi="黑体" w:eastAsia="黑体" w:cs="黑体"/>
          <w:spacing w:val="8"/>
          <w:sz w:val="32"/>
          <w:szCs w:val="32"/>
        </w:rPr>
      </w:pPr>
      <w:r>
        <w:rPr>
          <w:rFonts w:hint="eastAsia" w:ascii="黑体" w:hAnsi="黑体" w:eastAsia="黑体" w:cs="黑体"/>
          <w:spacing w:val="8"/>
          <w:sz w:val="32"/>
          <w:szCs w:val="32"/>
        </w:rPr>
        <w:t>八、贯彻标准的建议</w:t>
      </w:r>
    </w:p>
    <w:p w14:paraId="6CAA9BBB">
      <w:pPr>
        <w:pStyle w:val="2"/>
        <w:numPr>
          <w:ilvl w:val="0"/>
          <w:numId w:val="0"/>
        </w:numPr>
        <w:spacing w:before="225" w:line="360" w:lineRule="auto"/>
        <w:ind w:firstLine="568" w:firstLineChars="200"/>
        <w:rPr>
          <w:rFonts w:hint="eastAsia" w:ascii="仿宋" w:hAnsi="仿宋" w:eastAsia="仿宋" w:cs="仿宋"/>
          <w:spacing w:val="2"/>
          <w:sz w:val="28"/>
          <w:szCs w:val="28"/>
          <w:lang w:val="en-US" w:eastAsia="en-US"/>
        </w:rPr>
      </w:pPr>
      <w:r>
        <w:rPr>
          <w:rFonts w:hint="eastAsia" w:ascii="仿宋" w:hAnsi="仿宋" w:eastAsia="仿宋" w:cs="仿宋"/>
          <w:spacing w:val="2"/>
          <w:sz w:val="28"/>
          <w:szCs w:val="28"/>
          <w:lang w:val="en-US" w:eastAsia="en-US"/>
        </w:rPr>
        <w:t>为推动本标准在各级医疗机构的有效贯彻与落地实施，提出以下建议：</w:t>
      </w:r>
    </w:p>
    <w:p w14:paraId="3DA71D9B">
      <w:pPr>
        <w:pStyle w:val="2"/>
        <w:numPr>
          <w:ilvl w:val="0"/>
          <w:numId w:val="0"/>
        </w:numPr>
        <w:spacing w:before="225" w:line="360" w:lineRule="auto"/>
        <w:ind w:firstLine="568" w:firstLineChars="200"/>
        <w:rPr>
          <w:rFonts w:hint="eastAsia" w:ascii="仿宋" w:hAnsi="仿宋" w:eastAsia="仿宋" w:cs="仿宋"/>
          <w:spacing w:val="2"/>
          <w:sz w:val="28"/>
          <w:szCs w:val="28"/>
          <w:lang w:val="en-US" w:eastAsia="en-US"/>
        </w:rPr>
      </w:pPr>
      <w:r>
        <w:rPr>
          <w:rFonts w:hint="eastAsia" w:ascii="仿宋" w:hAnsi="仿宋" w:eastAsia="仿宋" w:cs="仿宋"/>
          <w:spacing w:val="2"/>
          <w:sz w:val="28"/>
          <w:szCs w:val="28"/>
          <w:lang w:val="en-US" w:eastAsia="en-US"/>
        </w:rPr>
        <w:t>一是做好标准文本的宣贯工作。标准正式发布后，通过学术期刊、行业新媒体、医学学术会议等渠道进行宣传推广，编制标准条文释义材料，方便基层人员准确理解与执行。</w:t>
      </w:r>
    </w:p>
    <w:p w14:paraId="453096C8">
      <w:pPr>
        <w:pStyle w:val="2"/>
        <w:numPr>
          <w:ilvl w:val="0"/>
          <w:numId w:val="0"/>
        </w:numPr>
        <w:spacing w:before="225" w:line="360" w:lineRule="auto"/>
        <w:ind w:firstLine="568" w:firstLineChars="200"/>
        <w:rPr>
          <w:rFonts w:hint="eastAsia" w:ascii="仿宋" w:hAnsi="仿宋" w:eastAsia="仿宋" w:cs="仿宋"/>
          <w:spacing w:val="2"/>
          <w:sz w:val="28"/>
          <w:szCs w:val="28"/>
          <w:lang w:val="en-US" w:eastAsia="en-US"/>
        </w:rPr>
      </w:pPr>
      <w:r>
        <w:rPr>
          <w:rFonts w:hint="eastAsia" w:ascii="仿宋" w:hAnsi="仿宋" w:eastAsia="仿宋" w:cs="仿宋"/>
          <w:spacing w:val="2"/>
          <w:sz w:val="28"/>
          <w:szCs w:val="28"/>
          <w:lang w:val="en-US" w:eastAsia="en-US"/>
        </w:rPr>
        <w:t>二是分层开展专项培训。面向全国中医骨伤、康复、疼痛、中医护理从业人员，举办药陶罐技术标准化操作培训班，培训内容涵盖标准条款解读、全流程实操演示、安全风险管控、不良反应应急处置等，参训人员经考核合格后方可独立操作。</w:t>
      </w:r>
    </w:p>
    <w:p w14:paraId="4C3946BA">
      <w:pPr>
        <w:pStyle w:val="2"/>
        <w:numPr>
          <w:ilvl w:val="0"/>
          <w:numId w:val="0"/>
        </w:numPr>
        <w:spacing w:before="225" w:line="360" w:lineRule="auto"/>
        <w:ind w:firstLine="568" w:firstLineChars="200"/>
        <w:rPr>
          <w:rFonts w:hint="eastAsia" w:ascii="仿宋" w:hAnsi="仿宋" w:eastAsia="仿宋" w:cs="仿宋"/>
          <w:spacing w:val="2"/>
          <w:sz w:val="28"/>
          <w:szCs w:val="28"/>
          <w:lang w:val="en-US" w:eastAsia="en-US"/>
        </w:rPr>
      </w:pPr>
      <w:r>
        <w:rPr>
          <w:rFonts w:hint="eastAsia" w:ascii="仿宋" w:hAnsi="仿宋" w:eastAsia="仿宋" w:cs="仿宋"/>
          <w:spacing w:val="2"/>
          <w:sz w:val="28"/>
          <w:szCs w:val="28"/>
          <w:lang w:val="en-US" w:eastAsia="en-US"/>
        </w:rPr>
        <w:t>三是选取全部参编起草单位作为首批标准化试点机构，率先按照本标准要求规范临床操作，总结标准化实施经验，为标准的后续修订完善提供依据。</w:t>
      </w:r>
    </w:p>
    <w:p w14:paraId="1E193361">
      <w:pPr>
        <w:pStyle w:val="2"/>
        <w:numPr>
          <w:ilvl w:val="0"/>
          <w:numId w:val="0"/>
        </w:numPr>
        <w:spacing w:before="225" w:line="360" w:lineRule="auto"/>
        <w:ind w:firstLine="568" w:firstLineChars="200"/>
        <w:rPr>
          <w:rFonts w:hint="eastAsia" w:ascii="仿宋" w:hAnsi="仿宋" w:eastAsia="仿宋" w:cs="仿宋"/>
          <w:spacing w:val="2"/>
          <w:sz w:val="28"/>
          <w:szCs w:val="28"/>
          <w:lang w:val="en-US" w:eastAsia="en-US"/>
        </w:rPr>
      </w:pPr>
      <w:r>
        <w:rPr>
          <w:rFonts w:hint="eastAsia" w:ascii="仿宋" w:hAnsi="仿宋" w:eastAsia="仿宋" w:cs="仿宋"/>
          <w:spacing w:val="2"/>
          <w:sz w:val="28"/>
          <w:szCs w:val="28"/>
          <w:lang w:val="en-US" w:eastAsia="en-US"/>
        </w:rPr>
        <w:t>四是围绕标准核心内容制作标准化操作教学视频与图文图解，直观展示规范操作全过程，提升标准推广效率。</w:t>
      </w:r>
    </w:p>
    <w:p w14:paraId="1E5523A2">
      <w:pPr>
        <w:pStyle w:val="2"/>
        <w:numPr>
          <w:ilvl w:val="0"/>
          <w:numId w:val="0"/>
        </w:numPr>
        <w:spacing w:before="225" w:line="360" w:lineRule="auto"/>
        <w:ind w:firstLine="568" w:firstLineChars="200"/>
        <w:rPr>
          <w:rFonts w:hint="eastAsia" w:ascii="仿宋" w:hAnsi="仿宋" w:eastAsia="仿宋" w:cs="仿宋"/>
          <w:sz w:val="28"/>
          <w:szCs w:val="28"/>
        </w:rPr>
      </w:pPr>
      <w:r>
        <w:rPr>
          <w:rFonts w:hint="eastAsia" w:ascii="仿宋" w:hAnsi="仿宋" w:eastAsia="仿宋" w:cs="仿宋"/>
          <w:spacing w:val="2"/>
          <w:sz w:val="28"/>
          <w:szCs w:val="28"/>
          <w:lang w:val="en-US" w:eastAsia="en-US"/>
        </w:rPr>
        <w:t xml:space="preserve">五是鼓励各实施机构将本标准与本机构护理质控、院感管理体系对接，定期开展标准执行情况自查与评估，持续改进操作质量。 </w:t>
      </w:r>
    </w:p>
    <w:p w14:paraId="464F7B2B">
      <w:pPr>
        <w:spacing w:before="133" w:line="226" w:lineRule="auto"/>
        <w:rPr>
          <w:rFonts w:hint="eastAsia" w:ascii="黑体" w:hAnsi="黑体" w:eastAsia="黑体" w:cs="黑体"/>
          <w:spacing w:val="8"/>
          <w:sz w:val="32"/>
          <w:szCs w:val="32"/>
        </w:rPr>
      </w:pPr>
      <w:r>
        <w:rPr>
          <w:rFonts w:hint="eastAsia" w:ascii="黑体" w:hAnsi="黑体" w:eastAsia="黑体" w:cs="黑体"/>
          <w:spacing w:val="8"/>
          <w:sz w:val="32"/>
          <w:szCs w:val="32"/>
        </w:rPr>
        <w:t>九、经费使用情况</w:t>
      </w:r>
    </w:p>
    <w:p w14:paraId="20533E1F">
      <w:pPr>
        <w:pStyle w:val="2"/>
        <w:numPr>
          <w:ilvl w:val="0"/>
          <w:numId w:val="0"/>
        </w:numPr>
        <w:spacing w:before="225" w:line="360" w:lineRule="auto"/>
        <w:ind w:left="567" w:leftChars="0"/>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本标准编制工作无专项经费支持，相关调研、会议、材料编制等费</w:t>
      </w:r>
    </w:p>
    <w:p w14:paraId="69663689">
      <w:pPr>
        <w:pStyle w:val="2"/>
        <w:numPr>
          <w:ilvl w:val="0"/>
          <w:numId w:val="0"/>
        </w:numPr>
        <w:spacing w:before="225" w:line="360" w:lineRule="auto"/>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用由各起草单位自行承担。</w:t>
      </w:r>
    </w:p>
    <w:p w14:paraId="194335CD">
      <w:pPr>
        <w:pStyle w:val="2"/>
        <w:numPr>
          <w:ilvl w:val="0"/>
          <w:numId w:val="0"/>
        </w:numPr>
        <w:spacing w:before="225" w:line="360" w:lineRule="auto"/>
        <w:rPr>
          <w:rFonts w:hint="eastAsia" w:ascii="仿宋" w:hAnsi="仿宋" w:eastAsia="仿宋" w:cs="仿宋"/>
          <w:spacing w:val="3"/>
          <w:sz w:val="28"/>
          <w:szCs w:val="28"/>
          <w:lang w:val="en-US" w:eastAsia="zh-CN"/>
        </w:rPr>
      </w:pPr>
    </w:p>
    <w:p w14:paraId="2936CC82">
      <w:pPr>
        <w:pStyle w:val="2"/>
        <w:spacing w:before="100" w:line="360" w:lineRule="auto"/>
        <w:ind w:left="5705" w:right="321" w:hanging="2127"/>
        <w:jc w:val="right"/>
        <w:rPr>
          <w:rFonts w:hint="eastAsia" w:ascii="仿宋" w:hAnsi="仿宋" w:eastAsia="仿宋" w:cs="仿宋"/>
          <w:spacing w:val="11"/>
          <w:sz w:val="28"/>
          <w:szCs w:val="28"/>
        </w:rPr>
      </w:pPr>
      <w:r>
        <w:rPr>
          <w:rFonts w:hint="eastAsia" w:ascii="仿宋" w:hAnsi="仿宋" w:eastAsia="仿宋" w:cs="仿宋"/>
          <w:spacing w:val="8"/>
          <w:sz w:val="28"/>
          <w:szCs w:val="28"/>
        </w:rPr>
        <w:t>《</w:t>
      </w:r>
      <w:r>
        <w:rPr>
          <w:rFonts w:hint="eastAsia" w:ascii="仿宋" w:hAnsi="仿宋" w:eastAsia="仿宋" w:cs="仿宋"/>
          <w:spacing w:val="8"/>
          <w:sz w:val="28"/>
          <w:szCs w:val="28"/>
          <w:lang w:val="en-US" w:eastAsia="zh-CN"/>
        </w:rPr>
        <w:t>药陶罐技术</w:t>
      </w:r>
      <w:r>
        <w:rPr>
          <w:rFonts w:hint="eastAsia" w:ascii="仿宋" w:hAnsi="仿宋" w:eastAsia="仿宋" w:cs="仿宋"/>
          <w:spacing w:val="8"/>
          <w:sz w:val="28"/>
          <w:szCs w:val="28"/>
        </w:rPr>
        <w:t>规范》起草组</w:t>
      </w:r>
      <w:r>
        <w:rPr>
          <w:rFonts w:hint="eastAsia" w:ascii="仿宋" w:hAnsi="仿宋" w:eastAsia="仿宋" w:cs="仿宋"/>
          <w:spacing w:val="11"/>
          <w:sz w:val="28"/>
          <w:szCs w:val="28"/>
        </w:rPr>
        <w:t xml:space="preserve"> </w:t>
      </w:r>
    </w:p>
    <w:p w14:paraId="1A480A5B">
      <w:pPr>
        <w:pStyle w:val="2"/>
        <w:spacing w:before="100" w:line="360" w:lineRule="auto"/>
        <w:ind w:left="5705" w:right="321" w:hanging="2127"/>
        <w:jc w:val="center"/>
        <w:rPr>
          <w:rFonts w:hint="eastAsia" w:ascii="仿宋" w:hAnsi="仿宋" w:eastAsia="仿宋" w:cs="仿宋"/>
          <w:sz w:val="28"/>
          <w:szCs w:val="28"/>
          <w:lang w:val="en-US" w:eastAsia="zh-CN"/>
        </w:rPr>
      </w:pPr>
      <w:r>
        <w:rPr>
          <w:rFonts w:hint="eastAsia" w:ascii="仿宋" w:hAnsi="仿宋" w:eastAsia="仿宋" w:cs="仿宋"/>
          <w:spacing w:val="-7"/>
          <w:sz w:val="28"/>
          <w:szCs w:val="28"/>
          <w:lang w:val="en-US" w:eastAsia="zh-CN"/>
        </w:rPr>
        <w:t xml:space="preserve">           </w:t>
      </w:r>
      <w:r>
        <w:rPr>
          <w:rFonts w:hint="eastAsia" w:ascii="仿宋" w:hAnsi="仿宋" w:eastAsia="仿宋" w:cs="仿宋"/>
          <w:spacing w:val="-7"/>
          <w:sz w:val="28"/>
          <w:szCs w:val="28"/>
        </w:rPr>
        <w:t>202</w:t>
      </w:r>
      <w:r>
        <w:rPr>
          <w:rFonts w:hint="eastAsia" w:ascii="仿宋" w:hAnsi="仿宋" w:eastAsia="仿宋" w:cs="仿宋"/>
          <w:spacing w:val="-7"/>
          <w:sz w:val="28"/>
          <w:szCs w:val="28"/>
          <w:lang w:val="en-US" w:eastAsia="zh-CN"/>
        </w:rPr>
        <w:t>6</w:t>
      </w:r>
      <w:r>
        <w:rPr>
          <w:rFonts w:hint="eastAsia" w:ascii="仿宋" w:hAnsi="仿宋" w:eastAsia="仿宋" w:cs="仿宋"/>
          <w:spacing w:val="-43"/>
          <w:sz w:val="28"/>
          <w:szCs w:val="28"/>
        </w:rPr>
        <w:t xml:space="preserve"> </w:t>
      </w:r>
      <w:r>
        <w:rPr>
          <w:rFonts w:hint="eastAsia" w:ascii="仿宋" w:hAnsi="仿宋" w:eastAsia="仿宋" w:cs="仿宋"/>
          <w:spacing w:val="-7"/>
          <w:sz w:val="28"/>
          <w:szCs w:val="28"/>
        </w:rPr>
        <w:t>年</w:t>
      </w:r>
      <w:r>
        <w:rPr>
          <w:rFonts w:hint="eastAsia" w:ascii="仿宋" w:hAnsi="仿宋" w:eastAsia="仿宋" w:cs="仿宋"/>
          <w:spacing w:val="-41"/>
          <w:sz w:val="28"/>
          <w:szCs w:val="28"/>
        </w:rPr>
        <w:t xml:space="preserve"> </w:t>
      </w:r>
      <w:r>
        <w:rPr>
          <w:rFonts w:hint="eastAsia" w:ascii="仿宋" w:hAnsi="仿宋" w:eastAsia="仿宋" w:cs="仿宋"/>
          <w:spacing w:val="-41"/>
          <w:sz w:val="28"/>
          <w:szCs w:val="28"/>
          <w:lang w:val="en-US" w:eastAsia="zh-CN"/>
        </w:rPr>
        <w:t>6</w:t>
      </w:r>
      <w:r>
        <w:rPr>
          <w:rFonts w:hint="eastAsia" w:ascii="仿宋" w:hAnsi="仿宋" w:eastAsia="仿宋" w:cs="仿宋"/>
          <w:spacing w:val="-38"/>
          <w:sz w:val="28"/>
          <w:szCs w:val="28"/>
        </w:rPr>
        <w:t xml:space="preserve"> </w:t>
      </w:r>
      <w:r>
        <w:rPr>
          <w:rFonts w:hint="eastAsia" w:ascii="仿宋" w:hAnsi="仿宋" w:eastAsia="仿宋" w:cs="仿宋"/>
          <w:spacing w:val="-7"/>
          <w:sz w:val="28"/>
          <w:szCs w:val="28"/>
        </w:rPr>
        <w:t>月</w:t>
      </w:r>
      <w:r>
        <w:rPr>
          <w:rFonts w:hint="eastAsia" w:ascii="仿宋" w:hAnsi="仿宋" w:eastAsia="仿宋" w:cs="仿宋"/>
          <w:spacing w:val="-39"/>
          <w:sz w:val="28"/>
          <w:szCs w:val="28"/>
        </w:rPr>
        <w:t xml:space="preserve"> </w:t>
      </w:r>
      <w:r>
        <w:rPr>
          <w:rFonts w:hint="eastAsia" w:ascii="仿宋" w:hAnsi="仿宋" w:eastAsia="仿宋" w:cs="仿宋"/>
          <w:spacing w:val="-7"/>
          <w:sz w:val="28"/>
          <w:szCs w:val="28"/>
          <w:lang w:val="en-US" w:eastAsia="zh-CN"/>
        </w:rPr>
        <w:t>28</w:t>
      </w:r>
      <w:r>
        <w:rPr>
          <w:rFonts w:hint="eastAsia" w:ascii="仿宋" w:hAnsi="仿宋" w:eastAsia="仿宋" w:cs="仿宋"/>
          <w:spacing w:val="-7"/>
          <w:sz w:val="28"/>
          <w:szCs w:val="28"/>
        </w:rPr>
        <w:t xml:space="preserve"> </w:t>
      </w:r>
      <w:r>
        <w:rPr>
          <w:rFonts w:hint="eastAsia" w:ascii="仿宋" w:hAnsi="仿宋" w:eastAsia="仿宋" w:cs="仿宋"/>
          <w:spacing w:val="-7"/>
          <w:sz w:val="28"/>
          <w:szCs w:val="28"/>
          <w:lang w:val="en-US" w:eastAsia="zh-CN"/>
        </w:rPr>
        <w:t>日</w:t>
      </w:r>
    </w:p>
    <w:sectPr>
      <w:footerReference r:id="rId5" w:type="default"/>
      <w:pgSz w:w="11906" w:h="16839"/>
      <w:pgMar w:top="1431" w:right="1418" w:bottom="1156" w:left="1486"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AFFA6A-DF18-4FA0-89DD-1A1C2D9F3532}"/>
  </w:font>
  <w:font w:name="黑体">
    <w:panose1 w:val="02010609060101010101"/>
    <w:charset w:val="86"/>
    <w:family w:val="auto"/>
    <w:pitch w:val="default"/>
    <w:sig w:usb0="800002BF" w:usb1="38CF7CFA" w:usb2="00000016" w:usb3="00000000" w:csb0="00040001" w:csb1="00000000"/>
    <w:embedRegular r:id="rId2" w:fontKey="{DBB00CB8-EC3F-4E05-9D7D-D6B9F1DA99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C8392179-5981-4CF9-A19C-68CF91889C08}"/>
  </w:font>
  <w:font w:name="方正楷体_GB2312">
    <w:panose1 w:val="02000000000000000000"/>
    <w:charset w:val="86"/>
    <w:family w:val="auto"/>
    <w:pitch w:val="default"/>
    <w:sig w:usb0="A00002BF" w:usb1="184F6CFA" w:usb2="00000012" w:usb3="00000000" w:csb0="00040001" w:csb1="00000000"/>
    <w:embedRegular r:id="rId4" w:fontKey="{B51268DB-6FAA-425B-822A-DD0ED59B59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1599E">
    <w:pPr>
      <w:spacing w:line="176" w:lineRule="auto"/>
      <w:ind w:left="439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0347A5"/>
    <w:multiLevelType w:val="singleLevel"/>
    <w:tmpl w:val="6F0347A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4166BC"/>
    <w:rsid w:val="072F0BB4"/>
    <w:rsid w:val="1F45776D"/>
    <w:rsid w:val="23C01ACE"/>
    <w:rsid w:val="24643470"/>
    <w:rsid w:val="29157C90"/>
    <w:rsid w:val="38DA6166"/>
    <w:rsid w:val="390C65EA"/>
    <w:rsid w:val="3C074E47"/>
    <w:rsid w:val="3C2105FF"/>
    <w:rsid w:val="49352174"/>
    <w:rsid w:val="4AC47C50"/>
    <w:rsid w:val="55986DE4"/>
    <w:rsid w:val="57884901"/>
    <w:rsid w:val="5879483A"/>
    <w:rsid w:val="5C1A7D4C"/>
    <w:rsid w:val="62113437"/>
    <w:rsid w:val="653C4875"/>
    <w:rsid w:val="68456707"/>
    <w:rsid w:val="713D718D"/>
    <w:rsid w:val="75FE45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4974</Words>
  <Characters>5192</Characters>
  <TotalTime>1</TotalTime>
  <ScaleCrop>false</ScaleCrop>
  <LinksUpToDate>false</LinksUpToDate>
  <CharactersWithSpaces>5267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2024-12-20T10:55:00Z</dcterms:created>
  <dc:creator>微软用户</dc:creator>
  <cp:lastModifiedBy>谢小春春春</cp:lastModifiedBy>
  <dcterms:modified xsi:type="dcterms:W3CDTF">2026-07-01T07:57:24Z</dcterms:modified>
  <dc:title>标准编制说明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2024-12-24T11:02:52Z</vt:filetime>
  </property>
  <property fmtid="{D5CDD505-2E9C-101B-9397-08002B2CF9AE}" pid="4" name="KSOProductBuildVer">
    <vt:lpwstr>2052-12.1.0.26895</vt:lpwstr>
  </property>
  <property fmtid="{D5CDD505-2E9C-101B-9397-08002B2CF9AE}" pid="5" name="ICV">
    <vt:lpwstr>B73CAACA0C934C35A09A4F514609C171_13</vt:lpwstr>
  </property>
  <property fmtid="{D5CDD505-2E9C-101B-9397-08002B2CF9AE}" pid="6" name="KSOTemplateDocerSaveRecord">
    <vt:lpwstr>eyJoZGlkIjoiNGJiZTI3ZTk1OTRiY2Y0NTM5MzA2NzZkNjA0NjJjY2MiLCJ1c2VySWQiOiIyMDUxNDI5NzgifQ==</vt:lpwstr>
  </property>
</Properties>
</file>