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474DD">
      <w:pPr>
        <w:keepNext w:val="0"/>
        <w:keepLines w:val="0"/>
        <w:pageBreakBefore w:val="0"/>
        <w:widowControl w:val="0"/>
        <w:kinsoku/>
        <w:wordWrap/>
        <w:overflowPunct/>
        <w:topLinePunct w:val="0"/>
        <w:autoSpaceDE/>
        <w:autoSpaceDN/>
        <w:bidi w:val="0"/>
        <w:adjustRightInd/>
        <w:snapToGrid/>
        <w:spacing w:line="660" w:lineRule="exact"/>
        <w:jc w:val="left"/>
        <w:textAlignment w:val="auto"/>
        <w:outlineLvl w:val="0"/>
        <w:rPr>
          <w:rFonts w:hint="eastAsia" w:ascii="黑体" w:hAnsi="黑体" w:eastAsia="黑体" w:cs="黑体"/>
          <w:b/>
          <w:bCs/>
          <w:color w:val="auto"/>
          <w:sz w:val="32"/>
          <w:szCs w:val="32"/>
          <w:shd w:val="clear" w:color="auto" w:fill="FFFFFF"/>
          <w:lang w:val="en-US" w:eastAsia="zh-CN"/>
        </w:rPr>
      </w:pPr>
      <w:r>
        <w:rPr>
          <w:rFonts w:hint="eastAsia" w:ascii="黑体" w:hAnsi="黑体" w:eastAsia="黑体" w:cs="黑体"/>
          <w:b/>
          <w:bCs/>
          <w:color w:val="auto"/>
          <w:sz w:val="32"/>
          <w:szCs w:val="32"/>
          <w:shd w:val="clear" w:color="auto" w:fill="FFFFFF"/>
          <w:lang w:val="en-US" w:eastAsia="zh-CN"/>
        </w:rPr>
        <w:t>附件8</w:t>
      </w:r>
    </w:p>
    <w:p w14:paraId="2DE187CA">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default" w:ascii="宋体" w:hAnsi="宋体" w:eastAsia="宋体" w:cs="宋体"/>
          <w:b/>
          <w:bCs/>
          <w:color w:val="auto"/>
          <w:sz w:val="36"/>
          <w:szCs w:val="36"/>
          <w:shd w:val="clear" w:color="auto" w:fill="FFFFFF"/>
          <w:lang w:val="en-US" w:eastAsia="zh-CN"/>
        </w:rPr>
      </w:pPr>
      <w:r>
        <w:rPr>
          <w:rFonts w:hint="default" w:ascii="宋体" w:hAnsi="宋体" w:eastAsia="宋体" w:cs="宋体"/>
          <w:b/>
          <w:bCs/>
          <w:color w:val="auto"/>
          <w:sz w:val="36"/>
          <w:szCs w:val="36"/>
          <w:shd w:val="clear" w:color="auto" w:fill="FFFFFF"/>
          <w:lang w:val="en-US" w:eastAsia="zh-CN"/>
        </w:rPr>
        <w:t>老年人肌骨健康综合干预指南</w:t>
      </w:r>
    </w:p>
    <w:p w14:paraId="7E5E8651">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宋体" w:hAnsi="宋体" w:eastAsia="宋体" w:cs="宋体"/>
          <w:b/>
          <w:bCs/>
          <w:color w:val="auto"/>
          <w:sz w:val="36"/>
          <w:szCs w:val="36"/>
          <w:shd w:val="clear" w:color="auto" w:fill="FFFFFF"/>
          <w:lang w:val="en-US" w:eastAsia="zh-CN"/>
        </w:rPr>
      </w:pPr>
      <w:r>
        <w:rPr>
          <w:rFonts w:hint="eastAsia" w:ascii="宋体" w:hAnsi="宋体" w:eastAsia="宋体" w:cs="宋体"/>
          <w:b/>
          <w:bCs/>
          <w:color w:val="auto"/>
          <w:sz w:val="36"/>
          <w:szCs w:val="36"/>
          <w:shd w:val="clear" w:color="auto" w:fill="FFFFFF"/>
          <w:lang w:val="en-US" w:eastAsia="zh-CN"/>
        </w:rPr>
        <w:t>团体标准编制说明</w:t>
      </w:r>
    </w:p>
    <w:p w14:paraId="1EBCFF1B">
      <w:pPr>
        <w:keepNext w:val="0"/>
        <w:keepLines w:val="0"/>
        <w:pageBreakBefore w:val="0"/>
        <w:widowControl/>
        <w:kinsoku/>
        <w:wordWrap/>
        <w:overflowPunct/>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color w:val="auto"/>
          <w:szCs w:val="32"/>
          <w:shd w:val="clear" w:color="auto" w:fill="FFFFFF"/>
        </w:rPr>
      </w:pPr>
    </w:p>
    <w:p w14:paraId="1FBD9857">
      <w:pPr>
        <w:keepNext w:val="0"/>
        <w:keepLines w:val="0"/>
        <w:pageBreakBefore w:val="0"/>
        <w:widowControl w:val="0"/>
        <w:kinsoku/>
        <w:wordWrap/>
        <w:overflowPunct/>
        <w:topLinePunct w:val="0"/>
        <w:autoSpaceDE/>
        <w:autoSpaceDN/>
        <w:bidi w:val="0"/>
        <w:adjustRightInd/>
        <w:snapToGrid/>
        <w:spacing w:line="660" w:lineRule="exact"/>
        <w:ind w:firstLine="641"/>
        <w:textAlignment w:val="auto"/>
        <w:outlineLvl w:val="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一、任务来源与项目编号、各起草单位和起草人承担的工作、起草过程等</w:t>
      </w:r>
    </w:p>
    <w:p w14:paraId="2B4EB7E7">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（一）任务来源与项目编号</w:t>
      </w:r>
    </w:p>
    <w:p w14:paraId="7C54E753">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highlight w:val="none"/>
          <w:shd w:val="clear" w:color="auto" w:fill="FFFFFF"/>
          <w:lang w:val="en-US" w:eastAsia="zh"/>
          <w:woUserID w:val="1"/>
        </w:rPr>
      </w:pPr>
      <w:r>
        <w:rPr>
          <w:rFonts w:hint="eastAsia" w:ascii="仿宋_GB2312" w:hAnsi="仿宋_GB2312" w:eastAsia="仿宋_GB2312" w:cs="仿宋_GB2312"/>
          <w:color w:val="auto"/>
          <w:szCs w:val="32"/>
          <w:highlight w:val="none"/>
          <w:shd w:val="clear" w:color="auto" w:fill="FFFFFF"/>
          <w:lang w:val="en-US" w:eastAsia="zh-CN"/>
        </w:rPr>
        <w:t>本任务来源于国家重点研发计划“主动健康和人口老龄化科技应对”重点专项“增龄健康状态动态演变与干预关键技术研究”（项目编号：</w:t>
      </w:r>
      <w:r>
        <w:rPr>
          <w:rFonts w:hint="default" w:ascii="仿宋_GB2312" w:hAnsi="仿宋_GB2312" w:eastAsia="仿宋_GB2312" w:cs="仿宋_GB2312"/>
          <w:color w:val="auto"/>
          <w:szCs w:val="32"/>
          <w:highlight w:val="none"/>
          <w:shd w:val="clear" w:color="auto" w:fill="FFFFFF"/>
          <w:lang w:val="en-US" w:eastAsia="zh-CN"/>
        </w:rPr>
        <w:t>2023YFC3606300</w:t>
      </w:r>
      <w:r>
        <w:rPr>
          <w:rFonts w:hint="eastAsia" w:ascii="仿宋_GB2312" w:hAnsi="仿宋_GB2312" w:eastAsia="仿宋_GB2312" w:cs="仿宋_GB2312"/>
          <w:color w:val="auto"/>
          <w:szCs w:val="32"/>
          <w:highlight w:val="none"/>
          <w:shd w:val="clear" w:color="auto" w:fill="FFFFFF"/>
          <w:lang w:val="en-US" w:eastAsia="zh-CN"/>
        </w:rPr>
        <w:t>）</w:t>
      </w:r>
      <w:r>
        <w:rPr>
          <w:rFonts w:hint="eastAsia" w:ascii="仿宋_GB2312" w:hAnsi="仿宋_GB2312" w:eastAsia="仿宋_GB2312" w:cs="仿宋_GB2312"/>
          <w:color w:val="auto"/>
          <w:szCs w:val="32"/>
          <w:highlight w:val="none"/>
          <w:shd w:val="clear" w:color="auto" w:fill="FFFFFF"/>
          <w:lang w:val="en-US" w:eastAsia="zh"/>
          <w:woUserID w:val="1"/>
        </w:rPr>
        <w:t>。</w:t>
      </w:r>
    </w:p>
    <w:p w14:paraId="753A7239">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（二）各起草单位和起草人承担的工作</w:t>
      </w:r>
    </w:p>
    <w:p w14:paraId="1CF8E2BD">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rPr>
      </w:pPr>
      <w:r>
        <w:rPr>
          <w:rFonts w:hint="default" w:ascii="仿宋_GB2312" w:hAnsi="仿宋_GB2312" w:eastAsia="仿宋_GB2312" w:cs="仿宋_GB2312"/>
          <w:color w:val="auto"/>
          <w:szCs w:val="32"/>
          <w:shd w:val="clear" w:color="auto" w:fill="FFFFFF"/>
          <w:woUserID w:val="7"/>
        </w:rPr>
        <w:t>本标准由四川大学华西公共卫生学院、</w:t>
      </w:r>
      <w:r>
        <w:rPr>
          <w:rFonts w:hint="default" w:ascii="仿宋_GB2312" w:hAnsi="仿宋_GB2312" w:eastAsia="仿宋_GB2312" w:cs="仿宋_GB2312"/>
          <w:color w:val="auto"/>
          <w:szCs w:val="32"/>
          <w:shd w:val="clear" w:color="auto" w:fill="FFFFFF"/>
          <w:lang w:val="en-US" w:eastAsia="zh-CN"/>
          <w:woUserID w:val="7"/>
        </w:rPr>
        <w:t>广西医科大学公共卫生学院</w:t>
      </w:r>
      <w:r>
        <w:rPr>
          <w:rFonts w:hint="default" w:ascii="仿宋_GB2312" w:hAnsi="仿宋_GB2312" w:eastAsia="仿宋_GB2312" w:cs="仿宋_GB2312"/>
          <w:color w:val="auto"/>
          <w:szCs w:val="32"/>
          <w:shd w:val="clear" w:color="auto" w:fill="FFFFFF"/>
          <w:woUserID w:val="7"/>
        </w:rPr>
        <w:t>牵头，联合</w:t>
      </w:r>
      <w:r>
        <w:rPr>
          <w:rFonts w:hint="default" w:ascii="仿宋_GB2312" w:hAnsi="仿宋_GB2312" w:eastAsia="仿宋_GB2312" w:cs="仿宋_GB2312"/>
          <w:color w:val="auto"/>
          <w:szCs w:val="32"/>
          <w:shd w:val="clear" w:color="auto" w:fill="FFFFFF"/>
          <w:lang w:val="en-US" w:eastAsia="zh-CN"/>
          <w:woUserID w:val="7"/>
        </w:rPr>
        <w:t>华中科技大学同济公共卫生学院</w:t>
      </w:r>
      <w:r>
        <w:rPr>
          <w:rFonts w:hint="default" w:ascii="仿宋_GB2312" w:hAnsi="仿宋_GB2312" w:eastAsia="仿宋_GB2312" w:cs="仿宋_GB2312"/>
          <w:color w:val="auto"/>
          <w:szCs w:val="32"/>
          <w:shd w:val="clear" w:color="auto" w:fill="FFFFFF"/>
          <w:woUserID w:val="7"/>
        </w:rPr>
        <w:t>、</w:t>
      </w:r>
      <w:r>
        <w:rPr>
          <w:rFonts w:hint="default" w:ascii="仿宋_GB2312" w:hAnsi="仿宋_GB2312" w:eastAsia="仿宋_GB2312" w:cs="仿宋_GB2312"/>
          <w:color w:val="auto"/>
          <w:szCs w:val="32"/>
          <w:shd w:val="clear" w:color="auto" w:fill="FFFFFF"/>
          <w:lang w:val="en-US" w:eastAsia="zh-CN"/>
          <w:woUserID w:val="7"/>
        </w:rPr>
        <w:t>中山大学公共卫生学院</w:t>
      </w:r>
      <w:r>
        <w:rPr>
          <w:rFonts w:hint="default" w:ascii="仿宋_GB2312" w:hAnsi="仿宋_GB2312" w:eastAsia="仿宋_GB2312" w:cs="仿宋_GB2312"/>
          <w:color w:val="auto"/>
          <w:szCs w:val="32"/>
          <w:shd w:val="clear" w:color="auto" w:fill="FFFFFF"/>
          <w:woUserID w:val="7"/>
        </w:rPr>
        <w:t>、</w:t>
      </w:r>
      <w:r>
        <w:rPr>
          <w:rFonts w:hint="default" w:ascii="仿宋_GB2312" w:hAnsi="仿宋_GB2312" w:eastAsia="仿宋_GB2312" w:cs="仿宋_GB2312"/>
          <w:color w:val="auto"/>
          <w:szCs w:val="32"/>
          <w:shd w:val="clear" w:color="auto" w:fill="FFFFFF"/>
          <w:lang w:val="en-US" w:eastAsia="zh-CN"/>
          <w:woUserID w:val="7"/>
        </w:rPr>
        <w:t>中国疾病预防控制中心慢性非传染病疾病预防控制中心</w:t>
      </w:r>
      <w:r>
        <w:rPr>
          <w:rFonts w:hint="default" w:ascii="仿宋_GB2312" w:hAnsi="仿宋_GB2312" w:eastAsia="仿宋_GB2312" w:cs="仿宋_GB2312"/>
          <w:color w:val="auto"/>
          <w:szCs w:val="32"/>
          <w:shd w:val="clear" w:color="auto" w:fill="FFFFFF"/>
          <w:woUserID w:val="7"/>
        </w:rPr>
        <w:t>、</w:t>
      </w:r>
      <w:r>
        <w:rPr>
          <w:rFonts w:hint="default" w:ascii="仿宋_GB2312" w:hAnsi="仿宋_GB2312" w:eastAsia="仿宋_GB2312" w:cs="仿宋_GB2312"/>
          <w:color w:val="auto"/>
          <w:szCs w:val="32"/>
          <w:shd w:val="clear" w:color="auto" w:fill="FFFFFF"/>
          <w:lang w:val="en-US" w:eastAsia="zh-CN"/>
          <w:woUserID w:val="7"/>
        </w:rPr>
        <w:t>深圳市宝安区公共卫生服务中心</w:t>
      </w:r>
      <w:r>
        <w:rPr>
          <w:rFonts w:hint="default" w:ascii="仿宋_GB2312" w:hAnsi="仿宋_GB2312" w:eastAsia="仿宋_GB2312" w:cs="仿宋_GB2312"/>
          <w:color w:val="auto"/>
          <w:szCs w:val="32"/>
          <w:shd w:val="clear" w:color="auto" w:fill="FFFFFF"/>
          <w:woUserID w:val="7"/>
        </w:rPr>
        <w:t>、</w:t>
      </w:r>
      <w:r>
        <w:rPr>
          <w:rFonts w:hint="default" w:ascii="仿宋_GB2312" w:hAnsi="仿宋_GB2312" w:eastAsia="仿宋_GB2312" w:cs="仿宋_GB2312"/>
          <w:color w:val="auto"/>
          <w:szCs w:val="32"/>
          <w:shd w:val="clear" w:color="auto" w:fill="FFFFFF"/>
          <w:lang w:val="en-US" w:eastAsia="zh-CN"/>
          <w:woUserID w:val="7"/>
        </w:rPr>
        <w:t>内江市疾病预防控制中心</w:t>
      </w:r>
      <w:r>
        <w:rPr>
          <w:rFonts w:hint="default" w:ascii="仿宋_GB2312" w:hAnsi="仿宋_GB2312" w:eastAsia="仿宋_GB2312" w:cs="仿宋_GB2312"/>
          <w:color w:val="auto"/>
          <w:szCs w:val="32"/>
          <w:shd w:val="clear" w:color="auto" w:fill="FFFFFF"/>
          <w:woUserID w:val="7"/>
        </w:rPr>
        <w:t>、开滦总医院共同起草。</w:t>
      </w:r>
      <w:r>
        <w:rPr>
          <w:rFonts w:hint="eastAsia" w:ascii="仿宋_GB2312" w:hAnsi="仿宋_GB2312" w:eastAsia="仿宋_GB2312" w:cs="仿宋_GB2312"/>
          <w:color w:val="auto"/>
          <w:szCs w:val="32"/>
          <w:shd w:val="clear" w:color="auto" w:fill="FFFFFF"/>
        </w:rPr>
        <w:t>项目组主要参与人员及承担的工作如表1所示。</w:t>
      </w:r>
    </w:p>
    <w:p w14:paraId="06199FAD">
      <w:pPr>
        <w:keepNext w:val="0"/>
        <w:keepLines w:val="0"/>
        <w:pageBreakBefore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表1</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项目组主要参与人员及承担的工作</w:t>
      </w:r>
    </w:p>
    <w:tbl>
      <w:tblPr>
        <w:tblStyle w:val="15"/>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100" w:type="dxa"/>
          <w:left w:w="100" w:type="dxa"/>
          <w:bottom w:w="100" w:type="dxa"/>
          <w:right w:w="100" w:type="dxa"/>
        </w:tblCellMar>
      </w:tblPr>
      <w:tblGrid>
        <w:gridCol w:w="1026"/>
        <w:gridCol w:w="1766"/>
        <w:gridCol w:w="1164"/>
        <w:gridCol w:w="1009"/>
        <w:gridCol w:w="2432"/>
        <w:gridCol w:w="2031"/>
      </w:tblGrid>
      <w:tr w14:paraId="1A292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BFBFBF"/>
            <w:tcMar>
              <w:top w:w="120" w:type="dxa"/>
              <w:left w:w="180" w:type="dxa"/>
              <w:bottom w:w="120" w:type="dxa"/>
              <w:right w:w="180" w:type="dxa"/>
            </w:tcMar>
            <w:vAlign w:val="top"/>
          </w:tcPr>
          <w:p w14:paraId="447F20FD">
            <w:pPr>
              <w:keepNext w:val="0"/>
              <w:keepLines w:val="0"/>
              <w:widowControl w:val="0"/>
              <w:suppressLineNumbers w:val="0"/>
              <w:spacing w:before="120" w:beforeAutospacing="0" w:after="120" w:afterAutospacing="0" w:line="273" w:lineRule="auto"/>
              <w:ind w:left="0" w:leftChars="0" w:right="0" w:rightChars="0"/>
              <w:jc w:val="left"/>
              <w:rPr>
                <w:rFonts w:hint="default" w:ascii="宋体" w:hAnsi="宋体" w:eastAsia="宋体" w:cs="宋体"/>
                <w:b/>
                <w:bCs/>
                <w:sz w:val="20"/>
                <w:szCs w:val="20"/>
                <w:lang w:val="en-US" w:eastAsia="zh-CN"/>
                <w:woUserID w:val="1"/>
              </w:rPr>
            </w:pPr>
            <w:r>
              <w:rPr>
                <w:rFonts w:hint="default" w:ascii="Google Sans" w:hAnsi="Google Sans" w:eastAsia="Google Sans" w:cs="Google Sans"/>
                <w:b/>
                <w:bCs/>
                <w:color w:val="1F1F1F"/>
                <w:kern w:val="0"/>
                <w:sz w:val="22"/>
                <w:szCs w:val="22"/>
                <w:lang w:val="en-US" w:eastAsia="zh-CN" w:bidi="ar"/>
                <w:woUserID w:val="1"/>
              </w:rPr>
              <w:t>姓名</w:t>
            </w:r>
          </w:p>
        </w:tc>
        <w:tc>
          <w:tcPr>
            <w:tcW w:w="936" w:type="pct"/>
            <w:tcBorders>
              <w:top w:val="single" w:color="000000" w:sz="4" w:space="0"/>
              <w:left w:val="single" w:color="000000" w:sz="4" w:space="0"/>
              <w:bottom w:val="single" w:color="000000" w:sz="4" w:space="0"/>
              <w:right w:val="single" w:color="000000" w:sz="4" w:space="0"/>
            </w:tcBorders>
            <w:shd w:val="clear" w:color="FFFFFF" w:fill="BFBFBF"/>
            <w:tcMar>
              <w:top w:w="120" w:type="dxa"/>
              <w:left w:w="180" w:type="dxa"/>
              <w:bottom w:w="120" w:type="dxa"/>
              <w:right w:w="180" w:type="dxa"/>
            </w:tcMar>
            <w:vAlign w:val="top"/>
          </w:tcPr>
          <w:p w14:paraId="339E286B">
            <w:pPr>
              <w:keepNext w:val="0"/>
              <w:keepLines w:val="0"/>
              <w:widowControl w:val="0"/>
              <w:suppressLineNumbers w:val="0"/>
              <w:spacing w:before="120" w:beforeAutospacing="0" w:after="120" w:afterAutospacing="0" w:line="273" w:lineRule="auto"/>
              <w:ind w:left="0" w:leftChars="0" w:right="0" w:rightChars="0"/>
              <w:jc w:val="left"/>
              <w:rPr>
                <w:rFonts w:hint="default" w:ascii="宋体" w:hAnsi="宋体" w:eastAsia="宋体" w:cs="宋体"/>
                <w:b/>
                <w:bCs/>
                <w:sz w:val="20"/>
                <w:szCs w:val="20"/>
                <w:lang w:val="en-US" w:eastAsia="zh-CN"/>
                <w:woUserID w:val="1"/>
              </w:rPr>
            </w:pPr>
            <w:r>
              <w:rPr>
                <w:rFonts w:hint="default" w:ascii="Google Sans" w:hAnsi="Google Sans" w:eastAsia="Google Sans" w:cs="Google Sans"/>
                <w:b/>
                <w:bCs/>
                <w:color w:val="1F1F1F"/>
                <w:kern w:val="0"/>
                <w:sz w:val="22"/>
                <w:szCs w:val="22"/>
                <w:lang w:val="en-US" w:eastAsia="zh-CN" w:bidi="ar"/>
                <w:woUserID w:val="1"/>
              </w:rPr>
              <w:t>所在单位（部门）</w:t>
            </w:r>
          </w:p>
        </w:tc>
        <w:tc>
          <w:tcPr>
            <w:tcW w:w="617" w:type="pct"/>
            <w:tcBorders>
              <w:top w:val="single" w:color="000000" w:sz="4" w:space="0"/>
              <w:left w:val="single" w:color="000000" w:sz="4" w:space="0"/>
              <w:bottom w:val="single" w:color="000000" w:sz="4" w:space="0"/>
              <w:right w:val="single" w:color="000000" w:sz="4" w:space="0"/>
            </w:tcBorders>
            <w:shd w:val="clear" w:color="FFFFFF" w:fill="BFBFBF"/>
            <w:tcMar>
              <w:top w:w="120" w:type="dxa"/>
              <w:left w:w="180" w:type="dxa"/>
              <w:bottom w:w="120" w:type="dxa"/>
              <w:right w:w="180" w:type="dxa"/>
            </w:tcMar>
            <w:vAlign w:val="top"/>
          </w:tcPr>
          <w:p w14:paraId="128FC8D2">
            <w:pPr>
              <w:keepNext w:val="0"/>
              <w:keepLines w:val="0"/>
              <w:widowControl w:val="0"/>
              <w:suppressLineNumbers w:val="0"/>
              <w:spacing w:before="120" w:beforeAutospacing="0" w:after="120" w:afterAutospacing="0" w:line="273" w:lineRule="auto"/>
              <w:ind w:left="0" w:leftChars="0" w:right="0" w:rightChars="0"/>
              <w:jc w:val="left"/>
              <w:rPr>
                <w:rFonts w:hint="default" w:ascii="宋体" w:hAnsi="宋体" w:eastAsia="宋体" w:cs="宋体"/>
                <w:b/>
                <w:bCs/>
                <w:sz w:val="20"/>
                <w:szCs w:val="20"/>
                <w:lang w:val="en-US" w:eastAsia="zh-CN"/>
                <w:woUserID w:val="1"/>
              </w:rPr>
            </w:pPr>
            <w:r>
              <w:rPr>
                <w:rFonts w:hint="default" w:ascii="Google Sans" w:hAnsi="Google Sans" w:eastAsia="Google Sans" w:cs="Google Sans"/>
                <w:b/>
                <w:bCs/>
                <w:color w:val="1F1F1F"/>
                <w:kern w:val="0"/>
                <w:sz w:val="22"/>
                <w:szCs w:val="22"/>
                <w:lang w:val="en-US" w:eastAsia="zh-CN" w:bidi="ar"/>
                <w:woUserID w:val="1"/>
              </w:rPr>
              <w:t>职务</w:t>
            </w:r>
          </w:p>
        </w:tc>
        <w:tc>
          <w:tcPr>
            <w:tcW w:w="535" w:type="pct"/>
            <w:tcBorders>
              <w:top w:val="single" w:color="000000" w:sz="4" w:space="0"/>
              <w:left w:val="single" w:color="000000" w:sz="4" w:space="0"/>
              <w:bottom w:val="single" w:color="000000" w:sz="4" w:space="0"/>
              <w:right w:val="single" w:color="000000" w:sz="4" w:space="0"/>
            </w:tcBorders>
            <w:shd w:val="clear" w:color="FFFFFF" w:fill="BFBFBF"/>
            <w:tcMar>
              <w:top w:w="120" w:type="dxa"/>
              <w:left w:w="180" w:type="dxa"/>
              <w:bottom w:w="120" w:type="dxa"/>
              <w:right w:w="180" w:type="dxa"/>
            </w:tcMar>
            <w:vAlign w:val="top"/>
          </w:tcPr>
          <w:p w14:paraId="3D8C3F28">
            <w:pPr>
              <w:keepNext w:val="0"/>
              <w:keepLines w:val="0"/>
              <w:widowControl w:val="0"/>
              <w:suppressLineNumbers w:val="0"/>
              <w:spacing w:before="120" w:beforeAutospacing="0" w:after="120" w:afterAutospacing="0" w:line="273" w:lineRule="auto"/>
              <w:ind w:left="0" w:leftChars="0" w:right="0" w:rightChars="0"/>
              <w:jc w:val="left"/>
              <w:rPr>
                <w:rFonts w:hint="default" w:ascii="宋体" w:hAnsi="宋体" w:eastAsia="宋体" w:cs="宋体"/>
                <w:b/>
                <w:bCs/>
                <w:sz w:val="20"/>
                <w:szCs w:val="20"/>
                <w:lang w:val="en-US" w:eastAsia="zh-CN"/>
                <w:woUserID w:val="1"/>
              </w:rPr>
            </w:pPr>
            <w:r>
              <w:rPr>
                <w:rFonts w:hint="default" w:ascii="Google Sans" w:hAnsi="Google Sans" w:eastAsia="Google Sans" w:cs="Google Sans"/>
                <w:b/>
                <w:bCs/>
                <w:color w:val="1F1F1F"/>
                <w:kern w:val="0"/>
                <w:sz w:val="22"/>
                <w:szCs w:val="22"/>
                <w:lang w:val="en-US" w:eastAsia="zh-CN" w:bidi="ar"/>
                <w:woUserID w:val="1"/>
              </w:rPr>
              <w:t>技术职称</w:t>
            </w:r>
          </w:p>
        </w:tc>
        <w:tc>
          <w:tcPr>
            <w:tcW w:w="1289" w:type="pct"/>
            <w:tcBorders>
              <w:top w:val="single" w:color="000000" w:sz="4" w:space="0"/>
              <w:left w:val="single" w:color="000000" w:sz="4" w:space="0"/>
              <w:bottom w:val="single" w:color="000000" w:sz="4" w:space="0"/>
              <w:right w:val="single" w:color="000000" w:sz="4" w:space="0"/>
            </w:tcBorders>
            <w:shd w:val="clear" w:color="FFFFFF" w:fill="BFBFBF"/>
            <w:tcMar>
              <w:top w:w="120" w:type="dxa"/>
              <w:left w:w="180" w:type="dxa"/>
              <w:bottom w:w="120" w:type="dxa"/>
              <w:right w:w="180" w:type="dxa"/>
            </w:tcMar>
            <w:vAlign w:val="top"/>
          </w:tcPr>
          <w:p w14:paraId="3C34DC0A">
            <w:pPr>
              <w:keepNext w:val="0"/>
              <w:keepLines w:val="0"/>
              <w:widowControl w:val="0"/>
              <w:suppressLineNumbers w:val="0"/>
              <w:spacing w:before="120" w:beforeAutospacing="0" w:after="120" w:afterAutospacing="0" w:line="273" w:lineRule="auto"/>
              <w:ind w:left="0" w:leftChars="0" w:right="0" w:rightChars="0"/>
              <w:jc w:val="left"/>
              <w:rPr>
                <w:rFonts w:hint="default" w:ascii="宋体" w:hAnsi="宋体" w:eastAsia="宋体" w:cs="宋体"/>
                <w:b/>
                <w:bCs/>
                <w:sz w:val="20"/>
                <w:szCs w:val="20"/>
                <w:lang w:val="en-US" w:eastAsia="zh-CN"/>
                <w:woUserID w:val="1"/>
              </w:rPr>
            </w:pPr>
            <w:r>
              <w:rPr>
                <w:rFonts w:hint="default" w:ascii="Google Sans" w:hAnsi="Google Sans" w:eastAsia="Google Sans" w:cs="Google Sans"/>
                <w:b/>
                <w:bCs/>
                <w:color w:val="1F1F1F"/>
                <w:kern w:val="0"/>
                <w:sz w:val="22"/>
                <w:szCs w:val="22"/>
                <w:lang w:val="en-US" w:eastAsia="zh-CN" w:bidi="ar"/>
                <w:woUserID w:val="1"/>
              </w:rPr>
              <w:t>社会任职</w:t>
            </w:r>
          </w:p>
        </w:tc>
        <w:tc>
          <w:tcPr>
            <w:tcW w:w="1076" w:type="pct"/>
            <w:tcBorders>
              <w:top w:val="single" w:color="000000" w:sz="4" w:space="0"/>
              <w:left w:val="single" w:color="000000" w:sz="4" w:space="0"/>
              <w:bottom w:val="single" w:color="000000" w:sz="4" w:space="0"/>
              <w:right w:val="single" w:color="000000" w:sz="4" w:space="0"/>
            </w:tcBorders>
            <w:shd w:val="clear" w:color="FFFFFF" w:fill="BFBFBF"/>
            <w:tcMar>
              <w:top w:w="120" w:type="dxa"/>
              <w:left w:w="180" w:type="dxa"/>
              <w:bottom w:w="120" w:type="dxa"/>
              <w:right w:w="180" w:type="dxa"/>
            </w:tcMar>
            <w:vAlign w:val="top"/>
          </w:tcPr>
          <w:p w14:paraId="2E0A5201">
            <w:pPr>
              <w:keepNext w:val="0"/>
              <w:keepLines w:val="0"/>
              <w:widowControl w:val="0"/>
              <w:suppressLineNumbers w:val="0"/>
              <w:spacing w:before="120" w:beforeAutospacing="0" w:after="120" w:afterAutospacing="0" w:line="273" w:lineRule="auto"/>
              <w:ind w:left="0" w:leftChars="0" w:right="0" w:rightChars="0"/>
              <w:jc w:val="left"/>
              <w:rPr>
                <w:rFonts w:hint="eastAsia" w:ascii="宋体" w:hAnsi="宋体" w:eastAsia="宋体" w:cs="宋体"/>
                <w:b/>
                <w:bCs/>
                <w:sz w:val="20"/>
                <w:szCs w:val="20"/>
                <w:lang w:eastAsia="zh-CN"/>
                <w:woUserID w:val="1"/>
              </w:rPr>
            </w:pPr>
            <w:r>
              <w:rPr>
                <w:rFonts w:hint="default" w:ascii="Google Sans" w:hAnsi="Google Sans" w:eastAsia="Google Sans" w:cs="Google Sans"/>
                <w:b/>
                <w:bCs/>
                <w:color w:val="1F1F1F"/>
                <w:kern w:val="0"/>
                <w:sz w:val="22"/>
                <w:szCs w:val="22"/>
                <w:lang w:val="en-US" w:eastAsia="zh-CN" w:bidi="ar"/>
                <w:woUserID w:val="1"/>
              </w:rPr>
              <w:t>项目分工</w:t>
            </w:r>
          </w:p>
        </w:tc>
      </w:tr>
      <w:tr w14:paraId="394AF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0ECD45E2">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杨晓波</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ABDB592">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广西医科大学</w:t>
            </w:r>
            <w:r>
              <w:rPr>
                <w:rFonts w:hint="eastAsia" w:ascii="宋体" w:hAnsi="宋体" w:eastAsia="宋体" w:cs="宋体"/>
                <w:sz w:val="20"/>
                <w:szCs w:val="20"/>
                <w:lang w:val="en-US" w:eastAsia="zh-CN"/>
                <w:woUserID w:val="1"/>
              </w:rPr>
              <w:t>公共卫生学院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1ACA3055">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0A875527">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教授</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02491B6B">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中国医师协会公共卫生分会常委</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0BC2B8D9">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项目设计、组织</w:t>
            </w:r>
          </w:p>
        </w:tc>
      </w:tr>
      <w:tr w14:paraId="23AA6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22D4FC1">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李佳圆</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30D0F6BD">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四川大学华西公共卫生学院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554B398">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副所长</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6643C4AB">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教授</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AB9B53E">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四川省预防医学会副会长</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8FD0313">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项目设计、组织与实施</w:t>
            </w:r>
          </w:p>
        </w:tc>
      </w:tr>
      <w:tr w14:paraId="40FB8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0E6F335D">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姜侠</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03F4295D">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四川大学华西公共卫生学院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1E0B3025">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系主任</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62C96A9F">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研究员</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07D09526">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中国营养学会营养多组学技术分会常务委员</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109B2D7">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项目设计、组织与实施</w:t>
            </w:r>
          </w:p>
        </w:tc>
      </w:tr>
      <w:tr w14:paraId="78AE2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940" w:hRule="atLeast"/>
        </w:trPr>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1B39B9DE">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潘安</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6B6D2F1E">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华中科技大学</w:t>
            </w:r>
            <w:r>
              <w:rPr>
                <w:rFonts w:hint="eastAsia" w:ascii="宋体" w:hAnsi="宋体" w:eastAsia="宋体" w:cs="宋体"/>
                <w:sz w:val="20"/>
                <w:szCs w:val="20"/>
                <w:lang w:val="en-US" w:eastAsia="zh"/>
                <w:woUserID w:val="1"/>
              </w:rPr>
              <w:t>同济</w:t>
            </w:r>
            <w:r>
              <w:rPr>
                <w:rFonts w:hint="default" w:ascii="宋体" w:hAnsi="宋体" w:eastAsia="宋体" w:cs="宋体"/>
                <w:sz w:val="20"/>
                <w:szCs w:val="20"/>
                <w:lang w:val="en-US" w:eastAsia="zh-CN"/>
                <w:woUserID w:val="1"/>
              </w:rPr>
              <w:t>公共卫生学院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3F0548B3">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院长</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1FC0DD4D">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教授</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17213520">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中国医疗保健国际交流促进会公共卫生与预防医学分会，副主任委员</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45A57AF7">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项目设计、组织与实施</w:t>
            </w:r>
          </w:p>
        </w:tc>
      </w:tr>
      <w:tr w14:paraId="2FE51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60E983F">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樊萌语</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1647B756">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四川大学华西公共卫生学院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426F142A">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CN"/>
                <w:woUserID w:val="1"/>
              </w:rPr>
              <w:t>/</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CA43A63">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副研究员</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67A37D60">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462844B2">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项目组织与实施、标准修改补充</w:t>
            </w:r>
          </w:p>
        </w:tc>
      </w:tr>
      <w:tr w14:paraId="7E7A8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4CDED012">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柳雁</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FD72453">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中山大学公共卫生学院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0118B64">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46C36CC6">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教授</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B4DB6ED">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中国营养学会营养与免疫分会常务委员</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4A0F74A3">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项目组织与实施、标准修改补充</w:t>
            </w:r>
          </w:p>
        </w:tc>
      </w:tr>
      <w:tr w14:paraId="373F4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9DBFD7B">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陈晓荣</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64D3F79">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中国疾病预防控制中心慢性非传染病疾病预防控制中心</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6F67F23D">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269B3CB">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研究员</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1E5B4971">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中国民族卫生协会民族医药卫生标准专委会 常委</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4F25DA8">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项目组织与实施、标准修改补充</w:t>
            </w:r>
          </w:p>
        </w:tc>
      </w:tr>
      <w:tr w14:paraId="3CAE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09C3C7EA">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刘刚</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492F9293">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华中科技大学</w:t>
            </w:r>
            <w:r>
              <w:rPr>
                <w:rFonts w:hint="eastAsia" w:ascii="宋体" w:hAnsi="宋体" w:eastAsia="宋体" w:cs="宋体"/>
                <w:sz w:val="20"/>
                <w:szCs w:val="20"/>
                <w:lang w:val="en-US" w:eastAsia="zh"/>
                <w:woUserID w:val="1"/>
              </w:rPr>
              <w:t>同济</w:t>
            </w:r>
            <w:r>
              <w:rPr>
                <w:rFonts w:hint="default" w:ascii="宋体" w:hAnsi="宋体" w:eastAsia="宋体" w:cs="宋体"/>
                <w:sz w:val="20"/>
                <w:szCs w:val="20"/>
                <w:lang w:val="en-US" w:eastAsia="zh-CN"/>
                <w:woUserID w:val="1"/>
              </w:rPr>
              <w:t>公共卫生学院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33BEDCE">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BA8CF65">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教授</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A77AF5A">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中国营养学会理事</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AD588A2">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项目组织与实施、标准修改补充</w:t>
            </w:r>
          </w:p>
        </w:tc>
      </w:tr>
      <w:tr w14:paraId="39E16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CFD7A4C">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熊田甜</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513E00A">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宝安区公共卫生服务中心</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23AD1EC">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69A870E">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主任医师</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61F55240">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深圳宝安区公共卫生服务中心</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1326A233">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项目组织与实施、标准修改补充</w:t>
            </w:r>
          </w:p>
        </w:tc>
      </w:tr>
      <w:tr w14:paraId="2EA64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06579AB6">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韦悦</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634B580D">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广西医科大学公共卫生学院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6CE47D1">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3D7FE938">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博士后</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1829021">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广西预防医学会劳动卫生与职业病防治专业委员会委员</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3098B705">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营养风险评估工具开发与干预方案</w:t>
            </w:r>
          </w:p>
        </w:tc>
      </w:tr>
      <w:tr w14:paraId="7D538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D3D0804">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王婉薇</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6CFB32F9">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内江市疾病预防控制中心</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780E260">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副主任</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CE74613">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主任医师</w:t>
            </w:r>
            <w:bookmarkStart w:id="0" w:name="_GoBack"/>
            <w:bookmarkEnd w:id="0"/>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A828B17">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DDB63BD">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参与数据管理和地方推广</w:t>
            </w:r>
          </w:p>
        </w:tc>
      </w:tr>
      <w:tr w14:paraId="5E8CB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FF43CD7">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陈朔华</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B9AE052">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开滦总医院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0D88FDD5">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CN"/>
                <w:woUserID w:val="1"/>
              </w:rPr>
              <w:t>/</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6A641C09">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主任护师</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7E76257">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16E3056C">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提供临床验证数据，参与模型优化</w:t>
            </w:r>
          </w:p>
        </w:tc>
      </w:tr>
      <w:tr w14:paraId="42A82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B78C9E3">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周艳凤</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05CA1314">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广西医科大学公共卫生学院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6906A9E8">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135E13F6">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副教授</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54542BE">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中华预防医学会社会医学分会委员</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4CB6EBD1">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营养风险评估工具开发与干预方案</w:t>
            </w:r>
          </w:p>
        </w:tc>
      </w:tr>
      <w:tr w14:paraId="1191B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6748EA5">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周小涛</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24F1C01">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深圳市宝安区公共卫生服务中心</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30884EFB">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主任</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36E37EBF">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主任医师</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431A2E0">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EFFCAF6">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社区示范点实施与反馈</w:t>
            </w:r>
          </w:p>
        </w:tc>
      </w:tr>
      <w:tr w14:paraId="51B22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1899AACC">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乔建民</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32E39DA5">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开滦总医院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698203CD">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主任</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4B82980E">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主任医师</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59BEB8A9">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河北省医学会放射学分会常委</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31F40CFB">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提供临床验证数据，参与模型优化</w:t>
            </w:r>
          </w:p>
        </w:tc>
      </w:tr>
      <w:tr w14:paraId="12076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44"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3BA449C2">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耿婷婷</w:t>
            </w:r>
          </w:p>
        </w:tc>
        <w:tc>
          <w:tcPr>
            <w:tcW w:w="93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332F9479">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华中科技大学</w:t>
            </w:r>
            <w:r>
              <w:rPr>
                <w:rFonts w:hint="eastAsia" w:ascii="宋体" w:hAnsi="宋体" w:eastAsia="宋体" w:cs="宋体"/>
                <w:sz w:val="20"/>
                <w:szCs w:val="20"/>
                <w:lang w:val="en-US" w:eastAsia="zh"/>
                <w:woUserID w:val="1"/>
              </w:rPr>
              <w:t>同济</w:t>
            </w:r>
            <w:r>
              <w:rPr>
                <w:rFonts w:hint="default" w:ascii="宋体" w:hAnsi="宋体" w:eastAsia="宋体" w:cs="宋体"/>
                <w:sz w:val="20"/>
                <w:szCs w:val="20"/>
                <w:lang w:val="en-US" w:eastAsia="zh-CN"/>
                <w:woUserID w:val="1"/>
              </w:rPr>
              <w:t>公共卫生学院</w:t>
            </w:r>
          </w:p>
        </w:tc>
        <w:tc>
          <w:tcPr>
            <w:tcW w:w="617"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2AF914CC">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eastAsia" w:ascii="宋体" w:hAnsi="宋体" w:eastAsia="宋体" w:cs="宋体"/>
                <w:sz w:val="20"/>
                <w:szCs w:val="20"/>
                <w:lang w:val="en-US" w:eastAsia="zh-CN"/>
                <w:woUserID w:val="1"/>
              </w:rPr>
              <w:t>/</w:t>
            </w:r>
          </w:p>
        </w:tc>
        <w:tc>
          <w:tcPr>
            <w:tcW w:w="535"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7F176D9A">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default" w:ascii="宋体" w:hAnsi="宋体" w:eastAsia="宋体" w:cs="宋体"/>
                <w:sz w:val="20"/>
                <w:szCs w:val="20"/>
                <w:lang w:val="en-US" w:eastAsia="zh-CN"/>
                <w:woUserID w:val="1"/>
              </w:rPr>
              <w:t>副</w:t>
            </w:r>
            <w:r>
              <w:rPr>
                <w:rFonts w:hint="eastAsia" w:ascii="宋体" w:hAnsi="宋体" w:eastAsia="宋体" w:cs="宋体"/>
                <w:sz w:val="20"/>
                <w:szCs w:val="20"/>
                <w:lang w:val="en-US" w:eastAsia="zh"/>
                <w:woUserID w:val="1"/>
              </w:rPr>
              <w:t>教授</w:t>
            </w:r>
          </w:p>
        </w:tc>
        <w:tc>
          <w:tcPr>
            <w:tcW w:w="1289"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30AF3294">
            <w:pPr>
              <w:keepNext w:val="0"/>
              <w:keepLines w:val="0"/>
              <w:suppressLineNumbers w:val="0"/>
              <w:spacing w:before="0" w:beforeAutospacing="0" w:after="0" w:afterAutospacing="0"/>
              <w:ind w:left="0" w:right="0"/>
              <w:rPr>
                <w:rFonts w:hint="eastAsia" w:ascii="宋体" w:hAnsi="宋体" w:eastAsia="宋体" w:cs="宋体"/>
                <w:sz w:val="20"/>
                <w:szCs w:val="20"/>
                <w:lang w:val="en-US" w:eastAsia="zh"/>
                <w:woUserID w:val="1"/>
              </w:rPr>
            </w:pPr>
            <w:r>
              <w:rPr>
                <w:rFonts w:hint="eastAsia" w:ascii="宋体" w:hAnsi="宋体" w:eastAsia="宋体" w:cs="宋体"/>
                <w:sz w:val="20"/>
                <w:szCs w:val="20"/>
                <w:lang w:val="en-US" w:eastAsia="zh"/>
                <w:woUserID w:val="1"/>
              </w:rPr>
              <w:t>中国营养学会营养流行病分会常务委员</w:t>
            </w:r>
          </w:p>
        </w:tc>
        <w:tc>
          <w:tcPr>
            <w:tcW w:w="1076" w:type="pct"/>
            <w:tcBorders>
              <w:top w:val="single" w:color="000000" w:sz="4" w:space="0"/>
              <w:left w:val="single" w:color="000000" w:sz="4" w:space="0"/>
              <w:bottom w:val="single" w:color="000000" w:sz="4" w:space="0"/>
              <w:right w:val="single" w:color="000000" w:sz="4" w:space="0"/>
            </w:tcBorders>
            <w:shd w:val="clear" w:color="FFFFFF" w:fill="auto"/>
            <w:tcMar>
              <w:top w:w="120" w:type="dxa"/>
              <w:left w:w="180" w:type="dxa"/>
              <w:bottom w:w="120" w:type="dxa"/>
              <w:right w:w="180" w:type="dxa"/>
            </w:tcMar>
            <w:vAlign w:val="top"/>
          </w:tcPr>
          <w:p w14:paraId="4507CA7D">
            <w:pPr>
              <w:keepNext w:val="0"/>
              <w:keepLines w:val="0"/>
              <w:suppressLineNumbers w:val="0"/>
              <w:spacing w:before="0" w:beforeAutospacing="0" w:after="0" w:afterAutospacing="0"/>
              <w:ind w:left="0" w:right="0"/>
              <w:rPr>
                <w:rFonts w:hint="default" w:ascii="宋体" w:hAnsi="宋体" w:eastAsia="宋体" w:cs="宋体"/>
                <w:sz w:val="20"/>
                <w:szCs w:val="20"/>
                <w:lang w:val="en-US" w:eastAsia="zh-CN"/>
                <w:woUserID w:val="1"/>
              </w:rPr>
            </w:pPr>
            <w:r>
              <w:rPr>
                <w:rFonts w:hint="default" w:ascii="宋体" w:hAnsi="宋体" w:eastAsia="宋体" w:cs="宋体"/>
                <w:sz w:val="20"/>
                <w:szCs w:val="20"/>
                <w:lang w:val="en-US" w:eastAsia="zh-CN"/>
                <w:woUserID w:val="1"/>
              </w:rPr>
              <w:t>提供临床验证数据，参与模型优化</w:t>
            </w:r>
          </w:p>
        </w:tc>
      </w:tr>
    </w:tbl>
    <w:p w14:paraId="655975EF">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highlight w:val="none"/>
          <w:shd w:val="clear" w:color="auto" w:fill="FFFFFF"/>
          <w:lang w:val="en-US" w:eastAsia="zh-CN"/>
        </w:rPr>
      </w:pPr>
      <w:r>
        <w:rPr>
          <w:rFonts w:hint="eastAsia" w:ascii="Times New Roman" w:hAnsi="Times New Roman" w:eastAsia="楷体_GB2312" w:cs="Times New Roman"/>
          <w:b w:val="0"/>
          <w:bCs w:val="0"/>
          <w:color w:val="auto"/>
          <w:sz w:val="32"/>
          <w:szCs w:val="32"/>
          <w:lang w:val="en-US" w:eastAsia="zh-CN"/>
        </w:rPr>
        <w:t>（三）起草过程</w:t>
      </w:r>
    </w:p>
    <w:p w14:paraId="5354DFBB">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rPr>
        <w:t xml:space="preserve">1.起草工作筹备阶段（2025年6月—8月） </w:t>
      </w:r>
    </w:p>
    <w:p w14:paraId="5076C1AE">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rPr>
        <w:t xml:space="preserve">由广西医科大学牵头组建跨学科标准研制团队，明确了标准研制小组成员的分工与职责，制定标准化操作手册与数据共享协议，为后续标准起草工作奠定了协作基础。 </w:t>
      </w:r>
    </w:p>
    <w:p w14:paraId="331CADAA">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rPr>
        <w:t xml:space="preserve">2.前期调研与方案设计阶段（2025年9月—12月） </w:t>
      </w:r>
    </w:p>
    <w:p w14:paraId="02CCC8E6">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b/>
          <w:bCs/>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rPr>
        <w:t>标准研制小组通过系统检索国内外关于老年人肌骨健康评估、肌少症与骨质疏松防治的相关文献和资料，梳理基层肌骨健康综合干预的技术现状与缺口；同时完成肌骨生物年龄模型验证及营养运动干预方案设计。标委会制定评审组于2025年11月20日组织10名专家对草案稿进行立项研讨，并提出修改建议，</w:t>
      </w:r>
      <w:r>
        <w:rPr>
          <w:rFonts w:hint="eastAsia" w:ascii="仿宋_GB2312" w:hAnsi="仿宋_GB2312" w:eastAsia="仿宋_GB2312" w:cs="仿宋_GB2312"/>
          <w:color w:val="auto"/>
          <w:szCs w:val="32"/>
          <w:highlight w:val="none"/>
          <w:shd w:val="clear" w:color="auto" w:fill="FFFFFF"/>
          <w:lang w:val="en-US" w:eastAsia="zh-CN"/>
        </w:rPr>
        <w:t>同意项目立项</w:t>
      </w:r>
      <w:r>
        <w:rPr>
          <w:rFonts w:hint="default" w:ascii="仿宋_GB2312" w:hAnsi="仿宋_GB2312" w:eastAsia="仿宋_GB2312" w:cs="仿宋_GB2312"/>
          <w:color w:val="auto"/>
          <w:szCs w:val="32"/>
          <w:highlight w:val="none"/>
          <w:shd w:val="clear" w:color="auto" w:fill="FFFFFF"/>
          <w:lang w:val="en-US" w:eastAsia="zh-CN"/>
        </w:rPr>
        <w:t>。</w:t>
      </w:r>
    </w:p>
    <w:p w14:paraId="3FB0EFD5">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rPr>
        <w:t xml:space="preserve">3.标准文本起草与初轮咨询阶段（2026年1月—2月） </w:t>
      </w:r>
    </w:p>
    <w:p w14:paraId="666DED23">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highlight w:val="none"/>
          <w:shd w:val="clear" w:color="auto" w:fill="FFFFFF"/>
          <w:lang w:val="en-US" w:eastAsia="zh-CN"/>
        </w:rPr>
      </w:pPr>
      <w:r>
        <w:rPr>
          <w:rFonts w:hint="eastAsia" w:ascii="仿宋_GB2312" w:hAnsi="仿宋_GB2312" w:eastAsia="仿宋_GB2312" w:cs="仿宋_GB2312"/>
          <w:color w:val="auto"/>
          <w:szCs w:val="32"/>
          <w:highlight w:val="none"/>
          <w:shd w:val="clear" w:color="auto" w:fill="FFFFFF"/>
          <w:lang w:val="en-US" w:eastAsia="zh-CN"/>
        </w:rPr>
        <w:t>标准研制小组</w:t>
      </w:r>
      <w:r>
        <w:rPr>
          <w:rFonts w:hint="default" w:ascii="仿宋_GB2312" w:hAnsi="仿宋_GB2312" w:eastAsia="仿宋_GB2312" w:cs="仿宋_GB2312"/>
          <w:color w:val="auto"/>
          <w:szCs w:val="32"/>
          <w:highlight w:val="none"/>
          <w:shd w:val="clear" w:color="auto" w:fill="FFFFFF"/>
          <w:lang w:val="en-US" w:eastAsia="zh-CN"/>
        </w:rPr>
        <w:t>依据 GB/T 1.1—2020《标准化工作导则》，形成标准草案初稿。完成</w:t>
      </w:r>
      <w:r>
        <w:rPr>
          <w:rFonts w:hint="eastAsia" w:ascii="仿宋_GB2312" w:hAnsi="仿宋_GB2312" w:eastAsia="仿宋_GB2312" w:cs="仿宋_GB2312"/>
          <w:color w:val="auto"/>
          <w:szCs w:val="32"/>
          <w:highlight w:val="none"/>
          <w:shd w:val="clear" w:color="auto" w:fill="FFFFFF"/>
          <w:lang w:val="en-US" w:eastAsia="zh-CN"/>
        </w:rPr>
        <w:t>标准研制小组内部16名</w:t>
      </w:r>
      <w:r>
        <w:rPr>
          <w:rFonts w:hint="default" w:ascii="仿宋_GB2312" w:hAnsi="仿宋_GB2312" w:eastAsia="仿宋_GB2312" w:cs="仿宋_GB2312"/>
          <w:color w:val="auto"/>
          <w:szCs w:val="32"/>
          <w:highlight w:val="none"/>
          <w:shd w:val="clear" w:color="auto" w:fill="FFFFFF"/>
          <w:lang w:val="en-US" w:eastAsia="zh-CN"/>
        </w:rPr>
        <w:t>专家咨询，结合意见、建议</w:t>
      </w:r>
      <w:r>
        <w:rPr>
          <w:rFonts w:hint="eastAsia" w:ascii="仿宋_GB2312" w:hAnsi="仿宋_GB2312" w:eastAsia="仿宋_GB2312" w:cs="仿宋_GB2312"/>
          <w:color w:val="auto"/>
          <w:szCs w:val="32"/>
          <w:highlight w:val="none"/>
          <w:shd w:val="clear" w:color="auto" w:fill="FFFFFF"/>
          <w:lang w:val="en-US" w:eastAsia="zh-CN"/>
        </w:rPr>
        <w:t>，</w:t>
      </w:r>
      <w:r>
        <w:rPr>
          <w:rFonts w:hint="default" w:ascii="仿宋_GB2312" w:hAnsi="仿宋_GB2312" w:eastAsia="仿宋_GB2312" w:cs="仿宋_GB2312"/>
          <w:color w:val="auto"/>
          <w:szCs w:val="32"/>
          <w:highlight w:val="none"/>
          <w:shd w:val="clear" w:color="auto" w:fill="FFFFFF"/>
          <w:lang w:val="en-US" w:eastAsia="zh-CN"/>
        </w:rPr>
        <w:t>标准起草组对草案稿进行认真的分析、修改和总结</w:t>
      </w:r>
      <w:r>
        <w:rPr>
          <w:rFonts w:hint="eastAsia" w:ascii="仿宋_GB2312" w:hAnsi="仿宋_GB2312" w:eastAsia="仿宋_GB2312" w:cs="仿宋_GB2312"/>
          <w:color w:val="auto"/>
          <w:szCs w:val="32"/>
          <w:highlight w:val="none"/>
          <w:shd w:val="clear" w:color="auto" w:fill="FFFFFF"/>
          <w:lang w:val="en-US" w:eastAsia="zh-CN"/>
        </w:rPr>
        <w:t>。</w:t>
      </w:r>
    </w:p>
    <w:p w14:paraId="00399178">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rPr>
        <w:t xml:space="preserve">4.专家访谈与研讨阶段（2026年3月） </w:t>
      </w:r>
    </w:p>
    <w:p w14:paraId="725653AF">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rPr>
        <w:t>在前期理论综述与初稿基础上，标准研制小组组织多轮线上线下研讨会，邀请临床、公卫、营养、运动医学等领域</w:t>
      </w:r>
      <w:r>
        <w:rPr>
          <w:rFonts w:hint="eastAsia" w:ascii="仿宋_GB2312" w:hAnsi="仿宋_GB2312" w:eastAsia="仿宋_GB2312" w:cs="仿宋_GB2312"/>
          <w:color w:val="auto"/>
          <w:szCs w:val="32"/>
          <w:highlight w:val="none"/>
          <w:shd w:val="clear" w:color="auto" w:fill="FFFFFF"/>
          <w:lang w:val="en-US" w:eastAsia="zh-CN"/>
        </w:rPr>
        <w:t>共24位</w:t>
      </w:r>
      <w:r>
        <w:rPr>
          <w:rFonts w:hint="default" w:ascii="仿宋_GB2312" w:hAnsi="仿宋_GB2312" w:eastAsia="仿宋_GB2312" w:cs="仿宋_GB2312"/>
          <w:color w:val="auto"/>
          <w:szCs w:val="32"/>
          <w:highlight w:val="none"/>
          <w:shd w:val="clear" w:color="auto" w:fill="FFFFFF"/>
          <w:lang w:val="en-US" w:eastAsia="zh-CN"/>
        </w:rPr>
        <w:t>专家，就标准结构、内容划分、技术分级等进行</w:t>
      </w:r>
      <w:r>
        <w:rPr>
          <w:rFonts w:hint="eastAsia" w:ascii="仿宋_GB2312" w:hAnsi="仿宋_GB2312" w:eastAsia="仿宋_GB2312" w:cs="仿宋_GB2312"/>
          <w:color w:val="auto"/>
          <w:szCs w:val="32"/>
          <w:highlight w:val="none"/>
          <w:shd w:val="clear" w:color="auto" w:fill="FFFFFF"/>
          <w:lang w:val="en-US" w:eastAsia="zh-CN"/>
        </w:rPr>
        <w:t>3轮外部专家咨询，形成修改意见稿</w:t>
      </w:r>
      <w:r>
        <w:rPr>
          <w:rFonts w:hint="default" w:ascii="仿宋_GB2312" w:hAnsi="仿宋_GB2312" w:eastAsia="仿宋_GB2312" w:cs="仿宋_GB2312"/>
          <w:color w:val="auto"/>
          <w:szCs w:val="32"/>
          <w:highlight w:val="none"/>
          <w:shd w:val="clear" w:color="auto" w:fill="FFFFFF"/>
          <w:lang w:val="en-US" w:eastAsia="zh-CN"/>
        </w:rPr>
        <w:t xml:space="preserve">。 </w:t>
      </w:r>
    </w:p>
    <w:p w14:paraId="6A1DA805">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rPr>
        <w:t xml:space="preserve">5.意见征集稿形成与内部修订阶段（2026年4月） </w:t>
      </w:r>
    </w:p>
    <w:p w14:paraId="51B7FDC2">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rPr>
        <w:t>标准研制小组依据前期调研、专家咨询和研讨结果，对标准初稿进行多轮内部修订，形成《老年人肌骨健康综合干预指南》意见征集稿</w:t>
      </w:r>
      <w:r>
        <w:rPr>
          <w:rFonts w:hint="eastAsia" w:ascii="仿宋_GB2312" w:hAnsi="仿宋_GB2312" w:eastAsia="仿宋_GB2312" w:cs="仿宋_GB2312"/>
          <w:color w:val="auto"/>
          <w:szCs w:val="32"/>
          <w:highlight w:val="none"/>
          <w:shd w:val="clear" w:color="auto" w:fill="FFFFFF"/>
          <w:lang w:val="en-US" w:eastAsia="zh-CN"/>
        </w:rPr>
        <w:t>，并于2026年4月22日开展第6轮标准研制小组内部专家意见征集，确认意见征集稿终稿内容</w:t>
      </w:r>
      <w:r>
        <w:rPr>
          <w:rFonts w:hint="default" w:ascii="仿宋_GB2312" w:hAnsi="仿宋_GB2312" w:eastAsia="仿宋_GB2312" w:cs="仿宋_GB2312"/>
          <w:color w:val="auto"/>
          <w:szCs w:val="32"/>
          <w:highlight w:val="none"/>
          <w:shd w:val="clear" w:color="auto" w:fill="FFFFFF"/>
          <w:lang w:val="en-US" w:eastAsia="zh-CN"/>
        </w:rPr>
        <w:t xml:space="preserve">。 </w:t>
      </w:r>
    </w:p>
    <w:p w14:paraId="033DC9C1">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rPr>
        <w:t xml:space="preserve">6.编制说明撰写与提交征求意见阶段（2026年5月） </w:t>
      </w:r>
    </w:p>
    <w:p w14:paraId="110C9889">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rPr>
        <w:t xml:space="preserve">标准研制小组围绕与相关规范性文件和其他标准的关系、国外相关规定和标准情况的对比说明、各项技术内容确定依据等，撰写编制说明。2026年5月将标准征求意见稿及相关材料提交中国民族卫生协会，发布征求意见函。 </w:t>
      </w:r>
    </w:p>
    <w:p w14:paraId="65466ADA">
      <w:pPr>
        <w:keepNext w:val="0"/>
        <w:keepLines w:val="0"/>
        <w:pageBreakBefore w:val="0"/>
        <w:widowControl w:val="0"/>
        <w:kinsoku/>
        <w:wordWrap/>
        <w:overflowPunct/>
        <w:topLinePunct w:val="0"/>
        <w:autoSpaceDE/>
        <w:autoSpaceDN/>
        <w:bidi w:val="0"/>
        <w:adjustRightInd/>
        <w:snapToGrid/>
        <w:spacing w:line="660" w:lineRule="exact"/>
        <w:ind w:firstLine="641"/>
        <w:textAlignment w:val="auto"/>
        <w:outlineLvl w:val="0"/>
        <w:rPr>
          <w:rFonts w:hint="eastAsia" w:ascii="Times New Roman" w:hAnsi="Times New Roman" w:eastAsia="黑体" w:cs="Times New Roman"/>
          <w:color w:val="auto"/>
          <w:sz w:val="32"/>
          <w:szCs w:val="32"/>
          <w:highlight w:val="none"/>
          <w:lang w:eastAsia="zh"/>
          <w:woUserID w:val="1"/>
        </w:rPr>
      </w:pPr>
      <w:r>
        <w:rPr>
          <w:rFonts w:hint="eastAsia" w:ascii="Times New Roman" w:hAnsi="Times New Roman" w:eastAsia="黑体" w:cs="Times New Roman"/>
          <w:color w:val="auto"/>
          <w:sz w:val="32"/>
          <w:szCs w:val="32"/>
          <w:highlight w:val="none"/>
        </w:rPr>
        <w:t>二、与</w:t>
      </w:r>
      <w:r>
        <w:rPr>
          <w:rFonts w:hint="eastAsia" w:ascii="Times New Roman" w:hAnsi="Times New Roman" w:eastAsia="黑体" w:cs="Times New Roman"/>
          <w:color w:val="auto"/>
          <w:sz w:val="32"/>
          <w:szCs w:val="32"/>
          <w:highlight w:val="none"/>
          <w:lang w:val="en-US" w:eastAsia="zh-CN"/>
        </w:rPr>
        <w:t>相关</w:t>
      </w:r>
      <w:r>
        <w:rPr>
          <w:rFonts w:hint="eastAsia" w:ascii="Times New Roman" w:hAnsi="Times New Roman" w:eastAsia="黑体" w:cs="Times New Roman"/>
          <w:color w:val="auto"/>
          <w:sz w:val="32"/>
          <w:szCs w:val="32"/>
          <w:highlight w:val="none"/>
        </w:rPr>
        <w:t>规范性文件和其他标准的关系</w:t>
      </w:r>
    </w:p>
    <w:p w14:paraId="16B8C396">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woUserID w:val="8"/>
        </w:rPr>
      </w:pPr>
      <w:r>
        <w:rPr>
          <w:rFonts w:hint="eastAsia" w:ascii="仿宋_GB2312" w:hAnsi="仿宋_GB2312" w:eastAsia="仿宋_GB2312" w:cs="仿宋_GB2312"/>
          <w:color w:val="auto"/>
          <w:szCs w:val="32"/>
          <w:shd w:val="clear" w:color="auto" w:fill="FFFFFF"/>
          <w:lang w:val="en-US" w:eastAsia="zh"/>
          <w:woUserID w:val="8"/>
        </w:rPr>
        <w:t>本标准在编制过程中参考了老年健康管理、骨质疏松防治、肌少症识别、营养干预、运动处方及基层连续管理等领域的相关标准、指南、专家共识和文献资料，力求使标准内容与现行相关技术要求相衔接。</w:t>
      </w:r>
    </w:p>
    <w:p w14:paraId="2275B67C">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woUserID w:val="8"/>
        </w:rPr>
      </w:pPr>
      <w:r>
        <w:rPr>
          <w:rFonts w:hint="eastAsia" w:ascii="仿宋_GB2312" w:hAnsi="仿宋_GB2312" w:eastAsia="仿宋_GB2312" w:cs="仿宋_GB2312"/>
          <w:color w:val="auto"/>
          <w:szCs w:val="32"/>
          <w:shd w:val="clear" w:color="auto" w:fill="FFFFFF"/>
          <w:lang w:val="en-US" w:eastAsia="zh"/>
          <w:woUserID w:val="8"/>
        </w:rPr>
        <w:t>国内政策文件方面，本标准主要依据《“健康中国2030”规划纲要》《”十四五”健康老龄化规划》《国家基本公共卫生服务规范》及《关于推进分级诊疗制度建设的指导意见》等文件精神，围绕老年人健康促进、慢性病早期筛查、基层服务能力建设、分级诊疗衔接和社区连续管理等要求，构建适用于基层医疗卫生机构、社区康养机构和养老服务机构的老年人肌骨健康综合干预路径。</w:t>
      </w:r>
    </w:p>
    <w:p w14:paraId="61555F38">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woUserID w:val="8"/>
        </w:rPr>
      </w:pPr>
      <w:r>
        <w:rPr>
          <w:rFonts w:hint="eastAsia" w:ascii="仿宋_GB2312" w:hAnsi="仿宋_GB2312" w:eastAsia="仿宋_GB2312" w:cs="仿宋_GB2312"/>
          <w:color w:val="auto"/>
          <w:szCs w:val="32"/>
          <w:shd w:val="clear" w:color="auto" w:fill="FFFFFF"/>
          <w:lang w:val="en-US" w:eastAsia="zh"/>
          <w:woUserID w:val="8"/>
        </w:rPr>
        <w:t>在规范性引用文件方面，本标准参照了 WS/T 476《营养名词术语》、WS/T 556《老年人膳食指导》、WS/T 578 系列《中国居民膳食营养素参考摄入量》、WS/T 404 系列《临床常用生化检验项目参考区间》及 WS/T 406《临床血液学检验常规项目分析质量要求》等卫生行业标准，用于规范营养术语、老年人膳食建议、营养素摄入参考范围及相关实验室检测指标等内容。</w:t>
      </w:r>
    </w:p>
    <w:p w14:paraId="3870E070">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woUserID w:val="8"/>
        </w:rPr>
      </w:pPr>
      <w:r>
        <w:rPr>
          <w:rFonts w:hint="eastAsia" w:ascii="仿宋_GB2312" w:hAnsi="仿宋_GB2312" w:eastAsia="仿宋_GB2312" w:cs="仿宋_GB2312"/>
          <w:color w:val="auto"/>
          <w:szCs w:val="32"/>
          <w:shd w:val="clear" w:color="auto" w:fill="FFFFFF"/>
          <w:lang w:val="en-US" w:eastAsia="zh"/>
          <w:woUserID w:val="8"/>
        </w:rPr>
        <w:t>在相关指南和专家共识方面，本标准参考了《原发性骨质疏松症诊疗指南（2022）》《中国老年骨质疏松症诊疗指南（2018）》《中国肌肉减少症诊疗指南（2024版）》《基层医疗机构骨质疏松症诊断和治疗专家共识（2021）》《骨质疏松分级诊疗政策解读及方案专家共识》《运动处方中国专家共识（2023）》《临床运动处方实践专家共识（2025）》《中国老年人膳食指南（2022版）》及肌少症膳食营养处方和运动干预相关专家共识等内容，结合老年人肌骨健康管理需求，形成综合评估、运动干预、营养干预和连续管理建议。</w:t>
      </w:r>
    </w:p>
    <w:p w14:paraId="318DCD1D">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woUserID w:val="8"/>
        </w:rPr>
      </w:pPr>
      <w:r>
        <w:rPr>
          <w:rFonts w:hint="eastAsia" w:ascii="仿宋_GB2312" w:hAnsi="仿宋_GB2312" w:eastAsia="仿宋_GB2312" w:cs="仿宋_GB2312"/>
          <w:color w:val="auto"/>
          <w:szCs w:val="32"/>
          <w:shd w:val="clear" w:color="auto" w:fill="FFFFFF"/>
          <w:lang w:val="en-US" w:eastAsia="zh"/>
          <w:woUserID w:val="8"/>
        </w:rPr>
        <w:t>本标准与上述规范性文件和其他标准的关系主要体现为衔接、补充和细化。本标准不替代骨质疏松症、肌少症及相关疾病的临床诊疗指南，而是在既有诊断、营养、运动和基层管理相关依据的基础上，进一步面向老年人肌骨健康促进和综合干预场景，突出骨健康、肌肉健康、身体功能、营养状况、运动风险和随访复评等内容的整合应用。</w:t>
      </w:r>
    </w:p>
    <w:p w14:paraId="527745D9">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woUserID w:val="8"/>
        </w:rPr>
      </w:pPr>
      <w:r>
        <w:rPr>
          <w:rFonts w:hint="eastAsia" w:ascii="仿宋_GB2312" w:hAnsi="仿宋_GB2312" w:eastAsia="仿宋_GB2312" w:cs="仿宋_GB2312"/>
          <w:color w:val="auto"/>
          <w:szCs w:val="32"/>
          <w:shd w:val="clear" w:color="auto" w:fill="FFFFFF"/>
          <w:lang w:val="en-US" w:eastAsia="zh"/>
          <w:woUserID w:val="8"/>
        </w:rPr>
        <w:t>与现有相关标准和指南相比，本标准的特点在于将骨密度、骨折风险、肌肉量、肌力、身体功能、营养摄入和运动能力等指标纳入同一评估框架，并将营养干预和运动干预纳入“评估—判定—干预—监测—随访—复评—调整”的连续管理流程。标准内容与现有卫生行业标准、相关指南和专家共识不存在冲突，可作为基层医疗卫生机构、社区康养机构、养老服务机构等开展老年人肌骨健康综合干预的参考依据。</w:t>
      </w:r>
    </w:p>
    <w:p w14:paraId="4CC05533">
      <w:pPr>
        <w:keepNext w:val="0"/>
        <w:keepLines w:val="0"/>
        <w:pageBreakBefore w:val="0"/>
        <w:widowControl w:val="0"/>
        <w:kinsoku/>
        <w:wordWrap/>
        <w:overflowPunct/>
        <w:topLinePunct w:val="0"/>
        <w:autoSpaceDE/>
        <w:autoSpaceDN/>
        <w:bidi w:val="0"/>
        <w:adjustRightInd/>
        <w:snapToGrid/>
        <w:spacing w:line="660" w:lineRule="exact"/>
        <w:ind w:firstLine="641"/>
        <w:textAlignment w:val="auto"/>
        <w:outlineLvl w:val="0"/>
        <w:rPr>
          <w:rFonts w:hint="eastAsia" w:ascii="Times New Roman" w:hAnsi="Times New Roman" w:eastAsia="黑体" w:cs="Times New Roman"/>
          <w:color w:val="auto"/>
          <w:sz w:val="32"/>
          <w:szCs w:val="32"/>
          <w:highlight w:val="none"/>
          <w:lang w:eastAsia="zh"/>
        </w:rPr>
      </w:pPr>
      <w:r>
        <w:rPr>
          <w:rFonts w:hint="eastAsia" w:ascii="Times New Roman" w:hAnsi="Times New Roman" w:eastAsia="黑体" w:cs="Times New Roman"/>
          <w:color w:val="auto"/>
          <w:sz w:val="32"/>
          <w:szCs w:val="32"/>
          <w:highlight w:val="none"/>
          <w:lang w:eastAsia="zh"/>
        </w:rPr>
        <w:t>三、</w:t>
      </w:r>
      <w:r>
        <w:rPr>
          <w:rFonts w:hint="eastAsia" w:ascii="Times New Roman" w:hAnsi="Times New Roman" w:eastAsia="黑体" w:cs="Times New Roman"/>
          <w:color w:val="auto"/>
          <w:sz w:val="32"/>
          <w:szCs w:val="32"/>
          <w:highlight w:val="none"/>
        </w:rPr>
        <w:t>国外相关</w:t>
      </w:r>
      <w:r>
        <w:rPr>
          <w:rFonts w:hint="eastAsia" w:ascii="Times New Roman" w:hAnsi="Times New Roman" w:eastAsia="黑体" w:cs="Times New Roman"/>
          <w:color w:val="auto"/>
          <w:sz w:val="32"/>
          <w:szCs w:val="32"/>
          <w:highlight w:val="none"/>
          <w:lang w:val="en-US" w:eastAsia="zh-CN"/>
        </w:rPr>
        <w:t>规定和标准情况</w:t>
      </w:r>
      <w:r>
        <w:rPr>
          <w:rFonts w:hint="eastAsia" w:ascii="Times New Roman" w:hAnsi="Times New Roman" w:eastAsia="黑体" w:cs="Times New Roman"/>
          <w:color w:val="auto"/>
          <w:sz w:val="32"/>
          <w:szCs w:val="32"/>
          <w:highlight w:val="none"/>
        </w:rPr>
        <w:t>的对比说明</w:t>
      </w:r>
    </w:p>
    <w:p w14:paraId="618426CE">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rPr>
      </w:pPr>
      <w:r>
        <w:rPr>
          <w:rFonts w:hint="eastAsia" w:ascii="仿宋_GB2312" w:hAnsi="仿宋_GB2312" w:eastAsia="仿宋_GB2312" w:cs="仿宋_GB2312"/>
          <w:color w:val="auto"/>
          <w:szCs w:val="32"/>
          <w:shd w:val="clear" w:color="auto" w:fill="FFFFFF"/>
          <w:lang w:val="en-US" w:eastAsia="zh"/>
        </w:rPr>
        <w:t>本标准编制过程中参考了国外及国际上与骨质疏松风险评估、骨折风险预测、肌少症评估和运动处方相关的文献、工具和指南资料。总体来看，国外相关技术文件在骨密度评估、骨折风险预测、肌少症识别和运动处方制定方面已有较多研究和应用基础，但多侧重单一疾病、单项评估工具或单类干预措施。本标准在参考相关内容的基础上，结合我国基层、社区和养老服务场景，对老年人肌骨健康综合干预流程进行了整合。</w:t>
      </w:r>
    </w:p>
    <w:p w14:paraId="5601072C">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rPr>
      </w:pPr>
      <w:r>
        <w:rPr>
          <w:rFonts w:hint="eastAsia" w:ascii="仿宋_GB2312" w:hAnsi="仿宋_GB2312" w:eastAsia="仿宋_GB2312" w:cs="仿宋_GB2312"/>
          <w:color w:val="auto"/>
          <w:szCs w:val="32"/>
          <w:shd w:val="clear" w:color="auto" w:fill="FFFFFF"/>
          <w:lang w:val="en-US" w:eastAsia="zh"/>
        </w:rPr>
        <w:t>在骨健康评估方面，国外相关标准和文献较多采用双能 X 线吸收测定法（DXA）进行骨密度评估，并结合骨折风险评估工具识别骨折高危人群。本标准在骨健康状况评估中设置了基于 DXA 的骨密度分级，并采用FRAX进行骨折风险评估；同时，考虑基层机构设备条件差异，提出在无 DXA条件下可结合定量超声（QUS）和 IOF 一分钟风险测试进行初步筛查和风险分级。</w:t>
      </w:r>
    </w:p>
    <w:p w14:paraId="339114AA">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rPr>
      </w:pPr>
      <w:r>
        <w:rPr>
          <w:rFonts w:hint="eastAsia" w:ascii="仿宋_GB2312" w:hAnsi="仿宋_GB2312" w:eastAsia="仿宋_GB2312" w:cs="仿宋_GB2312"/>
          <w:color w:val="auto"/>
          <w:szCs w:val="32"/>
          <w:shd w:val="clear" w:color="auto" w:fill="FFFFFF"/>
          <w:lang w:val="en-US" w:eastAsia="zh"/>
        </w:rPr>
        <w:t>在肌肉健康评估方面，国际上常从肌肉量、肌力和躯体功能等维度识别肌少症风险。本标准参考亚洲肌少症工作组（AWGS 2019）相关诊断思路，采用握力、步速或 5 次起坐试验、DXA 或 BIA 测定四肢骨骼肌质量等指标，对老年人肌肉健康状况进行评估，并进一步划分肌少症严重程度。</w:t>
      </w:r>
    </w:p>
    <w:p w14:paraId="5C6CCF50">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rPr>
      </w:pPr>
      <w:r>
        <w:rPr>
          <w:rFonts w:hint="eastAsia" w:ascii="仿宋_GB2312" w:hAnsi="仿宋_GB2312" w:eastAsia="仿宋_GB2312" w:cs="仿宋_GB2312"/>
          <w:color w:val="auto"/>
          <w:szCs w:val="32"/>
          <w:shd w:val="clear" w:color="auto" w:fill="FFFFFF"/>
          <w:lang w:val="en-US" w:eastAsia="zh"/>
        </w:rPr>
        <w:t>在运动干预方面，国外运动处方相关指南强调根据个体健康状况、功能水平和运动风险制定运动方案（美国运动医学会ACSM）。本标准参考运动处方相关原则，采用 FITT 原则设计运动干预方案，并结合老年人肌骨共病严重程度和综合运动能力进行分级，提出不同等级下的有氧运动、抗阻运动、平衡训练、柔韧与关节活动训练等建议。与一般运动处方相比，本标准更强调老年人肌骨共病状态下的安全性、渐进性和基层可操作性。</w:t>
      </w:r>
    </w:p>
    <w:p w14:paraId="3EFF2465">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rPr>
      </w:pPr>
      <w:r>
        <w:rPr>
          <w:rFonts w:hint="eastAsia" w:ascii="仿宋_GB2312" w:hAnsi="仿宋_GB2312" w:eastAsia="仿宋_GB2312" w:cs="仿宋_GB2312"/>
          <w:color w:val="auto"/>
          <w:szCs w:val="32"/>
          <w:shd w:val="clear" w:color="auto" w:fill="FFFFFF"/>
          <w:lang w:val="en-US" w:eastAsia="zh"/>
        </w:rPr>
        <w:t>在营养干预方面，ESPEN 老年营养相关指南重视老年人营养不良筛查、能量和蛋白质摄入、维生素D及相关营养支持。国际经验提示，老年肌骨健康维护不能仅关注钙和维生素D，还应重视蛋白质、能量摄入和整体膳食质量。本标准在此基础上，结合我国老年人膳食结构和《中国老年人膳食指南（2022版）》等国内依据，将蛋白质、脂肪、钙、维生素D、维生素B9、维生素B12、维生素C、维生素K、镁等肌骨相关营养素纳入综合干预范围，并加入简化食物频率问卷、膳食建议和营养素补充建议，使营养干预更加符合我国基层实施条件和老年人饮食习惯。</w:t>
      </w:r>
    </w:p>
    <w:p w14:paraId="6B21C8BE">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
        </w:rPr>
      </w:pPr>
      <w:r>
        <w:rPr>
          <w:rFonts w:hint="eastAsia" w:ascii="仿宋_GB2312" w:hAnsi="仿宋_GB2312" w:eastAsia="仿宋_GB2312" w:cs="仿宋_GB2312"/>
          <w:color w:val="auto"/>
          <w:szCs w:val="32"/>
          <w:shd w:val="clear" w:color="auto" w:fill="FFFFFF"/>
          <w:lang w:val="en-US" w:eastAsia="zh"/>
        </w:rPr>
        <w:t>在动态管理方面，国外指南普遍强调定期评估、风险再分层和干预调整，但针对基层医疗卫生机构、社区康养机构和养老服务机构的连续管理流程相对分散。本标准在借鉴国际经验的基础上，突出“评估—干预—监测—复评—调整”的闭环管理，明确随访、记录、质量改进和转诊衔接要求，将营养、运动和安全监测纳入同一服务路径，进一步提高了综合干预的连续性和规范化水平。</w:t>
      </w:r>
    </w:p>
    <w:p w14:paraId="3BE3DE9F">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eastAsia="黑体" w:cs="Times New Roman"/>
          <w:color w:val="auto"/>
          <w:sz w:val="32"/>
          <w:szCs w:val="32"/>
          <w:highlight w:val="yellow"/>
          <w:lang w:eastAsia="zh"/>
          <w:woUserID w:val="8"/>
        </w:rPr>
      </w:pPr>
      <w:r>
        <w:rPr>
          <w:rFonts w:hint="eastAsia" w:ascii="仿宋_GB2312" w:hAnsi="仿宋_GB2312" w:eastAsia="仿宋_GB2312" w:cs="仿宋_GB2312"/>
          <w:color w:val="auto"/>
          <w:szCs w:val="32"/>
          <w:shd w:val="clear" w:color="auto" w:fill="FFFFFF"/>
          <w:lang w:val="en-US" w:eastAsia="zh"/>
        </w:rPr>
        <w:t>综上，本标准与国外相关指南和标准在老年骨质疏松风险评估、肌少症识别、营养支持、运动干预和动态管理等核心理念上保持一致，同时结合我国人口老龄化背景、基层服务能力、社区场景需求和老年人生活方式特点，形成了具有本土化特色的老年人肌骨健康综合干预方案。与国外单病种、单环节指南相比，本标准更加突出肌骨共病综合评估、营养与运动协同干预、分层分级处方、基层可实施工具和全过程动态管理，可为我国老年人肌骨健康管理服务提供更系统、更适宜的技术支撑。</w:t>
      </w:r>
    </w:p>
    <w:p w14:paraId="4371ADE1">
      <w:pPr>
        <w:keepNext w:val="0"/>
        <w:keepLines w:val="0"/>
        <w:pageBreakBefore w:val="0"/>
        <w:widowControl w:val="0"/>
        <w:kinsoku/>
        <w:wordWrap/>
        <w:overflowPunct/>
        <w:topLinePunct w:val="0"/>
        <w:autoSpaceDE/>
        <w:autoSpaceDN/>
        <w:bidi w:val="0"/>
        <w:adjustRightInd/>
        <w:snapToGrid/>
        <w:spacing w:line="660" w:lineRule="exact"/>
        <w:ind w:firstLine="641"/>
        <w:textAlignment w:val="auto"/>
        <w:outlineLvl w:val="0"/>
        <w:rPr>
          <w:rFonts w:hint="eastAsia" w:ascii="Times New Roman" w:hAnsi="Times New Roman" w:eastAsia="黑体" w:cs="Times New Roman"/>
          <w:color w:val="auto"/>
          <w:sz w:val="32"/>
          <w:szCs w:val="32"/>
          <w:highlight w:val="none"/>
          <w:lang w:eastAsia="zh"/>
        </w:rPr>
      </w:pPr>
      <w:r>
        <w:rPr>
          <w:rFonts w:hint="eastAsia" w:ascii="Times New Roman" w:hAnsi="Times New Roman" w:eastAsia="黑体" w:cs="Times New Roman"/>
          <w:color w:val="auto"/>
          <w:sz w:val="32"/>
          <w:szCs w:val="32"/>
          <w:highlight w:val="none"/>
          <w:lang w:val="en-US" w:eastAsia="zh-CN"/>
        </w:rPr>
        <w:t>四</w:t>
      </w:r>
      <w:r>
        <w:rPr>
          <w:rFonts w:hint="eastAsia" w:ascii="Times New Roman" w:hAnsi="Times New Roman" w:eastAsia="黑体" w:cs="Times New Roman"/>
          <w:color w:val="auto"/>
          <w:sz w:val="32"/>
          <w:szCs w:val="32"/>
          <w:highlight w:val="none"/>
        </w:rPr>
        <w:t>、各项技术内容的依据</w:t>
      </w:r>
      <w:r>
        <w:rPr>
          <w:rFonts w:hint="eastAsia" w:ascii="Times New Roman" w:hAnsi="Times New Roman" w:eastAsia="黑体" w:cs="Times New Roman"/>
          <w:color w:val="auto"/>
          <w:sz w:val="32"/>
          <w:szCs w:val="32"/>
          <w:highlight w:val="none"/>
          <w:lang w:eastAsia="zh"/>
        </w:rPr>
        <w:t xml:space="preserve"> </w:t>
      </w:r>
    </w:p>
    <w:p w14:paraId="33A6FC4A">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outlineLvl w:val="1"/>
        <w:rPr>
          <w:rFonts w:hint="eastAsia"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（一）适用范围</w:t>
      </w:r>
    </w:p>
    <w:p w14:paraId="3C2049DC">
      <w:pPr>
        <w:keepNext w:val="0"/>
        <w:keepLines w:val="0"/>
        <w:pageBreakBefore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lang w:val="en-US" w:eastAsia="zh-CN"/>
        </w:rPr>
        <w:t>本标准适用于</w:t>
      </w:r>
      <w:r>
        <w:rPr>
          <w:rFonts w:hint="default" w:ascii="仿宋_GB2312" w:hAnsi="仿宋_GB2312" w:eastAsia="仿宋_GB2312" w:cs="仿宋_GB2312"/>
          <w:color w:val="auto"/>
          <w:szCs w:val="32"/>
          <w:shd w:val="clear" w:color="auto" w:fill="FFFFFF"/>
          <w:lang w:val="en-US" w:eastAsia="zh-CN"/>
        </w:rPr>
        <w:t>开展老年人肌骨健康促进、风险识别、综合干预、随访复评和连续管理工作的相关机构及专业技术人员，包括基层医疗卫生机构、社区康养机构、养老服务机构等</w:t>
      </w:r>
      <w:r>
        <w:rPr>
          <w:rFonts w:hint="eastAsia" w:ascii="仿宋_GB2312" w:hAnsi="仿宋_GB2312" w:eastAsia="仿宋_GB2312" w:cs="仿宋_GB2312"/>
          <w:color w:val="auto"/>
          <w:szCs w:val="32"/>
          <w:shd w:val="clear" w:color="auto" w:fill="FFFFFF"/>
        </w:rPr>
        <w:t>。</w:t>
      </w:r>
    </w:p>
    <w:p w14:paraId="297EF3A7">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outlineLvl w:val="1"/>
        <w:rPr>
          <w:rFonts w:hint="default" w:ascii="Times New Roman" w:hAnsi="Times New Roman" w:eastAsia="楷体_GB2312" w:cs="Times New Roman"/>
          <w:b w:val="0"/>
          <w:bCs w:val="0"/>
          <w:color w:val="auto"/>
          <w:sz w:val="32"/>
          <w:szCs w:val="32"/>
          <w:highlight w:val="yellow"/>
          <w:lang w:val="en-US" w:eastAsia="zh-CN"/>
        </w:rPr>
      </w:pPr>
      <w:r>
        <w:rPr>
          <w:rFonts w:hint="eastAsia" w:ascii="Times New Roman" w:hAnsi="Times New Roman" w:eastAsia="楷体_GB2312" w:cs="Times New Roman"/>
          <w:b/>
          <w:bCs/>
          <w:color w:val="auto"/>
          <w:sz w:val="32"/>
          <w:szCs w:val="32"/>
          <w:lang w:val="en-US" w:eastAsia="zh-CN"/>
        </w:rPr>
        <w:t>（</w:t>
      </w:r>
      <w:r>
        <w:rPr>
          <w:rFonts w:hint="eastAsia" w:eastAsia="楷体_GB2312" w:cs="Times New Roman"/>
          <w:b/>
          <w:bCs/>
          <w:color w:val="auto"/>
          <w:sz w:val="32"/>
          <w:szCs w:val="32"/>
          <w:lang w:val="en-US" w:eastAsia="zh-CN"/>
        </w:rPr>
        <w:t>二</w:t>
      </w:r>
      <w:r>
        <w:rPr>
          <w:rFonts w:hint="eastAsia" w:ascii="Times New Roman" w:hAnsi="Times New Roman" w:eastAsia="楷体_GB2312" w:cs="Times New Roman"/>
          <w:b/>
          <w:bCs/>
          <w:color w:val="auto"/>
          <w:sz w:val="32"/>
          <w:szCs w:val="32"/>
          <w:lang w:val="en-US" w:eastAsia="zh-CN"/>
        </w:rPr>
        <w:t>）主要内容及确定依据</w:t>
      </w:r>
    </w:p>
    <w:p w14:paraId="78B5C71F">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本标准依据 GB/T 1.1-2020《标准化工作导则 第1部分：标准化文件的结构和起草规则》进行文本编制。文本由前言、引言、范围、规范性引用文件、术语和定义、</w:t>
      </w:r>
      <w:r>
        <w:rPr>
          <w:rFonts w:hint="eastAsia" w:ascii="仿宋_GB2312" w:hAnsi="仿宋_GB2312" w:eastAsia="仿宋_GB2312" w:cs="仿宋_GB2312"/>
          <w:color w:val="auto"/>
          <w:szCs w:val="32"/>
          <w:shd w:val="clear" w:color="auto" w:fill="FFFFFF"/>
          <w:lang w:val="en-US" w:eastAsia="zh"/>
          <w:woUserID w:val="4"/>
        </w:rPr>
        <w:t>总体</w:t>
      </w:r>
      <w:r>
        <w:rPr>
          <w:rFonts w:hint="eastAsia" w:ascii="仿宋_GB2312" w:hAnsi="仿宋_GB2312" w:eastAsia="仿宋_GB2312" w:cs="仿宋_GB2312"/>
          <w:color w:val="auto"/>
          <w:szCs w:val="32"/>
          <w:shd w:val="clear" w:color="auto" w:fill="FFFFFF"/>
          <w:lang w:val="en-US" w:eastAsia="zh-CN"/>
        </w:rPr>
        <w:t>原则、</w:t>
      </w:r>
      <w:r>
        <w:rPr>
          <w:rFonts w:hint="eastAsia" w:ascii="仿宋_GB2312" w:hAnsi="仿宋_GB2312" w:eastAsia="仿宋_GB2312" w:cs="仿宋_GB2312"/>
          <w:color w:val="auto"/>
          <w:szCs w:val="32"/>
          <w:shd w:val="clear" w:color="auto" w:fill="FFFFFF"/>
          <w:lang w:val="en-US" w:eastAsia="zh"/>
          <w:woUserID w:val="4"/>
        </w:rPr>
        <w:t>综合评估</w:t>
      </w:r>
      <w:r>
        <w:rPr>
          <w:rFonts w:hint="eastAsia" w:ascii="仿宋_GB2312" w:hAnsi="仿宋_GB2312" w:eastAsia="仿宋_GB2312" w:cs="仿宋_GB2312"/>
          <w:color w:val="auto"/>
          <w:szCs w:val="32"/>
          <w:shd w:val="clear" w:color="auto" w:fill="FFFFFF"/>
          <w:lang w:val="en-US" w:eastAsia="zh-CN"/>
        </w:rPr>
        <w:tab/>
      </w:r>
      <w:r>
        <w:rPr>
          <w:rFonts w:hint="eastAsia" w:ascii="仿宋_GB2312" w:hAnsi="仿宋_GB2312" w:eastAsia="仿宋_GB2312" w:cs="仿宋_GB2312"/>
          <w:color w:val="auto"/>
          <w:szCs w:val="32"/>
          <w:shd w:val="clear" w:color="auto" w:fill="FFFFFF"/>
          <w:lang w:val="en-US" w:eastAsia="zh-CN"/>
        </w:rPr>
        <w:t>、</w:t>
      </w:r>
      <w:r>
        <w:rPr>
          <w:rFonts w:hint="eastAsia" w:ascii="仿宋_GB2312" w:hAnsi="仿宋_GB2312" w:eastAsia="仿宋_GB2312" w:cs="仿宋_GB2312"/>
          <w:color w:val="auto"/>
          <w:szCs w:val="32"/>
          <w:shd w:val="clear" w:color="auto" w:fill="FFFFFF"/>
          <w:lang w:val="en-US" w:eastAsia="zh"/>
          <w:woUserID w:val="4"/>
        </w:rPr>
        <w:t>运动干预</w:t>
      </w:r>
      <w:r>
        <w:rPr>
          <w:rFonts w:hint="eastAsia" w:ascii="仿宋_GB2312" w:hAnsi="仿宋_GB2312" w:eastAsia="仿宋_GB2312" w:cs="仿宋_GB2312"/>
          <w:color w:val="auto"/>
          <w:szCs w:val="32"/>
          <w:shd w:val="clear" w:color="auto" w:fill="FFFFFF"/>
          <w:lang w:val="en-US" w:eastAsia="zh-CN"/>
        </w:rPr>
        <w:t>、</w:t>
      </w:r>
      <w:r>
        <w:rPr>
          <w:rFonts w:hint="eastAsia" w:ascii="仿宋_GB2312" w:hAnsi="仿宋_GB2312" w:eastAsia="仿宋_GB2312" w:cs="仿宋_GB2312"/>
          <w:color w:val="auto"/>
          <w:szCs w:val="32"/>
          <w:shd w:val="clear" w:color="auto" w:fill="FFFFFF"/>
          <w:lang w:val="en-US" w:eastAsia="zh"/>
          <w:woUserID w:val="4"/>
        </w:rPr>
        <w:t>营养干预</w:t>
      </w:r>
      <w:r>
        <w:rPr>
          <w:rFonts w:hint="eastAsia" w:ascii="仿宋_GB2312" w:hAnsi="仿宋_GB2312" w:eastAsia="仿宋_GB2312" w:cs="仿宋_GB2312"/>
          <w:color w:val="auto"/>
          <w:szCs w:val="32"/>
          <w:shd w:val="clear" w:color="auto" w:fill="FFFFFF"/>
          <w:lang w:val="en-US" w:eastAsia="zh-CN"/>
        </w:rPr>
        <w:t>、</w:t>
      </w:r>
      <w:r>
        <w:rPr>
          <w:rFonts w:hint="eastAsia" w:ascii="仿宋_GB2312" w:hAnsi="仿宋_GB2312" w:eastAsia="仿宋_GB2312" w:cs="仿宋_GB2312"/>
          <w:color w:val="auto"/>
          <w:szCs w:val="32"/>
          <w:shd w:val="clear" w:color="auto" w:fill="FFFFFF"/>
          <w:lang w:val="en-US" w:eastAsia="zh"/>
          <w:woUserID w:val="4"/>
        </w:rPr>
        <w:t>综合实施与管理</w:t>
      </w:r>
      <w:r>
        <w:rPr>
          <w:rFonts w:hint="eastAsia" w:ascii="仿宋_GB2312" w:hAnsi="仿宋_GB2312" w:eastAsia="仿宋_GB2312" w:cs="仿宋_GB2312"/>
          <w:color w:val="auto"/>
          <w:szCs w:val="32"/>
          <w:shd w:val="clear" w:color="auto" w:fill="FFFFFF"/>
          <w:lang w:val="en-US" w:eastAsia="zh-CN"/>
        </w:rPr>
        <w:t>等组成。以下重点说明指标体系总体架构、功能（指标）分类及分级、指标分级描述规范化的确定依据与过程。</w:t>
      </w:r>
    </w:p>
    <w:p w14:paraId="0812812E">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 xml:space="preserve">1 总体架构设计  </w:t>
      </w:r>
    </w:p>
    <w:p w14:paraId="1984DB82">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基于</w:t>
      </w:r>
      <w:r>
        <w:rPr>
          <w:rFonts w:hint="eastAsia" w:ascii="仿宋_GB2312" w:hAnsi="仿宋_GB2312" w:eastAsia="仿宋_GB2312" w:cs="仿宋_GB2312"/>
          <w:color w:val="auto"/>
          <w:szCs w:val="32"/>
          <w:shd w:val="clear" w:color="auto" w:fill="FFFFFF"/>
          <w:lang w:val="en-US" w:eastAsia="zh"/>
          <w:woUserID w:val="4"/>
        </w:rPr>
        <w:t>综合评估、运动干预、营养干预、综合实施与管理四</w:t>
      </w:r>
      <w:r>
        <w:rPr>
          <w:rFonts w:hint="eastAsia" w:ascii="仿宋_GB2312" w:hAnsi="仿宋_GB2312" w:eastAsia="仿宋_GB2312" w:cs="仿宋_GB2312"/>
          <w:color w:val="auto"/>
          <w:szCs w:val="32"/>
          <w:shd w:val="clear" w:color="auto" w:fill="FFFFFF"/>
          <w:lang w:val="en-US" w:eastAsia="zh-CN"/>
        </w:rPr>
        <w:t>个环节，构建一级技术模块；每</w:t>
      </w:r>
      <w:r>
        <w:rPr>
          <w:rFonts w:hint="eastAsia" w:ascii="仿宋_GB2312" w:hAnsi="仿宋_GB2312" w:eastAsia="仿宋_GB2312" w:cs="仿宋_GB2312"/>
          <w:color w:val="auto"/>
          <w:szCs w:val="32"/>
          <w:shd w:val="clear" w:color="auto" w:fill="FFFFFF"/>
          <w:lang w:val="en-US" w:eastAsia="zh"/>
          <w:woUserID w:val="4"/>
        </w:rPr>
        <w:t>个环节</w:t>
      </w:r>
      <w:r>
        <w:rPr>
          <w:rFonts w:hint="eastAsia" w:ascii="仿宋_GB2312" w:hAnsi="仿宋_GB2312" w:eastAsia="仿宋_GB2312" w:cs="仿宋_GB2312"/>
          <w:color w:val="auto"/>
          <w:szCs w:val="32"/>
          <w:shd w:val="clear" w:color="auto" w:fill="FFFFFF"/>
          <w:lang w:val="en-US" w:eastAsia="zh-CN"/>
        </w:rPr>
        <w:t>下设二级技术节点与三级技术内容，形成层次清晰、便于实施的标准体系。</w:t>
      </w:r>
    </w:p>
    <w:p w14:paraId="58FC7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_GB2312" w:hAnsi="仿宋_GB2312" w:eastAsia="仿宋_GB2312" w:cs="仿宋_GB2312"/>
          <w:color w:val="auto"/>
          <w:szCs w:val="32"/>
          <w:highlight w:val="none"/>
          <w:shd w:val="clear" w:color="auto" w:fill="FFFFFF"/>
          <w:lang w:val="en-US" w:eastAsia="zh-CN"/>
        </w:rPr>
      </w:pPr>
      <w:r>
        <w:rPr>
          <w:rFonts w:hint="eastAsia" w:ascii="仿宋_GB2312" w:hAnsi="仿宋_GB2312" w:eastAsia="仿宋_GB2312" w:cs="仿宋_GB2312"/>
          <w:color w:val="auto"/>
          <w:szCs w:val="32"/>
          <w:highlight w:val="none"/>
          <w:shd w:val="clear" w:color="auto" w:fill="FFFFFF"/>
          <w:lang w:val="en-US" w:eastAsia="zh-CN"/>
        </w:rPr>
        <w:t>病种选择依据</w:t>
      </w:r>
      <w:r>
        <w:rPr>
          <w:rFonts w:hint="eastAsia" w:ascii="仿宋_GB2312" w:hAnsi="仿宋_GB2312" w:eastAsia="仿宋_GB2312" w:cs="仿宋_GB2312"/>
          <w:color w:val="auto"/>
          <w:szCs w:val="32"/>
          <w:highlight w:val="none"/>
          <w:shd w:val="clear" w:color="auto" w:fill="FFFFFF"/>
          <w:lang w:val="en-US" w:eastAsia="zh"/>
          <w:woUserID w:val="1"/>
        </w:rPr>
        <w:t xml:space="preserve"> </w:t>
      </w:r>
    </w:p>
    <w:p w14:paraId="71C78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_GB2312" w:hAnsi="仿宋_GB2312" w:eastAsia="仿宋_GB2312" w:cs="仿宋_GB2312"/>
          <w:color w:val="auto"/>
          <w:szCs w:val="32"/>
          <w:highlight w:val="none"/>
          <w:shd w:val="clear" w:color="auto" w:fill="FFFFFF"/>
          <w:lang w:val="en-US" w:eastAsia="zh-CN"/>
        </w:rPr>
      </w:pPr>
      <w:r>
        <w:rPr>
          <w:rFonts w:hint="default" w:ascii="仿宋_GB2312" w:hAnsi="仿宋_GB2312" w:eastAsia="仿宋_GB2312" w:cs="仿宋_GB2312"/>
          <w:color w:val="auto"/>
          <w:szCs w:val="32"/>
          <w:highlight w:val="none"/>
          <w:shd w:val="clear" w:color="auto" w:fill="FFFFFF"/>
          <w:lang w:val="en-US" w:eastAsia="zh-CN"/>
          <w:woUserID w:val="3"/>
        </w:rPr>
        <w:t>选取</w:t>
      </w:r>
      <w:r>
        <w:rPr>
          <w:rFonts w:hint="eastAsia" w:ascii="仿宋_GB2312" w:hAnsi="仿宋_GB2312" w:eastAsia="仿宋_GB2312" w:cs="仿宋_GB2312"/>
          <w:color w:val="auto"/>
          <w:szCs w:val="32"/>
          <w:highlight w:val="none"/>
          <w:shd w:val="clear" w:color="auto" w:fill="FFFFFF"/>
          <w:lang w:val="en-US" w:eastAsia="zh"/>
          <w:woUserID w:val="4"/>
        </w:rPr>
        <w:t>肌少症、骨质疏松症</w:t>
      </w:r>
      <w:r>
        <w:rPr>
          <w:rFonts w:hint="default" w:ascii="仿宋_GB2312" w:hAnsi="仿宋_GB2312" w:eastAsia="仿宋_GB2312" w:cs="仿宋_GB2312"/>
          <w:color w:val="auto"/>
          <w:szCs w:val="32"/>
          <w:highlight w:val="none"/>
          <w:shd w:val="clear" w:color="auto" w:fill="FFFFFF"/>
          <w:lang w:val="en-US" w:eastAsia="zh-CN"/>
          <w:woUserID w:val="3"/>
        </w:rPr>
        <w:t>作为核心研究对象。该病种</w:t>
      </w:r>
      <w:r>
        <w:rPr>
          <w:rFonts w:hint="eastAsia" w:ascii="仿宋_GB2312" w:hAnsi="仿宋_GB2312" w:eastAsia="仿宋_GB2312" w:cs="仿宋_GB2312"/>
          <w:color w:val="auto"/>
          <w:szCs w:val="32"/>
          <w:highlight w:val="none"/>
          <w:shd w:val="clear" w:color="auto" w:fill="FFFFFF"/>
          <w:lang w:val="en-US" w:eastAsia="zh"/>
          <w:woUserID w:val="3"/>
        </w:rPr>
        <w:t>具有</w:t>
      </w:r>
      <w:r>
        <w:rPr>
          <w:rFonts w:hint="default" w:ascii="仿宋_GB2312" w:hAnsi="仿宋_GB2312" w:eastAsia="仿宋_GB2312" w:cs="仿宋_GB2312"/>
          <w:color w:val="auto"/>
          <w:szCs w:val="32"/>
          <w:highlight w:val="none"/>
          <w:shd w:val="clear" w:color="auto" w:fill="FFFFFF"/>
          <w:lang w:val="en-US" w:eastAsia="zh-CN"/>
          <w:woUserID w:val="3"/>
        </w:rPr>
        <w:t>高患病率、高致残率、高疾病负担的“三高”特征，是我国老龄化进程中亟待解决的重大公共卫生挑战。</w:t>
      </w:r>
    </w:p>
    <w:p w14:paraId="7EE3195D">
      <w:pPr>
        <w:keepNext w:val="0"/>
        <w:keepLines w:val="0"/>
        <w:pageBreakBefore w:val="0"/>
        <w:numPr>
          <w:ilvl w:val="0"/>
          <w:numId w:val="0"/>
        </w:numPr>
        <w:kinsoku/>
        <w:wordWrap/>
        <w:overflowPunct/>
        <w:topLinePunct w:val="0"/>
        <w:autoSpaceDE/>
        <w:autoSpaceDN/>
        <w:bidi w:val="0"/>
        <w:adjustRightInd/>
        <w:snapToGrid/>
        <w:spacing w:line="660" w:lineRule="exact"/>
        <w:ind w:leftChars="200"/>
        <w:textAlignment w:val="auto"/>
        <w:rPr>
          <w:rFonts w:hint="default"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1.2</w:t>
      </w:r>
      <w:r>
        <w:rPr>
          <w:rFonts w:hint="default" w:ascii="仿宋_GB2312" w:hAnsi="仿宋_GB2312" w:eastAsia="仿宋_GB2312" w:cs="仿宋_GB2312"/>
          <w:color w:val="auto"/>
          <w:szCs w:val="32"/>
          <w:shd w:val="clear" w:color="auto" w:fill="FFFFFF"/>
          <w:lang w:val="en-US" w:eastAsia="zh-CN"/>
        </w:rPr>
        <w:t>技术分级依据</w:t>
      </w:r>
    </w:p>
    <w:p w14:paraId="7925A520">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 xml:space="preserve">1.2 服务技术设计  </w:t>
      </w:r>
    </w:p>
    <w:p w14:paraId="11584C4C">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 xml:space="preserve">1.2.1 服务技术分级架构  </w:t>
      </w:r>
    </w:p>
    <w:p w14:paraId="24AE40B6">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 xml:space="preserve">参照国家卫生健康委已发布的医院、基层、公共卫生信息化建设标准中“系统-功能域-功能模块-功能元”的四级结构，结合“指标-维度-条目”的表达习惯，本标准将服务技术划分为三级：  </w:t>
      </w:r>
    </w:p>
    <w:p w14:paraId="4FC0A256">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一级技术：覆盖服务全流程；</w:t>
      </w:r>
    </w:p>
    <w:p w14:paraId="4DE39349">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二级技术：体现各环节核心服务内容；</w:t>
      </w:r>
    </w:p>
    <w:p w14:paraId="5C4A72EF">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三级技术：具体、可操作的技术条目，均基于循证医学证据与专家共识确定。</w:t>
      </w:r>
    </w:p>
    <w:p w14:paraId="25BA9EE6">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 xml:space="preserve">1.3 服务技术设计   </w:t>
      </w:r>
    </w:p>
    <w:p w14:paraId="0E0CD839">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highlight w:val="none"/>
          <w:shd w:val="clear" w:color="auto" w:fill="FFFFFF"/>
          <w:lang w:val="en-US" w:eastAsia="zh-CN"/>
        </w:rPr>
      </w:pPr>
      <w:r>
        <w:rPr>
          <w:rFonts w:hint="eastAsia" w:ascii="仿宋_GB2312" w:hAnsi="仿宋_GB2312" w:eastAsia="仿宋_GB2312" w:cs="仿宋_GB2312"/>
          <w:color w:val="auto"/>
          <w:szCs w:val="32"/>
          <w:highlight w:val="none"/>
          <w:shd w:val="clear" w:color="auto" w:fill="FFFFFF"/>
          <w:lang w:val="en-US" w:eastAsia="zh-CN"/>
        </w:rPr>
        <w:t>服务技术的设计遵循以下原则：</w:t>
      </w:r>
    </w:p>
    <w:p w14:paraId="4FA5EAA2">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woUserID w:val="3"/>
        </w:rPr>
      </w:pPr>
      <w:r>
        <w:rPr>
          <w:rFonts w:hint="eastAsia" w:ascii="仿宋_GB2312" w:hAnsi="仿宋_GB2312" w:eastAsia="仿宋_GB2312" w:cs="仿宋_GB2312"/>
          <w:color w:val="auto"/>
          <w:szCs w:val="32"/>
          <w:shd w:val="clear" w:color="auto" w:fill="FFFFFF"/>
          <w:lang w:val="en-US" w:eastAsia="zh-CN"/>
        </w:rPr>
        <w:t>（1）</w:t>
      </w:r>
      <w:r>
        <w:rPr>
          <w:rFonts w:hint="eastAsia" w:ascii="仿宋_GB2312" w:hAnsi="仿宋_GB2312" w:eastAsia="仿宋_GB2312" w:cs="仿宋_GB2312"/>
          <w:color w:val="auto"/>
          <w:szCs w:val="32"/>
          <w:shd w:val="clear" w:color="auto" w:fill="FFFFFF"/>
          <w:lang w:val="en-US" w:eastAsia="zh-CN"/>
          <w:woUserID w:val="3"/>
        </w:rPr>
        <w:t>综合评估与整体促进</w:t>
      </w:r>
    </w:p>
    <w:p w14:paraId="4B9CF85A">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woUserID w:val="3"/>
        </w:rPr>
      </w:pPr>
      <w:r>
        <w:rPr>
          <w:rFonts w:hint="eastAsia" w:ascii="仿宋_GB2312" w:hAnsi="仿宋_GB2312" w:eastAsia="仿宋_GB2312" w:cs="仿宋_GB2312"/>
          <w:color w:val="auto"/>
          <w:szCs w:val="32"/>
          <w:shd w:val="clear" w:color="auto" w:fill="FFFFFF"/>
          <w:lang w:val="en-US" w:eastAsia="zh-CN"/>
          <w:woUserID w:val="3"/>
        </w:rPr>
        <w:t>老年人肌骨健康受衰老过程、基础疾病、营养摄入、身体活动、心理状态和照护条件等多种因素共同影响，干预宜以整体健康和功能维护为导向，建立在综合评估基础之上。</w:t>
      </w:r>
    </w:p>
    <w:p w14:paraId="62DBCDEB">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woUserID w:val="3"/>
        </w:rPr>
      </w:pPr>
      <w:r>
        <w:rPr>
          <w:rFonts w:hint="eastAsia" w:ascii="仿宋_GB2312" w:hAnsi="仿宋_GB2312" w:eastAsia="仿宋_GB2312" w:cs="仿宋_GB2312"/>
          <w:color w:val="auto"/>
          <w:szCs w:val="32"/>
          <w:shd w:val="clear" w:color="auto" w:fill="FFFFFF"/>
          <w:lang w:val="en-US" w:eastAsia="zh-CN"/>
        </w:rPr>
        <w:t>（2）</w:t>
      </w:r>
      <w:r>
        <w:rPr>
          <w:rFonts w:hint="eastAsia" w:ascii="仿宋_GB2312" w:hAnsi="仿宋_GB2312" w:eastAsia="仿宋_GB2312" w:cs="仿宋_GB2312"/>
          <w:color w:val="auto"/>
          <w:szCs w:val="32"/>
          <w:shd w:val="clear" w:color="auto" w:fill="FFFFFF"/>
          <w:lang w:val="en-US" w:eastAsia="zh-CN"/>
          <w:woUserID w:val="3"/>
        </w:rPr>
        <w:t>分层分类与个体化干预</w:t>
      </w:r>
    </w:p>
    <w:p w14:paraId="78E4A283">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woUserID w:val="3"/>
        </w:rPr>
      </w:pPr>
      <w:r>
        <w:rPr>
          <w:rFonts w:hint="eastAsia" w:ascii="仿宋_GB2312" w:hAnsi="仿宋_GB2312" w:eastAsia="仿宋_GB2312" w:cs="仿宋_GB2312"/>
          <w:color w:val="auto"/>
          <w:szCs w:val="32"/>
          <w:shd w:val="clear" w:color="auto" w:fill="FFFFFF"/>
          <w:lang w:val="en-US" w:eastAsia="zh-CN"/>
          <w:woUserID w:val="3"/>
        </w:rPr>
        <w:t>不同老年人在风险程度、问题类型、功能储备和资源条件等方面存在差异，干预宜根据风险分层结果和现实条件分类施策，体现个体化、差异化和场景适配性。</w:t>
      </w:r>
    </w:p>
    <w:p w14:paraId="570A9E9D">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woUserID w:val="3"/>
        </w:rPr>
      </w:pPr>
      <w:r>
        <w:rPr>
          <w:rFonts w:hint="eastAsia" w:ascii="仿宋_GB2312" w:hAnsi="仿宋_GB2312" w:eastAsia="仿宋_GB2312" w:cs="仿宋_GB2312"/>
          <w:color w:val="auto"/>
          <w:szCs w:val="32"/>
          <w:shd w:val="clear" w:color="auto" w:fill="FFFFFF"/>
          <w:lang w:val="en-US" w:eastAsia="zh-CN"/>
        </w:rPr>
        <w:t>（3）</w:t>
      </w:r>
      <w:r>
        <w:rPr>
          <w:rFonts w:hint="eastAsia" w:ascii="仿宋_GB2312" w:hAnsi="仿宋_GB2312" w:eastAsia="仿宋_GB2312" w:cs="仿宋_GB2312"/>
          <w:color w:val="auto"/>
          <w:szCs w:val="32"/>
          <w:shd w:val="clear" w:color="auto" w:fill="FFFFFF"/>
          <w:lang w:val="en-US" w:eastAsia="zh-CN"/>
          <w:woUserID w:val="3"/>
        </w:rPr>
        <w:t>营养与运动协同</w:t>
      </w:r>
    </w:p>
    <w:p w14:paraId="679A8EFE">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woUserID w:val="3"/>
        </w:rPr>
      </w:pPr>
      <w:r>
        <w:rPr>
          <w:rFonts w:hint="eastAsia" w:ascii="仿宋_GB2312" w:hAnsi="仿宋_GB2312" w:eastAsia="仿宋_GB2312" w:cs="仿宋_GB2312"/>
          <w:color w:val="auto"/>
          <w:szCs w:val="32"/>
          <w:shd w:val="clear" w:color="auto" w:fill="FFFFFF"/>
          <w:lang w:val="en-US" w:eastAsia="zh-CN"/>
          <w:woUserID w:val="3"/>
        </w:rPr>
        <w:t>营养支持和科学运动是维护老年人肌骨健康的核心措施，宜统筹设计、协同实施，并与健康教育、行为支持和照护配合相结合。</w:t>
      </w:r>
    </w:p>
    <w:p w14:paraId="0FBAF80F">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woUserID w:val="3"/>
        </w:rPr>
      </w:pPr>
      <w:r>
        <w:rPr>
          <w:rFonts w:hint="eastAsia" w:ascii="仿宋_GB2312" w:hAnsi="仿宋_GB2312" w:eastAsia="仿宋_GB2312" w:cs="仿宋_GB2312"/>
          <w:color w:val="auto"/>
          <w:szCs w:val="32"/>
          <w:shd w:val="clear" w:color="auto" w:fill="FFFFFF"/>
          <w:lang w:val="en-US" w:eastAsia="zh-CN"/>
        </w:rPr>
        <w:t>（4）</w:t>
      </w:r>
      <w:r>
        <w:rPr>
          <w:rFonts w:hint="eastAsia" w:ascii="仿宋_GB2312" w:hAnsi="仿宋_GB2312" w:eastAsia="仿宋_GB2312" w:cs="仿宋_GB2312"/>
          <w:color w:val="auto"/>
          <w:szCs w:val="32"/>
          <w:shd w:val="clear" w:color="auto" w:fill="FFFFFF"/>
          <w:lang w:val="en-US" w:eastAsia="zh-CN"/>
          <w:woUserID w:val="3"/>
        </w:rPr>
        <w:t>安全优先与循序渐进</w:t>
      </w:r>
    </w:p>
    <w:p w14:paraId="01F0828A">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woUserID w:val="3"/>
        </w:rPr>
      </w:pPr>
      <w:r>
        <w:rPr>
          <w:rFonts w:hint="eastAsia" w:ascii="仿宋_GB2312" w:hAnsi="仿宋_GB2312" w:eastAsia="仿宋_GB2312" w:cs="仿宋_GB2312"/>
          <w:color w:val="auto"/>
          <w:szCs w:val="32"/>
          <w:shd w:val="clear" w:color="auto" w:fill="FFFFFF"/>
          <w:lang w:val="en-US" w:eastAsia="zh-CN"/>
          <w:woUserID w:val="3"/>
        </w:rPr>
        <w:t>干预实施宜以安全为前提，充分考虑基础疾病、禁忌症、疼痛状况、跌倒风险、药物使用和不良反应，合理安排干预内容、推进节奏和监测方式。</w:t>
      </w:r>
    </w:p>
    <w:p w14:paraId="3AC8B87F">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woUserID w:val="3"/>
        </w:rPr>
      </w:pPr>
      <w:r>
        <w:rPr>
          <w:rFonts w:hint="eastAsia" w:ascii="仿宋_GB2312" w:hAnsi="仿宋_GB2312" w:eastAsia="仿宋_GB2312" w:cs="仿宋_GB2312"/>
          <w:color w:val="auto"/>
          <w:szCs w:val="32"/>
          <w:shd w:val="clear" w:color="auto" w:fill="FFFFFF"/>
          <w:lang w:val="en-US" w:eastAsia="zh-CN"/>
          <w:woUserID w:val="3"/>
        </w:rPr>
        <w:t>（</w:t>
      </w:r>
      <w:r>
        <w:rPr>
          <w:rFonts w:hint="eastAsia" w:ascii="仿宋_GB2312" w:hAnsi="仿宋_GB2312" w:eastAsia="仿宋_GB2312" w:cs="仿宋_GB2312"/>
          <w:color w:val="auto"/>
          <w:szCs w:val="32"/>
          <w:shd w:val="clear" w:color="auto" w:fill="FFFFFF"/>
          <w:lang w:val="en-US" w:eastAsia="zh"/>
          <w:woUserID w:val="3"/>
        </w:rPr>
        <w:t>5</w:t>
      </w:r>
      <w:r>
        <w:rPr>
          <w:rFonts w:hint="eastAsia" w:ascii="仿宋_GB2312" w:hAnsi="仿宋_GB2312" w:eastAsia="仿宋_GB2312" w:cs="仿宋_GB2312"/>
          <w:color w:val="auto"/>
          <w:szCs w:val="32"/>
          <w:shd w:val="clear" w:color="auto" w:fill="FFFFFF"/>
          <w:lang w:val="en-US" w:eastAsia="zh-CN"/>
          <w:woUserID w:val="3"/>
        </w:rPr>
        <w:t>）长期管理与多方协作原则</w:t>
      </w:r>
    </w:p>
    <w:p w14:paraId="0EAFEC55">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woUserID w:val="3"/>
        </w:rPr>
      </w:pPr>
      <w:r>
        <w:rPr>
          <w:rFonts w:hint="eastAsia" w:ascii="仿宋_GB2312" w:hAnsi="仿宋_GB2312" w:eastAsia="仿宋_GB2312" w:cs="仿宋_GB2312"/>
          <w:color w:val="auto"/>
          <w:szCs w:val="32"/>
          <w:shd w:val="clear" w:color="auto" w:fill="FFFFFF"/>
          <w:lang w:val="en-US" w:eastAsia="zh-CN"/>
          <w:woUserID w:val="3"/>
        </w:rPr>
        <w:t>老年人肌骨健康改善通常需要持续推进，宜通过随访复评、方案调整、家庭支持形成连续管理机制，实施过程中宜加强医护、营养、康复、运动指导及照护等多方协作，形成职责清晰、转介顺畅、信息共享的工作机制，提高干预的可执行性和长期效果。</w:t>
      </w:r>
    </w:p>
    <w:p w14:paraId="3A2770CC">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highlight w:val="none"/>
          <w:shd w:val="clear" w:color="auto" w:fill="FFFFFF"/>
          <w:lang w:val="en-US" w:eastAsia="zh-CN"/>
        </w:rPr>
      </w:pPr>
      <w:r>
        <w:rPr>
          <w:rFonts w:hint="eastAsia" w:ascii="仿宋_GB2312" w:hAnsi="仿宋_GB2312" w:eastAsia="仿宋_GB2312" w:cs="仿宋_GB2312"/>
          <w:color w:val="auto"/>
          <w:szCs w:val="32"/>
          <w:highlight w:val="none"/>
          <w:shd w:val="clear" w:color="auto" w:fill="FFFFFF"/>
          <w:lang w:val="en-US" w:eastAsia="zh-CN"/>
        </w:rPr>
        <w:t xml:space="preserve">2 </w:t>
      </w:r>
      <w:r>
        <w:rPr>
          <w:rFonts w:hint="eastAsia" w:ascii="仿宋_GB2312" w:hAnsi="仿宋_GB2312" w:eastAsia="仿宋_GB2312" w:cs="仿宋_GB2312"/>
          <w:color w:val="auto"/>
          <w:szCs w:val="32"/>
          <w:highlight w:val="none"/>
          <w:shd w:val="clear" w:color="auto" w:fill="FFFFFF"/>
          <w:lang w:val="en-US" w:eastAsia="zh"/>
          <w:woUserID w:val="4"/>
        </w:rPr>
        <w:t>老年人肌骨健康综合干预</w:t>
      </w:r>
      <w:r>
        <w:rPr>
          <w:rFonts w:hint="eastAsia" w:ascii="仿宋_GB2312" w:hAnsi="仿宋_GB2312" w:eastAsia="仿宋_GB2312" w:cs="仿宋_GB2312"/>
          <w:color w:val="auto"/>
          <w:szCs w:val="32"/>
          <w:highlight w:val="none"/>
          <w:shd w:val="clear" w:color="auto" w:fill="FFFFFF"/>
          <w:lang w:val="en-US" w:eastAsia="zh-CN"/>
          <w:woUserID w:val="3"/>
        </w:rPr>
        <w:t>指南</w:t>
      </w:r>
      <w:r>
        <w:rPr>
          <w:rFonts w:hint="eastAsia" w:ascii="仿宋_GB2312" w:hAnsi="仿宋_GB2312" w:eastAsia="仿宋_GB2312" w:cs="仿宋_GB2312"/>
          <w:color w:val="auto"/>
          <w:szCs w:val="32"/>
          <w:highlight w:val="none"/>
          <w:shd w:val="clear" w:color="auto" w:fill="FFFFFF"/>
          <w:lang w:val="en-US" w:eastAsia="zh-CN"/>
        </w:rPr>
        <w:t xml:space="preserve">编制  </w:t>
      </w:r>
    </w:p>
    <w:p w14:paraId="5B473928">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highlight w:val="none"/>
          <w:shd w:val="clear" w:color="auto" w:fill="FFFFFF"/>
          <w:lang w:val="en-US" w:eastAsia="zh-CN"/>
        </w:rPr>
      </w:pPr>
      <w:r>
        <w:rPr>
          <w:rFonts w:hint="eastAsia" w:ascii="仿宋_GB2312" w:hAnsi="仿宋_GB2312" w:eastAsia="仿宋_GB2312" w:cs="仿宋_GB2312"/>
          <w:color w:val="auto"/>
          <w:szCs w:val="32"/>
          <w:highlight w:val="none"/>
          <w:shd w:val="clear" w:color="auto" w:fill="FFFFFF"/>
          <w:lang w:val="en-US" w:eastAsia="zh-CN"/>
        </w:rPr>
        <w:t xml:space="preserve">2.1 描述  </w:t>
      </w:r>
    </w:p>
    <w:p w14:paraId="1DB4DA18">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highlight w:val="none"/>
          <w:shd w:val="clear" w:color="auto" w:fill="FFFFFF"/>
          <w:lang w:val="en-US" w:eastAsia="zh-CN"/>
          <w:woUserID w:val="3"/>
        </w:rPr>
        <w:t>老年人肌骨健康综合干预指南</w:t>
      </w:r>
      <w:r>
        <w:rPr>
          <w:rFonts w:hint="eastAsia" w:ascii="仿宋_GB2312" w:hAnsi="仿宋_GB2312" w:eastAsia="仿宋_GB2312" w:cs="仿宋_GB2312"/>
          <w:color w:val="auto"/>
          <w:szCs w:val="32"/>
          <w:highlight w:val="none"/>
          <w:shd w:val="clear" w:color="auto" w:fill="FFFFFF"/>
          <w:lang w:val="en-US" w:eastAsia="zh-CN"/>
        </w:rPr>
        <w:t>旨在构建一套系统化、结构化、可操作性强的技术实施框架，以支撑</w:t>
      </w:r>
      <w:r>
        <w:rPr>
          <w:rFonts w:hint="eastAsia" w:ascii="仿宋_GB2312" w:hAnsi="仿宋_GB2312" w:eastAsia="仿宋_GB2312" w:cs="仿宋_GB2312"/>
          <w:color w:val="auto"/>
          <w:szCs w:val="32"/>
          <w:shd w:val="clear" w:color="auto" w:fill="FFFFFF"/>
          <w:lang w:val="en-US" w:eastAsia="zh"/>
          <w:woUserID w:val="3"/>
        </w:rPr>
        <w:t>肌骨疾病</w:t>
      </w:r>
      <w:r>
        <w:rPr>
          <w:rFonts w:hint="eastAsia" w:ascii="仿宋_GB2312" w:hAnsi="仿宋_GB2312" w:eastAsia="仿宋_GB2312" w:cs="仿宋_GB2312"/>
          <w:color w:val="auto"/>
          <w:szCs w:val="32"/>
          <w:shd w:val="clear" w:color="auto" w:fill="FFFFFF"/>
          <w:lang w:val="en-US" w:eastAsia="zh-CN"/>
        </w:rPr>
        <w:t>“</w:t>
      </w:r>
      <w:r>
        <w:rPr>
          <w:rFonts w:hint="eastAsia" w:ascii="仿宋_GB2312" w:hAnsi="仿宋_GB2312" w:eastAsia="仿宋_GB2312" w:cs="仿宋_GB2312"/>
          <w:color w:val="auto"/>
          <w:szCs w:val="32"/>
          <w:shd w:val="clear" w:color="auto" w:fill="FFFFFF"/>
          <w:lang w:val="en-US" w:eastAsia="zh-CN"/>
          <w:woUserID w:val="2"/>
        </w:rPr>
        <w:t>评估—分层—干预—管理</w:t>
      </w:r>
      <w:r>
        <w:rPr>
          <w:rFonts w:hint="eastAsia" w:ascii="仿宋_GB2312" w:hAnsi="仿宋_GB2312" w:eastAsia="仿宋_GB2312" w:cs="仿宋_GB2312"/>
          <w:color w:val="auto"/>
          <w:szCs w:val="32"/>
          <w:shd w:val="clear" w:color="auto" w:fill="FFFFFF"/>
          <w:lang w:val="en-US" w:eastAsia="zh-CN"/>
        </w:rPr>
        <w:t>”全链条服务的规范开展。本规范通过将服务技术划分为一级、二级、三级，明确各层级技术的功能定位、内容构成与衔接关系，旨在为</w:t>
      </w:r>
      <w:r>
        <w:rPr>
          <w:rFonts w:hint="eastAsia" w:ascii="仿宋_GB2312" w:hAnsi="仿宋_GB2312" w:eastAsia="仿宋_GB2312" w:cs="仿宋_GB2312"/>
          <w:color w:val="auto"/>
          <w:szCs w:val="32"/>
          <w:shd w:val="clear" w:color="auto" w:fill="FFFFFF"/>
          <w:lang w:val="en-US" w:eastAsia="zh-CN"/>
          <w:woUserID w:val="3"/>
        </w:rPr>
        <w:t>基层医疗卫生机构、社区照护机构</w:t>
      </w:r>
      <w:r>
        <w:rPr>
          <w:rFonts w:hint="eastAsia" w:ascii="仿宋_GB2312" w:hAnsi="仿宋_GB2312" w:eastAsia="仿宋_GB2312" w:cs="仿宋_GB2312"/>
          <w:color w:val="auto"/>
          <w:szCs w:val="32"/>
          <w:shd w:val="clear" w:color="auto" w:fill="FFFFFF"/>
          <w:lang w:val="en-US" w:eastAsia="zh"/>
          <w:woUserID w:val="3"/>
        </w:rPr>
        <w:t>等</w:t>
      </w:r>
      <w:r>
        <w:rPr>
          <w:rFonts w:hint="eastAsia" w:ascii="仿宋_GB2312" w:hAnsi="仿宋_GB2312" w:eastAsia="仿宋_GB2312" w:cs="仿宋_GB2312"/>
          <w:color w:val="auto"/>
          <w:szCs w:val="32"/>
          <w:shd w:val="clear" w:color="auto" w:fill="FFFFFF"/>
          <w:lang w:val="en-US" w:eastAsia="zh-CN"/>
        </w:rPr>
        <w:t>提供清晰的技术实施路径与质量评价依据，推动</w:t>
      </w:r>
      <w:r>
        <w:rPr>
          <w:rFonts w:hint="eastAsia" w:ascii="仿宋_GB2312" w:hAnsi="仿宋_GB2312" w:eastAsia="仿宋_GB2312" w:cs="仿宋_GB2312"/>
          <w:color w:val="auto"/>
          <w:szCs w:val="32"/>
          <w:shd w:val="clear" w:color="auto" w:fill="FFFFFF"/>
          <w:lang w:val="en-US" w:eastAsia="zh"/>
          <w:woUserID w:val="3"/>
        </w:rPr>
        <w:t>肌骨疾病</w:t>
      </w:r>
      <w:r>
        <w:rPr>
          <w:rFonts w:hint="eastAsia" w:ascii="仿宋_GB2312" w:hAnsi="仿宋_GB2312" w:eastAsia="仿宋_GB2312" w:cs="仿宋_GB2312"/>
          <w:color w:val="auto"/>
          <w:szCs w:val="32"/>
          <w:shd w:val="clear" w:color="auto" w:fill="FFFFFF"/>
          <w:lang w:val="en-US" w:eastAsia="zh-CN"/>
        </w:rPr>
        <w:t xml:space="preserve">防治服务的标准化、同质化与连续性。 </w:t>
      </w:r>
    </w:p>
    <w:p w14:paraId="4C189DDA">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 xml:space="preserve">2.2 指标分类  </w:t>
      </w:r>
    </w:p>
    <w:p w14:paraId="313814E6">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2.2.1 一级技术</w:t>
      </w:r>
    </w:p>
    <w:p w14:paraId="0AEA072A">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highlight w:val="none"/>
          <w:shd w:val="clear" w:color="auto" w:fill="FFFFFF"/>
          <w:lang w:val="en-US" w:eastAsia="zh-CN"/>
        </w:rPr>
        <w:t>依据</w:t>
      </w:r>
      <w:r>
        <w:rPr>
          <w:rFonts w:hint="eastAsia" w:ascii="仿宋_GB2312" w:hAnsi="仿宋_GB2312" w:eastAsia="仿宋_GB2312" w:cs="仿宋_GB2312"/>
          <w:color w:val="auto"/>
          <w:szCs w:val="32"/>
          <w:highlight w:val="none"/>
          <w:shd w:val="clear" w:color="auto" w:fill="FFFFFF"/>
          <w:lang w:val="en-US" w:eastAsia="zh"/>
          <w:woUserID w:val="3"/>
        </w:rPr>
        <w:t>肌骨疾病</w:t>
      </w:r>
      <w:r>
        <w:rPr>
          <w:rFonts w:hint="eastAsia" w:ascii="仿宋_GB2312" w:hAnsi="仿宋_GB2312" w:eastAsia="仿宋_GB2312" w:cs="仿宋_GB2312"/>
          <w:color w:val="auto"/>
          <w:szCs w:val="32"/>
          <w:highlight w:val="none"/>
          <w:shd w:val="clear" w:color="auto" w:fill="FFFFFF"/>
          <w:lang w:val="en-US" w:eastAsia="zh-CN"/>
        </w:rPr>
        <w:t>全生命周期健康管理的内在逻辑与服务流程，设置</w:t>
      </w:r>
      <w:r>
        <w:rPr>
          <w:rFonts w:hint="eastAsia" w:ascii="仿宋_GB2312" w:hAnsi="仿宋_GB2312" w:eastAsia="仿宋_GB2312" w:cs="仿宋_GB2312"/>
          <w:color w:val="auto"/>
          <w:szCs w:val="32"/>
          <w:highlight w:val="none"/>
          <w:shd w:val="clear" w:color="auto" w:fill="FFFFFF"/>
          <w:lang w:val="en-US" w:eastAsia="zh"/>
          <w:woUserID w:val="3"/>
        </w:rPr>
        <w:t>4</w:t>
      </w:r>
      <w:r>
        <w:rPr>
          <w:rFonts w:hint="eastAsia"/>
          <w:highlight w:val="none"/>
          <w:lang w:val="en-US" w:eastAsia="zh-CN"/>
        </w:rPr>
        <w:t>个一级技术模块，包括</w:t>
      </w:r>
      <w:r>
        <w:rPr>
          <w:rFonts w:hint="eastAsia"/>
          <w:highlight w:val="none"/>
          <w:lang w:val="en-US" w:eastAsia="zh"/>
        </w:rPr>
        <w:t>综合评估</w:t>
      </w:r>
      <w:r>
        <w:rPr>
          <w:rFonts w:hint="eastAsia"/>
          <w:highlight w:val="none"/>
          <w:lang w:val="en-US" w:eastAsia="zh-CN"/>
        </w:rPr>
        <w:t>、</w:t>
      </w:r>
      <w:r>
        <w:rPr>
          <w:rFonts w:hint="eastAsia"/>
          <w:highlight w:val="none"/>
          <w:lang w:val="en-US" w:eastAsia="zh"/>
        </w:rPr>
        <w:t>运动干预</w:t>
      </w:r>
      <w:r>
        <w:rPr>
          <w:rFonts w:hint="eastAsia"/>
          <w:highlight w:val="none"/>
          <w:lang w:val="en-US" w:eastAsia="zh-CN"/>
        </w:rPr>
        <w:t>、</w:t>
      </w:r>
      <w:r>
        <w:rPr>
          <w:rFonts w:hint="eastAsia"/>
          <w:highlight w:val="none"/>
          <w:lang w:val="en-US" w:eastAsia="zh"/>
        </w:rPr>
        <w:t>营养干预</w:t>
      </w:r>
      <w:r>
        <w:rPr>
          <w:rFonts w:hint="eastAsia"/>
          <w:highlight w:val="none"/>
          <w:lang w:val="en-US" w:eastAsia="zh"/>
          <w:woUserID w:val="3"/>
        </w:rPr>
        <w:t>和</w:t>
      </w:r>
      <w:r>
        <w:rPr>
          <w:rFonts w:hint="eastAsia"/>
          <w:highlight w:val="none"/>
          <w:lang w:val="en-US" w:eastAsia="zh"/>
        </w:rPr>
        <w:t>综合实施与管理</w:t>
      </w:r>
      <w:r>
        <w:rPr>
          <w:rFonts w:hint="eastAsia"/>
          <w:highlight w:val="none"/>
          <w:lang w:val="en-US" w:eastAsia="zh-CN"/>
        </w:rPr>
        <w:t>。</w:t>
      </w:r>
      <w:r>
        <w:rPr>
          <w:rFonts w:hint="eastAsia" w:ascii="仿宋_GB2312" w:hAnsi="仿宋_GB2312" w:eastAsia="仿宋_GB2312" w:cs="仿宋_GB2312"/>
          <w:color w:val="auto"/>
          <w:szCs w:val="32"/>
          <w:highlight w:val="none"/>
          <w:shd w:val="clear" w:color="auto" w:fill="FFFFFF"/>
          <w:lang w:val="en-US" w:eastAsia="zh-CN"/>
        </w:rPr>
        <w:t>覆盖了从健康人群、高危人群到现患患者及康复期患者的完整服</w:t>
      </w:r>
      <w:r>
        <w:rPr>
          <w:rFonts w:hint="eastAsia" w:ascii="仿宋_GB2312" w:hAnsi="仿宋_GB2312" w:eastAsia="仿宋_GB2312" w:cs="仿宋_GB2312"/>
          <w:color w:val="auto"/>
          <w:szCs w:val="32"/>
          <w:shd w:val="clear" w:color="auto" w:fill="FFFFFF"/>
          <w:lang w:val="en-US" w:eastAsia="zh-CN"/>
        </w:rPr>
        <w:t>务周期。</w:t>
      </w:r>
    </w:p>
    <w:p w14:paraId="5186D5B9">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2.2.2 二级技术</w:t>
      </w:r>
    </w:p>
    <w:p w14:paraId="3C6229D7">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woUserID w:val="2"/>
        </w:rPr>
        <w:t>在一级技术模块下，共细化设置2</w:t>
      </w:r>
      <w:r>
        <w:rPr>
          <w:rFonts w:hint="eastAsia" w:ascii="仿宋_GB2312" w:hAnsi="仿宋_GB2312" w:eastAsia="仿宋_GB2312" w:cs="仿宋_GB2312"/>
          <w:color w:val="auto"/>
          <w:szCs w:val="32"/>
          <w:shd w:val="clear" w:color="auto" w:fill="FFFFFF"/>
          <w:lang w:val="en-US" w:eastAsia="zh"/>
          <w:woUserID w:val="4"/>
        </w:rPr>
        <w:t>1</w:t>
      </w:r>
      <w:r>
        <w:rPr>
          <w:rFonts w:hint="eastAsia" w:ascii="仿宋_GB2312" w:hAnsi="仿宋_GB2312" w:eastAsia="仿宋_GB2312" w:cs="仿宋_GB2312"/>
          <w:color w:val="auto"/>
          <w:szCs w:val="32"/>
          <w:shd w:val="clear" w:color="auto" w:fill="FFFFFF"/>
          <w:lang w:val="en-US" w:eastAsia="zh-CN"/>
          <w:woUserID w:val="2"/>
        </w:rPr>
        <w:t>个二级技术节点。二级技术是对一级模块核心服务内容的具体化。包括</w:t>
      </w:r>
      <w:r>
        <w:rPr>
          <w:rFonts w:hint="eastAsia" w:ascii="仿宋_GB2312" w:hAnsi="仿宋_GB2312" w:eastAsia="仿宋_GB2312" w:cs="仿宋_GB2312"/>
          <w:color w:val="auto"/>
          <w:szCs w:val="32"/>
          <w:shd w:val="clear" w:color="auto" w:fill="FFFFFF"/>
          <w:lang w:val="en-US" w:eastAsia="zh"/>
          <w:woUserID w:val="4"/>
        </w:rPr>
        <w:t>评估时点、评估内容、评估方式与工具、综合判定与分层、复评与动态调整、运动干预目标与基本要求、</w:t>
      </w:r>
      <w:r>
        <w:rPr>
          <w:rFonts w:hint="default" w:ascii="仿宋_GB2312" w:hAnsi="仿宋_GB2312" w:eastAsia="仿宋_GB2312" w:cs="仿宋_GB2312"/>
          <w:color w:val="auto"/>
          <w:szCs w:val="32"/>
          <w:shd w:val="clear" w:color="auto" w:fill="FFFFFF"/>
          <w:lang w:val="en-US" w:eastAsia="zh-CN"/>
          <w:woUserID w:val="4"/>
        </w:rPr>
        <w:t>运动干预方案</w:t>
      </w:r>
      <w:r>
        <w:rPr>
          <w:rFonts w:hint="eastAsia" w:ascii="仿宋_GB2312" w:hAnsi="仿宋_GB2312" w:eastAsia="仿宋_GB2312" w:cs="仿宋_GB2312"/>
          <w:color w:val="auto"/>
          <w:szCs w:val="32"/>
          <w:shd w:val="clear" w:color="auto" w:fill="FFFFFF"/>
          <w:lang w:val="en-US" w:eastAsia="zh"/>
          <w:woUserID w:val="4"/>
        </w:rPr>
        <w:t>的制定、运动内容的确定、运动方案教学与自我管理、</w:t>
      </w:r>
      <w:r>
        <w:rPr>
          <w:rFonts w:hint="eastAsia" w:ascii="仿宋_GB2312" w:hAnsi="仿宋_GB2312" w:eastAsia="仿宋_GB2312" w:cs="仿宋_GB2312"/>
          <w:color w:val="auto"/>
          <w:szCs w:val="32"/>
          <w:shd w:val="clear" w:color="auto" w:fill="FFFFFF"/>
          <w:lang w:val="en-US" w:eastAsia="zh"/>
          <w:woUserID w:val="2"/>
        </w:rPr>
        <w:t>运动实施与安全监测、</w:t>
      </w:r>
      <w:r>
        <w:rPr>
          <w:rFonts w:hint="eastAsia" w:ascii="仿宋_GB2312" w:hAnsi="仿宋_GB2312" w:eastAsia="仿宋_GB2312" w:cs="仿宋_GB2312"/>
          <w:color w:val="auto"/>
          <w:szCs w:val="32"/>
          <w:shd w:val="clear" w:color="auto" w:fill="FFFFFF"/>
          <w:lang w:val="en-US" w:eastAsia="zh"/>
          <w:woUserID w:val="4"/>
        </w:rPr>
        <w:t>营养干预</w:t>
      </w:r>
      <w:r>
        <w:rPr>
          <w:rFonts w:hint="eastAsia" w:ascii="仿宋_GB2312" w:hAnsi="仿宋_GB2312" w:eastAsia="仿宋_GB2312" w:cs="仿宋_GB2312"/>
          <w:color w:val="auto"/>
          <w:szCs w:val="32"/>
          <w:shd w:val="clear" w:color="auto" w:fill="FFFFFF"/>
          <w:lang w:val="en-US" w:eastAsia="zh"/>
          <w:woUserID w:val="2"/>
        </w:rPr>
        <w:t>目标与基本要求、营养干预方案制定、</w:t>
      </w:r>
      <w:r>
        <w:rPr>
          <w:rFonts w:hint="eastAsia" w:ascii="仿宋_GB2312" w:hAnsi="仿宋_GB2312" w:eastAsia="仿宋_GB2312" w:cs="仿宋_GB2312"/>
          <w:color w:val="auto"/>
          <w:szCs w:val="32"/>
          <w:shd w:val="clear" w:color="auto" w:fill="FFFFFF"/>
          <w:lang w:val="en-US" w:eastAsia="zh"/>
          <w:woUserID w:val="4"/>
        </w:rPr>
        <w:t>营养干预</w:t>
      </w:r>
      <w:r>
        <w:rPr>
          <w:rFonts w:hint="eastAsia" w:ascii="仿宋_GB2312" w:hAnsi="仿宋_GB2312" w:eastAsia="仿宋_GB2312" w:cs="仿宋_GB2312"/>
          <w:color w:val="auto"/>
          <w:szCs w:val="32"/>
          <w:shd w:val="clear" w:color="auto" w:fill="FFFFFF"/>
          <w:lang w:val="en-US" w:eastAsia="zh"/>
          <w:woUserID w:val="2"/>
        </w:rPr>
        <w:t>指导与自我管理、</w:t>
      </w:r>
      <w:r>
        <w:rPr>
          <w:rFonts w:hint="eastAsia" w:ascii="仿宋_GB2312" w:hAnsi="仿宋_GB2312" w:eastAsia="仿宋_GB2312" w:cs="仿宋_GB2312"/>
          <w:color w:val="auto"/>
          <w:szCs w:val="32"/>
          <w:shd w:val="clear" w:color="auto" w:fill="FFFFFF"/>
          <w:lang w:val="en-US" w:eastAsia="zh"/>
          <w:woUserID w:val="4"/>
        </w:rPr>
        <w:t>营养干预</w:t>
      </w:r>
      <w:r>
        <w:rPr>
          <w:rFonts w:hint="eastAsia" w:ascii="仿宋_GB2312" w:hAnsi="仿宋_GB2312" w:eastAsia="仿宋_GB2312" w:cs="仿宋_GB2312"/>
          <w:color w:val="auto"/>
          <w:szCs w:val="32"/>
          <w:shd w:val="clear" w:color="auto" w:fill="FFFFFF"/>
          <w:lang w:val="en-US" w:eastAsia="zh"/>
          <w:woUserID w:val="2"/>
        </w:rPr>
        <w:t>安全监测与调整、特殊情况的处理</w:t>
      </w:r>
      <w:r>
        <w:rPr>
          <w:rFonts w:hint="eastAsia" w:ascii="仿宋_GB2312" w:hAnsi="仿宋_GB2312" w:eastAsia="仿宋_GB2312" w:cs="仿宋_GB2312"/>
          <w:color w:val="auto"/>
          <w:szCs w:val="32"/>
          <w:shd w:val="clear" w:color="auto" w:fill="FFFFFF"/>
          <w:lang w:val="en-US" w:eastAsia="zh"/>
          <w:woUserID w:val="4"/>
        </w:rPr>
        <w:t>、实施路径、</w:t>
      </w:r>
      <w:r>
        <w:rPr>
          <w:rFonts w:hint="eastAsia" w:ascii="仿宋_GB2312" w:hAnsi="仿宋_GB2312" w:eastAsia="仿宋_GB2312" w:cs="仿宋_GB2312"/>
          <w:color w:val="auto"/>
          <w:szCs w:val="32"/>
          <w:shd w:val="clear" w:color="auto" w:fill="FFFFFF"/>
          <w:lang w:val="en-US" w:eastAsia="zh"/>
          <w:woUserID w:val="2"/>
        </w:rPr>
        <w:t>健康教育与行为支持、场景化实施、动态监测干预效果与安全性、随访、记录与质量改进、转诊与衔接。</w:t>
      </w:r>
    </w:p>
    <w:p w14:paraId="1E27EBC2">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2.2.3 三级技术</w:t>
      </w:r>
    </w:p>
    <w:p w14:paraId="642EF2A3">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三级技术是直接指导具体操作和评估的底层技术条目，共</w:t>
      </w:r>
      <w:r>
        <w:rPr>
          <w:rFonts w:hint="eastAsia" w:ascii="仿宋_GB2312" w:hAnsi="仿宋_GB2312" w:eastAsia="仿宋_GB2312" w:cs="仿宋_GB2312"/>
          <w:color w:val="auto"/>
          <w:szCs w:val="32"/>
          <w:shd w:val="clear" w:color="auto" w:fill="FFFFFF"/>
          <w:lang w:val="en-US" w:eastAsia="zh"/>
          <w:woUserID w:val="2"/>
        </w:rPr>
        <w:t>57</w:t>
      </w:r>
      <w:r>
        <w:rPr>
          <w:rFonts w:hint="eastAsia" w:ascii="仿宋_GB2312" w:hAnsi="仿宋_GB2312" w:eastAsia="仿宋_GB2312" w:cs="仿宋_GB2312"/>
          <w:color w:val="auto"/>
          <w:szCs w:val="32"/>
          <w:shd w:val="clear" w:color="auto" w:fill="FFFFFF"/>
          <w:lang w:val="en-US" w:eastAsia="zh-CN"/>
        </w:rPr>
        <w:t xml:space="preserve">项。它是对二级技术的进一步分解和循证化，是服务提供者可直接执行或参照的技术内容。具体内容见表2。 </w:t>
      </w:r>
    </w:p>
    <w:p w14:paraId="4C45CCF8">
      <w:pPr>
        <w:pStyle w:val="11"/>
        <w:spacing w:line="360" w:lineRule="auto"/>
        <w:ind w:firstLine="422"/>
        <w:jc w:val="center"/>
        <w:outlineLvl w:val="9"/>
        <w:rPr>
          <w:rFonts w:hint="default" w:ascii="Times New Roman" w:eastAsia="宋体"/>
          <w:b/>
          <w:bCs/>
          <w:lang w:val="en-US" w:eastAsia="zh-CN"/>
        </w:rPr>
      </w:pPr>
      <w:r>
        <w:rPr>
          <w:rFonts w:hint="eastAsia" w:ascii="Times New Roman"/>
          <w:b/>
          <w:bCs/>
        </w:rPr>
        <w:t xml:space="preserve">表 </w:t>
      </w:r>
      <w:r>
        <w:rPr>
          <w:rFonts w:hint="eastAsia" w:ascii="Times New Roman"/>
          <w:b/>
          <w:bCs/>
          <w:lang w:val="en-US" w:eastAsia="zh-CN"/>
        </w:rPr>
        <w:t>2</w:t>
      </w:r>
      <w:r>
        <w:rPr>
          <w:rFonts w:hint="eastAsia" w:ascii="Times New Roman"/>
          <w:b/>
          <w:bCs/>
        </w:rPr>
        <w:t xml:space="preserve">  </w:t>
      </w:r>
      <w:r>
        <w:rPr>
          <w:rFonts w:hint="eastAsia" w:ascii="Times New Roman"/>
          <w:b/>
          <w:bCs/>
          <w:lang w:eastAsia="zh"/>
          <w:woUserID w:val="2"/>
        </w:rPr>
        <w:t>肌</w:t>
      </w:r>
      <w:r>
        <w:rPr>
          <w:rFonts w:hint="eastAsia" w:ascii="Times New Roman"/>
          <w:b/>
          <w:bCs/>
          <w:highlight w:val="none"/>
          <w:lang w:eastAsia="zh"/>
          <w:woUserID w:val="2"/>
        </w:rPr>
        <w:t>骨疾病</w:t>
      </w:r>
      <w:r>
        <w:rPr>
          <w:rFonts w:hint="eastAsia" w:ascii="Times New Roman"/>
          <w:b/>
          <w:bCs/>
          <w:highlight w:val="none"/>
          <w:lang w:val="en-US" w:eastAsia="zh-CN"/>
        </w:rPr>
        <w:t>“</w:t>
      </w:r>
      <w:r>
        <w:rPr>
          <w:rFonts w:hint="eastAsia" w:ascii="Times New Roman"/>
          <w:b/>
          <w:bCs/>
          <w:highlight w:val="none"/>
          <w:lang w:val="en-US" w:eastAsia="zh-CN"/>
          <w:woUserID w:val="2"/>
        </w:rPr>
        <w:t>评估—分层—干预—管理</w:t>
      </w:r>
      <w:r>
        <w:rPr>
          <w:rFonts w:hint="eastAsia" w:ascii="Times New Roman"/>
          <w:b/>
          <w:bCs/>
          <w:highlight w:val="none"/>
          <w:lang w:val="en-US" w:eastAsia="zh-CN"/>
        </w:rPr>
        <w:t>”服务</w:t>
      </w:r>
      <w:r>
        <w:rPr>
          <w:rFonts w:hint="eastAsia" w:ascii="Times New Roman"/>
          <w:b/>
          <w:bCs/>
          <w:lang w:val="en-US" w:eastAsia="zh-CN"/>
        </w:rPr>
        <w:t>技术标准体系</w:t>
      </w:r>
    </w:p>
    <w:tbl>
      <w:tblPr>
        <w:tblStyle w:val="5"/>
        <w:tblW w:w="50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2"/>
        <w:gridCol w:w="2304"/>
        <w:gridCol w:w="5397"/>
      </w:tblGrid>
      <w:tr w14:paraId="7D45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tcBorders>
              <w:top w:val="single" w:color="000000" w:sz="12" w:space="0"/>
              <w:left w:val="nil"/>
              <w:bottom w:val="single" w:color="000000" w:sz="4" w:space="0"/>
              <w:right w:val="nil"/>
              <w:tl2br w:val="nil"/>
            </w:tcBorders>
            <w:shd w:val="clear" w:color="auto" w:fill="FFFFFF"/>
            <w:vAlign w:val="top"/>
          </w:tcPr>
          <w:p w14:paraId="3E8CA18F">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一级</w:t>
            </w:r>
            <w:r>
              <w:rPr>
                <w:rFonts w:hint="eastAsia" w:ascii="宋体" w:hAnsi="宋体" w:cs="宋体"/>
                <w:b/>
                <w:bCs/>
                <w:i w:val="0"/>
                <w:iCs w:val="0"/>
                <w:color w:val="000000"/>
                <w:kern w:val="0"/>
                <w:sz w:val="21"/>
                <w:szCs w:val="21"/>
                <w:u w:val="none"/>
                <w:lang w:val="en-US" w:eastAsia="zh-CN" w:bidi="ar"/>
              </w:rPr>
              <w:t>技术</w:t>
            </w:r>
          </w:p>
        </w:tc>
        <w:tc>
          <w:tcPr>
            <w:tcW w:w="1234" w:type="pct"/>
            <w:tcBorders>
              <w:top w:val="single" w:color="000000" w:sz="12" w:space="0"/>
              <w:left w:val="nil"/>
              <w:bottom w:val="single" w:color="000000" w:sz="4" w:space="0"/>
              <w:right w:val="nil"/>
            </w:tcBorders>
            <w:shd w:val="clear" w:color="auto" w:fill="FFFFFF"/>
            <w:vAlign w:val="top"/>
          </w:tcPr>
          <w:p w14:paraId="73BB793A">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二级技术</w:t>
            </w:r>
          </w:p>
        </w:tc>
        <w:tc>
          <w:tcPr>
            <w:tcW w:w="2891" w:type="pct"/>
            <w:tcBorders>
              <w:top w:val="single" w:color="000000" w:sz="12" w:space="0"/>
              <w:left w:val="nil"/>
              <w:bottom w:val="single" w:color="000000" w:sz="4" w:space="0"/>
              <w:right w:val="nil"/>
            </w:tcBorders>
            <w:shd w:val="clear" w:color="auto" w:fill="FFFFFF"/>
            <w:vAlign w:val="top"/>
          </w:tcPr>
          <w:p w14:paraId="2F4DDB3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三级技术</w:t>
            </w:r>
          </w:p>
        </w:tc>
      </w:tr>
      <w:tr w14:paraId="3D77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restart"/>
            <w:tcBorders>
              <w:top w:val="nil"/>
              <w:left w:val="nil"/>
              <w:right w:val="nil"/>
            </w:tcBorders>
            <w:shd w:val="clear" w:color="auto" w:fill="FFFFFF"/>
            <w:vAlign w:val="top"/>
          </w:tcPr>
          <w:p w14:paraId="55C2B7A1">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5"/>
              </w:rPr>
            </w:pPr>
            <w:r>
              <w:rPr>
                <w:rFonts w:hint="eastAsia" w:eastAsia="宋体" w:cs="Times New Roman"/>
                <w:b w:val="0"/>
                <w:i w:val="0"/>
                <w:iCs w:val="0"/>
                <w:color w:val="000000"/>
                <w:kern w:val="0"/>
                <w:sz w:val="21"/>
                <w:szCs w:val="21"/>
                <w:u w:val="none"/>
                <w:lang w:val="en-US" w:eastAsia="zh" w:bidi="ar"/>
                <w:woUserID w:val="5"/>
              </w:rPr>
              <w:t>1</w:t>
            </w:r>
            <w:r>
              <w:rPr>
                <w:rFonts w:hint="default" w:ascii="Times New Roman" w:hAnsi="Times New Roman" w:eastAsia="宋体" w:cs="Times New Roman"/>
                <w:b w:val="0"/>
                <w:i w:val="0"/>
                <w:iCs w:val="0"/>
                <w:color w:val="000000"/>
                <w:kern w:val="0"/>
                <w:sz w:val="21"/>
                <w:szCs w:val="21"/>
                <w:u w:val="none"/>
                <w:lang w:val="en-US" w:eastAsia="zh-CN" w:bidi="ar"/>
              </w:rPr>
              <w:t xml:space="preserve">. </w:t>
            </w:r>
            <w:r>
              <w:rPr>
                <w:rFonts w:hint="eastAsia" w:eastAsia="宋体" w:cs="Times New Roman"/>
                <w:b w:val="0"/>
                <w:i w:val="0"/>
                <w:iCs w:val="0"/>
                <w:color w:val="000000"/>
                <w:kern w:val="0"/>
                <w:sz w:val="21"/>
                <w:szCs w:val="21"/>
                <w:u w:val="none"/>
                <w:lang w:val="en-US" w:eastAsia="zh" w:bidi="ar"/>
                <w:woUserID w:val="5"/>
              </w:rPr>
              <w:t>综合评估</w:t>
            </w:r>
          </w:p>
        </w:tc>
        <w:tc>
          <w:tcPr>
            <w:tcW w:w="1234" w:type="pct"/>
            <w:vMerge w:val="restart"/>
            <w:tcBorders>
              <w:top w:val="nil"/>
              <w:left w:val="nil"/>
              <w:right w:val="nil"/>
            </w:tcBorders>
            <w:shd w:val="clear" w:color="auto" w:fill="FFFFFF"/>
            <w:vAlign w:val="top"/>
          </w:tcPr>
          <w:p w14:paraId="6675FE14">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5"/>
              </w:rPr>
            </w:pPr>
            <w:r>
              <w:rPr>
                <w:rFonts w:hint="eastAsia" w:eastAsia="宋体" w:cs="Times New Roman"/>
                <w:b w:val="0"/>
                <w:i w:val="0"/>
                <w:iCs w:val="0"/>
                <w:color w:val="000000"/>
                <w:sz w:val="21"/>
                <w:szCs w:val="21"/>
                <w:u w:val="none"/>
                <w:lang w:eastAsia="zh"/>
                <w:woUserID w:val="5"/>
              </w:rPr>
              <w:t>1.1 评估时点</w:t>
            </w:r>
          </w:p>
        </w:tc>
        <w:tc>
          <w:tcPr>
            <w:tcW w:w="2891" w:type="pct"/>
            <w:tcBorders>
              <w:top w:val="nil"/>
              <w:left w:val="nil"/>
              <w:bottom w:val="nil"/>
              <w:right w:val="nil"/>
            </w:tcBorders>
            <w:shd w:val="clear" w:color="auto" w:fill="FFFFFF"/>
            <w:vAlign w:val="top"/>
          </w:tcPr>
          <w:p w14:paraId="61AA606C">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1.1.1 基础评估：开展干预前，宜进行基础评估。</w:t>
            </w:r>
          </w:p>
        </w:tc>
      </w:tr>
      <w:tr w14:paraId="0DE8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7ED3D6C0">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w:t>
            </w:r>
          </w:p>
        </w:tc>
        <w:tc>
          <w:tcPr>
            <w:tcW w:w="1234" w:type="pct"/>
            <w:vMerge w:val="continue"/>
            <w:tcBorders>
              <w:left w:val="nil"/>
              <w:right w:val="nil"/>
            </w:tcBorders>
            <w:shd w:val="clear" w:color="auto" w:fill="FFFFFF"/>
            <w:vAlign w:val="top"/>
          </w:tcPr>
          <w:p w14:paraId="78E83CBE">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default" w:ascii="Times New Roman" w:hAnsi="Times New Roman" w:eastAsia="宋体" w:cs="Times New Roman"/>
                <w:b w:val="0"/>
                <w:i w:val="0"/>
                <w:iCs w:val="0"/>
                <w:color w:val="000000"/>
                <w:sz w:val="21"/>
                <w:szCs w:val="21"/>
                <w:u w:val="none"/>
              </w:rPr>
            </w:pPr>
          </w:p>
        </w:tc>
        <w:tc>
          <w:tcPr>
            <w:tcW w:w="2891" w:type="pct"/>
            <w:tcBorders>
              <w:top w:val="nil"/>
              <w:left w:val="nil"/>
              <w:bottom w:val="nil"/>
              <w:right w:val="nil"/>
            </w:tcBorders>
            <w:shd w:val="clear" w:color="auto" w:fill="FFFFFF"/>
            <w:vAlign w:val="top"/>
          </w:tcPr>
          <w:p w14:paraId="342C2DF4">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1.1.2 复评：干预过程中，根据实际需要开展阶段性复评。</w:t>
            </w:r>
          </w:p>
        </w:tc>
      </w:tr>
      <w:tr w14:paraId="21D6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307632D2">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p>
        </w:tc>
        <w:tc>
          <w:tcPr>
            <w:tcW w:w="1234" w:type="pct"/>
            <w:vMerge w:val="continue"/>
            <w:tcBorders>
              <w:left w:val="nil"/>
              <w:bottom w:val="nil"/>
              <w:right w:val="nil"/>
            </w:tcBorders>
            <w:shd w:val="clear" w:color="auto" w:fill="FFFFFF"/>
            <w:vAlign w:val="top"/>
          </w:tcPr>
          <w:p w14:paraId="1C9CA544">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default" w:ascii="Times New Roman" w:hAnsi="Times New Roman" w:eastAsia="宋体" w:cs="Times New Roman"/>
                <w:b w:val="0"/>
                <w:i w:val="0"/>
                <w:iCs w:val="0"/>
                <w:color w:val="000000"/>
                <w:sz w:val="21"/>
                <w:szCs w:val="21"/>
                <w:u w:val="none"/>
              </w:rPr>
            </w:pPr>
          </w:p>
        </w:tc>
        <w:tc>
          <w:tcPr>
            <w:tcW w:w="2891" w:type="pct"/>
            <w:tcBorders>
              <w:top w:val="nil"/>
              <w:left w:val="nil"/>
              <w:bottom w:val="nil"/>
              <w:right w:val="nil"/>
            </w:tcBorders>
            <w:shd w:val="clear" w:color="auto" w:fill="FFFFFF"/>
            <w:vAlign w:val="top"/>
          </w:tcPr>
          <w:p w14:paraId="0EEAD72A">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1.1.3 补充评估：当健康状况、生活环境或执行情况发生明显变化时，宜及时补充评估。</w:t>
            </w:r>
          </w:p>
        </w:tc>
      </w:tr>
      <w:tr w14:paraId="1259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74" w:type="pct"/>
            <w:vMerge w:val="continue"/>
            <w:tcBorders>
              <w:left w:val="nil"/>
              <w:right w:val="nil"/>
            </w:tcBorders>
            <w:shd w:val="clear" w:color="auto" w:fill="FFFFFF"/>
            <w:vAlign w:val="top"/>
          </w:tcPr>
          <w:p w14:paraId="14476E72">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5"/>
              </w:rPr>
            </w:pPr>
          </w:p>
        </w:tc>
        <w:tc>
          <w:tcPr>
            <w:tcW w:w="1234" w:type="pct"/>
            <w:vMerge w:val="restart"/>
            <w:tcBorders>
              <w:top w:val="nil"/>
              <w:left w:val="nil"/>
              <w:right w:val="nil"/>
            </w:tcBorders>
            <w:shd w:val="clear" w:color="auto" w:fill="FFFFFF"/>
            <w:vAlign w:val="top"/>
          </w:tcPr>
          <w:p w14:paraId="3BF3B413">
            <w:pPr>
              <w:pStyle w:val="4"/>
              <w:keepNext w:val="0"/>
              <w:keepLines w:val="0"/>
              <w:widowControl/>
              <w:numPr>
                <w:ilvl w:val="0"/>
                <w:numId w:val="0"/>
              </w:numPr>
              <w:suppressLineNumbers w:val="0"/>
              <w:spacing w:before="120" w:beforeAutospacing="0" w:after="120" w:afterAutospacing="0"/>
              <w:ind w:left="0" w:right="0" w:firstLine="0"/>
              <w:outlineLvl w:val="2"/>
              <w:rPr>
                <w:rFonts w:hint="eastAsia" w:ascii="Times New Roman" w:hAnsi="Times New Roman" w:eastAsia="宋体" w:cs="Times New Roman"/>
                <w:b w:val="0"/>
                <w:i w:val="0"/>
                <w:iCs w:val="0"/>
                <w:color w:val="000000"/>
                <w:sz w:val="21"/>
                <w:szCs w:val="21"/>
                <w:u w:val="none"/>
                <w:lang w:eastAsia="zh"/>
                <w:woUserID w:val="5"/>
              </w:rPr>
            </w:pPr>
            <w:r>
              <w:rPr>
                <w:rFonts w:hint="eastAsia" w:eastAsia="宋体" w:cs="Times New Roman"/>
                <w:b w:val="0"/>
                <w:i w:val="0"/>
                <w:iCs w:val="0"/>
                <w:color w:val="000000"/>
                <w:kern w:val="0"/>
                <w:sz w:val="21"/>
                <w:szCs w:val="21"/>
                <w:u w:val="none"/>
                <w:lang w:val="en-US" w:eastAsia="zh" w:bidi="ar"/>
                <w:woUserID w:val="5"/>
              </w:rPr>
              <w:t>1</w:t>
            </w:r>
            <w:r>
              <w:rPr>
                <w:rFonts w:hint="default" w:ascii="Times New Roman" w:hAnsi="Times New Roman" w:eastAsia="宋体" w:cs="Times New Roman"/>
                <w:b w:val="0"/>
                <w:i w:val="0"/>
                <w:iCs w:val="0"/>
                <w:color w:val="000000"/>
                <w:kern w:val="0"/>
                <w:sz w:val="21"/>
                <w:szCs w:val="21"/>
                <w:u w:val="none"/>
                <w:lang w:val="en-US" w:eastAsia="zh-CN" w:bidi="ar"/>
              </w:rPr>
              <w:t>.</w:t>
            </w:r>
            <w:r>
              <w:rPr>
                <w:rFonts w:hint="eastAsia" w:eastAsia="宋体" w:cs="Times New Roman"/>
                <w:b w:val="0"/>
                <w:i w:val="0"/>
                <w:iCs w:val="0"/>
                <w:color w:val="000000"/>
                <w:kern w:val="0"/>
                <w:sz w:val="21"/>
                <w:szCs w:val="21"/>
                <w:u w:val="none"/>
                <w:lang w:val="en-US" w:eastAsia="zh" w:bidi="ar"/>
                <w:woUserID w:val="5"/>
              </w:rPr>
              <w:t>2 评估内容</w:t>
            </w:r>
          </w:p>
        </w:tc>
        <w:tc>
          <w:tcPr>
            <w:tcW w:w="2891" w:type="pct"/>
            <w:tcBorders>
              <w:top w:val="nil"/>
              <w:left w:val="nil"/>
              <w:bottom w:val="nil"/>
              <w:right w:val="nil"/>
            </w:tcBorders>
            <w:shd w:val="clear" w:color="auto" w:fill="FFFFFF"/>
            <w:vAlign w:val="top"/>
          </w:tcPr>
          <w:p w14:paraId="43C14CD4">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sz w:val="21"/>
                <w:szCs w:val="21"/>
                <w:u w:val="none"/>
              </w:rPr>
            </w:pPr>
            <w:r>
              <w:rPr>
                <w:rFonts w:hint="eastAsia" w:eastAsia="宋体" w:cs="Times New Roman"/>
                <w:b w:val="0"/>
                <w:i w:val="0"/>
                <w:iCs w:val="0"/>
                <w:color w:val="000000"/>
                <w:kern w:val="0"/>
                <w:sz w:val="21"/>
                <w:szCs w:val="21"/>
                <w:u w:val="none"/>
                <w:lang w:val="en-US" w:eastAsia="zh" w:bidi="ar"/>
                <w:woUserID w:val="5"/>
              </w:rPr>
              <w:t>1</w:t>
            </w:r>
            <w:r>
              <w:rPr>
                <w:rFonts w:hint="default" w:ascii="Times New Roman" w:hAnsi="Times New Roman" w:eastAsia="宋体" w:cs="Times New Roman"/>
                <w:b w:val="0"/>
                <w:i w:val="0"/>
                <w:iCs w:val="0"/>
                <w:color w:val="000000"/>
                <w:kern w:val="0"/>
                <w:sz w:val="21"/>
                <w:szCs w:val="21"/>
                <w:u w:val="none"/>
                <w:lang w:val="en-US" w:eastAsia="zh-CN" w:bidi="ar"/>
              </w:rPr>
              <w:t>.</w:t>
            </w:r>
            <w:r>
              <w:rPr>
                <w:rFonts w:hint="eastAsia" w:eastAsia="宋体" w:cs="Times New Roman"/>
                <w:b w:val="0"/>
                <w:i w:val="0"/>
                <w:iCs w:val="0"/>
                <w:color w:val="000000"/>
                <w:kern w:val="0"/>
                <w:sz w:val="21"/>
                <w:szCs w:val="21"/>
                <w:u w:val="none"/>
                <w:lang w:val="en-US" w:eastAsia="zh" w:bidi="ar"/>
                <w:woUserID w:val="5"/>
              </w:rPr>
              <w:t>2</w:t>
            </w:r>
            <w:r>
              <w:rPr>
                <w:rFonts w:hint="default" w:ascii="Times New Roman" w:hAnsi="Times New Roman" w:eastAsia="宋体" w:cs="Times New Roman"/>
                <w:b w:val="0"/>
                <w:i w:val="0"/>
                <w:iCs w:val="0"/>
                <w:color w:val="000000"/>
                <w:kern w:val="0"/>
                <w:sz w:val="21"/>
                <w:szCs w:val="21"/>
                <w:u w:val="none"/>
                <w:lang w:val="en-US" w:eastAsia="zh-CN" w:bidi="ar"/>
              </w:rPr>
              <w:t xml:space="preserve">.1 </w:t>
            </w:r>
            <w:r>
              <w:rPr>
                <w:rFonts w:hint="eastAsia" w:eastAsia="宋体" w:cs="Times New Roman"/>
                <w:b w:val="0"/>
                <w:i w:val="0"/>
                <w:iCs w:val="0"/>
                <w:color w:val="000000"/>
                <w:kern w:val="0"/>
                <w:sz w:val="21"/>
                <w:szCs w:val="21"/>
                <w:u w:val="none"/>
                <w:lang w:val="en-US" w:eastAsia="zh" w:bidi="ar"/>
                <w:woUserID w:val="5"/>
              </w:rPr>
              <w:t>基本</w:t>
            </w:r>
            <w:r>
              <w:rPr>
                <w:rFonts w:hint="default" w:ascii="Times New Roman" w:hAnsi="Times New Roman" w:eastAsia="宋体" w:cs="Times New Roman"/>
                <w:b w:val="0"/>
                <w:i w:val="0"/>
                <w:iCs w:val="0"/>
                <w:color w:val="000000"/>
                <w:kern w:val="0"/>
                <w:sz w:val="21"/>
                <w:szCs w:val="21"/>
                <w:u w:val="none"/>
                <w:lang w:val="en-US" w:eastAsia="zh-CN" w:bidi="ar"/>
              </w:rPr>
              <w:t>信息收集</w:t>
            </w:r>
            <w:r>
              <w:rPr>
                <w:rStyle w:val="12"/>
                <w:rFonts w:hint="default" w:ascii="Times New Roman" w:hAnsi="Times New Roman" w:eastAsia="宋体" w:cs="Times New Roman"/>
                <w:b w:val="0"/>
                <w:color w:val="000000"/>
                <w:sz w:val="21"/>
                <w:szCs w:val="21"/>
                <w:lang w:val="en-US" w:eastAsia="zh-CN" w:bidi="ar"/>
              </w:rPr>
              <w:t>：通过问卷系统</w:t>
            </w:r>
            <w:r>
              <w:rPr>
                <w:rStyle w:val="12"/>
                <w:rFonts w:hint="eastAsia" w:eastAsia="宋体" w:cs="Times New Roman"/>
                <w:b w:val="0"/>
                <w:color w:val="000000"/>
                <w:sz w:val="21"/>
                <w:szCs w:val="21"/>
                <w:lang w:val="en-US" w:eastAsia="zh" w:bidi="ar"/>
                <w:woUserID w:val="5"/>
              </w:rPr>
              <w:t>进行</w:t>
            </w:r>
            <w:r>
              <w:rPr>
                <w:rStyle w:val="12"/>
                <w:rFonts w:hint="default" w:ascii="Times New Roman" w:hAnsi="Times New Roman" w:eastAsia="宋体" w:cs="Times New Roman"/>
                <w:b w:val="0"/>
                <w:color w:val="000000"/>
                <w:sz w:val="21"/>
                <w:szCs w:val="21"/>
                <w:lang w:val="en-US" w:eastAsia="zh-CN" w:bidi="ar"/>
              </w:rPr>
              <w:t>收集</w:t>
            </w:r>
            <w:r>
              <w:rPr>
                <w:rStyle w:val="12"/>
                <w:rFonts w:hint="eastAsia" w:eastAsia="宋体" w:cs="Times New Roman"/>
                <w:b w:val="0"/>
                <w:color w:val="000000"/>
                <w:sz w:val="21"/>
                <w:szCs w:val="21"/>
                <w:lang w:val="en-US" w:eastAsia="zh" w:bidi="ar"/>
                <w:woUserID w:val="5"/>
              </w:rPr>
              <w:t>，主要包括：</w:t>
            </w:r>
            <w:r>
              <w:rPr>
                <w:rStyle w:val="12"/>
                <w:rFonts w:hint="default" w:ascii="Times New Roman" w:hAnsi="Times New Roman" w:eastAsia="宋体" w:cs="Times New Roman"/>
                <w:b w:val="0"/>
                <w:color w:val="000000"/>
                <w:sz w:val="21"/>
                <w:szCs w:val="21"/>
                <w:lang w:val="en-US" w:eastAsia="zh-CN" w:bidi="ar"/>
                <w:woUserID w:val="5"/>
              </w:rPr>
              <w:t>年龄、既往病史、用药情况、手术史、日常身体活动、吸烟饮酒情况及照护支持情况</w:t>
            </w:r>
            <w:r>
              <w:rPr>
                <w:rStyle w:val="12"/>
                <w:rFonts w:hint="default" w:ascii="Times New Roman" w:hAnsi="Times New Roman" w:eastAsia="宋体" w:cs="Times New Roman"/>
                <w:b w:val="0"/>
                <w:color w:val="000000"/>
                <w:sz w:val="21"/>
                <w:szCs w:val="21"/>
                <w:lang w:val="en-US" w:eastAsia="zh-CN" w:bidi="ar"/>
              </w:rPr>
              <w:t>。</w:t>
            </w:r>
          </w:p>
        </w:tc>
      </w:tr>
      <w:tr w14:paraId="4858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74" w:type="pct"/>
            <w:vMerge w:val="continue"/>
            <w:tcBorders>
              <w:left w:val="nil"/>
              <w:right w:val="nil"/>
            </w:tcBorders>
            <w:shd w:val="clear" w:color="auto" w:fill="FFFFFF"/>
            <w:vAlign w:val="top"/>
          </w:tcPr>
          <w:p w14:paraId="505B205D">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1DF037C2">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sz w:val="21"/>
                <w:szCs w:val="21"/>
                <w:u w:val="none"/>
              </w:rPr>
            </w:pPr>
          </w:p>
        </w:tc>
        <w:tc>
          <w:tcPr>
            <w:tcW w:w="2891" w:type="pct"/>
            <w:tcBorders>
              <w:top w:val="nil"/>
              <w:left w:val="nil"/>
              <w:bottom w:val="nil"/>
              <w:right w:val="nil"/>
            </w:tcBorders>
            <w:shd w:val="clear" w:color="auto" w:fill="FFFFFF"/>
            <w:vAlign w:val="top"/>
          </w:tcPr>
          <w:p w14:paraId="24C0CB02">
            <w:pPr>
              <w:keepNext w:val="0"/>
              <w:keepLines w:val="0"/>
              <w:widowControl/>
              <w:suppressLineNumbers w:val="0"/>
              <w:spacing w:before="0" w:beforeAutospacing="0" w:after="0" w:afterAutospacing="0"/>
              <w:ind w:left="0" w:right="0"/>
              <w:jc w:val="both"/>
              <w:textAlignment w:val="center"/>
              <w:outlineLvl w:val="9"/>
              <w:rPr>
                <w:rStyle w:val="12"/>
                <w:rFonts w:hint="eastAsia" w:eastAsia="宋体" w:cs="Times New Roman"/>
                <w:b w:val="0"/>
                <w:color w:val="000000"/>
                <w:sz w:val="21"/>
                <w:szCs w:val="21"/>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w:t>
            </w:r>
            <w:r>
              <w:rPr>
                <w:rFonts w:hint="default" w:ascii="Times New Roman" w:hAnsi="Times New Roman" w:eastAsia="宋体" w:cs="Times New Roman"/>
                <w:b w:val="0"/>
                <w:i w:val="0"/>
                <w:iCs w:val="0"/>
                <w:color w:val="000000"/>
                <w:kern w:val="0"/>
                <w:sz w:val="21"/>
                <w:szCs w:val="21"/>
                <w:u w:val="none"/>
                <w:lang w:val="en-US" w:eastAsia="zh-CN" w:bidi="ar"/>
              </w:rPr>
              <w:t>.2.</w:t>
            </w:r>
            <w:r>
              <w:rPr>
                <w:rFonts w:hint="eastAsia" w:eastAsia="宋体" w:cs="Times New Roman"/>
                <w:b w:val="0"/>
                <w:i w:val="0"/>
                <w:iCs w:val="0"/>
                <w:color w:val="000000"/>
                <w:kern w:val="0"/>
                <w:sz w:val="21"/>
                <w:szCs w:val="21"/>
                <w:u w:val="none"/>
                <w:lang w:val="en-US" w:eastAsia="zh" w:bidi="ar"/>
                <w:woUserID w:val="5"/>
              </w:rPr>
              <w:t>2</w:t>
            </w:r>
            <w:r>
              <w:rPr>
                <w:rFonts w:hint="default" w:ascii="Times New Roman" w:hAnsi="Times New Roman" w:eastAsia="宋体" w:cs="Times New Roman"/>
                <w:b w:val="0"/>
                <w:i w:val="0"/>
                <w:iCs w:val="0"/>
                <w:color w:val="000000"/>
                <w:kern w:val="0"/>
                <w:sz w:val="21"/>
                <w:szCs w:val="21"/>
                <w:u w:val="none"/>
                <w:lang w:val="en-US" w:eastAsia="zh-CN" w:bidi="ar"/>
              </w:rPr>
              <w:t xml:space="preserve"> </w:t>
            </w:r>
            <w:r>
              <w:rPr>
                <w:rFonts w:hint="default" w:ascii="Times New Roman" w:hAnsi="Times New Roman" w:eastAsia="宋体" w:cs="Times New Roman"/>
                <w:b w:val="0"/>
                <w:i w:val="0"/>
                <w:iCs w:val="0"/>
                <w:color w:val="000000"/>
                <w:kern w:val="0"/>
                <w:sz w:val="21"/>
                <w:szCs w:val="21"/>
                <w:u w:val="none"/>
                <w:lang w:val="en-US" w:eastAsia="zh-CN" w:bidi="ar"/>
                <w:woUserID w:val="5"/>
              </w:rPr>
              <w:t>骨健康状况</w:t>
            </w:r>
            <w:r>
              <w:rPr>
                <w:rStyle w:val="12"/>
                <w:rFonts w:hint="default" w:ascii="Times New Roman" w:hAnsi="Times New Roman" w:eastAsia="宋体" w:cs="Times New Roman"/>
                <w:b w:val="0"/>
                <w:color w:val="000000"/>
                <w:sz w:val="21"/>
                <w:szCs w:val="21"/>
                <w:lang w:val="en-US" w:eastAsia="zh-CN" w:bidi="ar"/>
              </w:rPr>
              <w:t>：</w:t>
            </w:r>
            <w:r>
              <w:rPr>
                <w:rStyle w:val="12"/>
                <w:rFonts w:hint="eastAsia" w:eastAsia="宋体" w:cs="Times New Roman"/>
                <w:b w:val="0"/>
                <w:color w:val="000000"/>
                <w:sz w:val="21"/>
                <w:szCs w:val="21"/>
                <w:lang w:val="en-US" w:eastAsia="zh" w:bidi="ar"/>
                <w:woUserID w:val="5"/>
              </w:rPr>
              <w:t>结合相关危险因素、临床指标和风险评估指标进行综合评估。</w:t>
            </w:r>
            <w:r>
              <w:rPr>
                <w:rStyle w:val="12"/>
                <w:rFonts w:hint="default" w:ascii="Times New Roman" w:hAnsi="Times New Roman" w:eastAsia="宋体" w:cs="Times New Roman"/>
                <w:b w:val="0"/>
                <w:color w:val="000000"/>
                <w:sz w:val="21"/>
                <w:szCs w:val="21"/>
                <w:lang w:val="en-US" w:eastAsia="zh-CN" w:bidi="ar"/>
              </w:rPr>
              <w:br w:type="textWrapping"/>
            </w:r>
            <w:r>
              <w:rPr>
                <w:rStyle w:val="12"/>
                <w:rFonts w:hint="default" w:ascii="Times New Roman" w:hAnsi="Times New Roman" w:eastAsia="宋体" w:cs="Times New Roman"/>
                <w:b w:val="0"/>
                <w:color w:val="000000"/>
                <w:sz w:val="21"/>
                <w:szCs w:val="21"/>
                <w:lang w:val="en-US" w:eastAsia="zh-CN" w:bidi="ar"/>
                <w:woUserID w:val="5"/>
              </w:rPr>
              <w:t xml:space="preserve">a) </w:t>
            </w:r>
            <w:r>
              <w:rPr>
                <w:rStyle w:val="12"/>
                <w:rFonts w:hint="eastAsia" w:eastAsia="宋体" w:cs="Times New Roman"/>
                <w:b w:val="0"/>
                <w:color w:val="000000"/>
                <w:sz w:val="21"/>
                <w:szCs w:val="21"/>
                <w:lang w:val="en-US" w:eastAsia="zh" w:bidi="ar"/>
                <w:woUserID w:val="5"/>
              </w:rPr>
              <w:t>危险因素：</w:t>
            </w:r>
            <w:r>
              <w:rPr>
                <w:rStyle w:val="12"/>
                <w:rFonts w:hint="default" w:ascii="Times New Roman" w:hAnsi="Times New Roman" w:eastAsia="宋体" w:cs="Times New Roman"/>
                <w:b w:val="0"/>
                <w:color w:val="000000"/>
                <w:sz w:val="21"/>
                <w:szCs w:val="21"/>
                <w:lang w:val="en-US" w:eastAsia="zh-CN" w:bidi="ar"/>
                <w:woUserID w:val="5"/>
              </w:rPr>
              <w:t>骨量减低、骨质疏松及脆性骨折</w:t>
            </w:r>
            <w:r>
              <w:rPr>
                <w:rStyle w:val="12"/>
                <w:rFonts w:hint="eastAsia" w:eastAsia="宋体" w:cs="Times New Roman"/>
                <w:b w:val="0"/>
                <w:color w:val="000000"/>
                <w:sz w:val="21"/>
                <w:szCs w:val="21"/>
                <w:lang w:val="en-US" w:eastAsia="zh" w:bidi="ar"/>
                <w:woUserID w:val="5"/>
              </w:rPr>
              <w:t>；</w:t>
            </w:r>
          </w:p>
          <w:p w14:paraId="03B7FA8A">
            <w:pPr>
              <w:keepNext w:val="0"/>
              <w:keepLines w:val="0"/>
              <w:widowControl/>
              <w:suppressLineNumbers w:val="0"/>
              <w:spacing w:before="0" w:beforeAutospacing="0" w:after="0" w:afterAutospacing="0"/>
              <w:ind w:left="0" w:right="0"/>
              <w:jc w:val="both"/>
              <w:textAlignment w:val="center"/>
              <w:outlineLvl w:val="9"/>
              <w:rPr>
                <w:rStyle w:val="12"/>
                <w:rFonts w:hint="eastAsia" w:eastAsia="宋体" w:cs="Times New Roman"/>
                <w:b w:val="0"/>
                <w:color w:val="000000"/>
                <w:sz w:val="21"/>
                <w:szCs w:val="21"/>
                <w:lang w:val="en-US" w:eastAsia="zh" w:bidi="ar"/>
                <w:woUserID w:val="5"/>
              </w:rPr>
            </w:pPr>
            <w:r>
              <w:rPr>
                <w:rStyle w:val="12"/>
                <w:rFonts w:hint="default" w:ascii="Times New Roman" w:hAnsi="Times New Roman" w:eastAsia="宋体" w:cs="Times New Roman"/>
                <w:b w:val="0"/>
                <w:color w:val="000000"/>
                <w:sz w:val="21"/>
                <w:szCs w:val="21"/>
                <w:lang w:val="en-US" w:eastAsia="zh-CN" w:bidi="ar"/>
                <w:woUserID w:val="5"/>
              </w:rPr>
              <w:t>b)</w:t>
            </w:r>
            <w:r>
              <w:rPr>
                <w:rStyle w:val="12"/>
                <w:rFonts w:hint="eastAsia" w:eastAsia="宋体" w:cs="Times New Roman"/>
                <w:b w:val="0"/>
                <w:color w:val="000000"/>
                <w:sz w:val="21"/>
                <w:szCs w:val="21"/>
                <w:lang w:val="en-US" w:eastAsia="zh" w:bidi="ar"/>
                <w:woUserID w:val="5"/>
              </w:rPr>
              <w:t xml:space="preserve"> 临床指标：</w:t>
            </w:r>
            <w:r>
              <w:rPr>
                <w:rStyle w:val="12"/>
                <w:rFonts w:hint="default" w:ascii="Times New Roman" w:hAnsi="Times New Roman" w:eastAsia="宋体" w:cs="Times New Roman"/>
                <w:b w:val="0"/>
                <w:color w:val="000000"/>
                <w:sz w:val="21"/>
                <w:szCs w:val="21"/>
                <w:lang w:val="en-US" w:eastAsia="zh-CN" w:bidi="ar"/>
                <w:woUserID w:val="5"/>
              </w:rPr>
              <w:t>DXA检查结果</w:t>
            </w:r>
            <w:r>
              <w:rPr>
                <w:rStyle w:val="12"/>
                <w:rFonts w:hint="eastAsia" w:eastAsia="宋体" w:cs="Times New Roman"/>
                <w:b w:val="0"/>
                <w:color w:val="000000"/>
                <w:sz w:val="21"/>
                <w:szCs w:val="21"/>
                <w:lang w:val="en-US" w:eastAsia="zh" w:bidi="ar"/>
                <w:woUserID w:val="5"/>
              </w:rPr>
              <w:t>、超声骨密度；</w:t>
            </w:r>
          </w:p>
          <w:p w14:paraId="60B506CA">
            <w:pPr>
              <w:keepNext w:val="0"/>
              <w:keepLines w:val="0"/>
              <w:widowControl/>
              <w:suppressLineNumbers w:val="0"/>
              <w:spacing w:before="0" w:beforeAutospacing="0" w:after="0" w:afterAutospacing="0"/>
              <w:ind w:left="0" w:right="0"/>
              <w:jc w:val="both"/>
              <w:textAlignment w:val="center"/>
              <w:outlineLvl w:val="9"/>
              <w:rPr>
                <w:rStyle w:val="12"/>
                <w:rFonts w:hint="eastAsia" w:eastAsia="宋体" w:cs="Times New Roman"/>
                <w:b w:val="0"/>
                <w:color w:val="000000"/>
                <w:sz w:val="21"/>
                <w:szCs w:val="21"/>
                <w:lang w:val="en-US" w:eastAsia="zh" w:bidi="ar"/>
                <w:woUserID w:val="5"/>
              </w:rPr>
            </w:pPr>
            <w:r>
              <w:rPr>
                <w:rStyle w:val="12"/>
                <w:rFonts w:hint="eastAsia" w:eastAsia="宋体" w:cs="Times New Roman"/>
                <w:b w:val="0"/>
                <w:color w:val="000000"/>
                <w:sz w:val="21"/>
                <w:szCs w:val="21"/>
                <w:lang w:val="en-US" w:eastAsia="zh" w:bidi="ar"/>
                <w:woUserID w:val="5"/>
              </w:rPr>
              <w:t>c) 风险评估：FRAX骨折风险、</w:t>
            </w:r>
            <w:r>
              <w:rPr>
                <w:rStyle w:val="12"/>
                <w:rFonts w:hint="default" w:ascii="Times New Roman" w:hAnsi="Times New Roman" w:eastAsia="宋体" w:cs="Times New Roman"/>
                <w:b w:val="0"/>
                <w:color w:val="000000"/>
                <w:sz w:val="21"/>
                <w:szCs w:val="21"/>
                <w:lang w:val="en-US" w:eastAsia="zh-CN" w:bidi="ar"/>
                <w:woUserID w:val="5"/>
              </w:rPr>
              <w:t>IOF一分钟</w:t>
            </w:r>
            <w:r>
              <w:rPr>
                <w:rStyle w:val="12"/>
                <w:rFonts w:hint="eastAsia" w:eastAsia="宋体" w:cs="Times New Roman"/>
                <w:b w:val="0"/>
                <w:color w:val="000000"/>
                <w:sz w:val="21"/>
                <w:szCs w:val="21"/>
                <w:lang w:val="en-US" w:eastAsia="zh" w:bidi="ar"/>
                <w:woUserID w:val="5"/>
              </w:rPr>
              <w:t>骨质疏松</w:t>
            </w:r>
            <w:r>
              <w:rPr>
                <w:rStyle w:val="12"/>
                <w:rFonts w:hint="default" w:ascii="Times New Roman" w:hAnsi="Times New Roman" w:eastAsia="宋体" w:cs="Times New Roman"/>
                <w:b w:val="0"/>
                <w:color w:val="000000"/>
                <w:sz w:val="21"/>
                <w:szCs w:val="21"/>
                <w:lang w:val="en-US" w:eastAsia="zh-CN" w:bidi="ar"/>
                <w:woUserID w:val="5"/>
              </w:rPr>
              <w:t>风险测试</w:t>
            </w:r>
            <w:r>
              <w:rPr>
                <w:rStyle w:val="12"/>
                <w:rFonts w:hint="eastAsia" w:eastAsia="宋体" w:cs="Times New Roman"/>
                <w:b w:val="0"/>
                <w:color w:val="000000"/>
                <w:sz w:val="21"/>
                <w:szCs w:val="21"/>
                <w:lang w:val="en-US" w:eastAsia="zh" w:bidi="ar"/>
                <w:woUserID w:val="5"/>
              </w:rPr>
              <w:t>。</w:t>
            </w:r>
          </w:p>
        </w:tc>
      </w:tr>
      <w:tr w14:paraId="712C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874" w:type="pct"/>
            <w:vMerge w:val="continue"/>
            <w:tcBorders>
              <w:left w:val="nil"/>
              <w:right w:val="nil"/>
            </w:tcBorders>
            <w:shd w:val="clear" w:color="auto" w:fill="FFFFFF"/>
            <w:vAlign w:val="top"/>
          </w:tcPr>
          <w:p w14:paraId="1958BE0A">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491C1795">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5"/>
              </w:rPr>
            </w:pPr>
          </w:p>
        </w:tc>
        <w:tc>
          <w:tcPr>
            <w:tcW w:w="2891" w:type="pct"/>
            <w:tcBorders>
              <w:top w:val="nil"/>
              <w:left w:val="nil"/>
              <w:bottom w:val="nil"/>
              <w:right w:val="nil"/>
            </w:tcBorders>
            <w:shd w:val="clear" w:color="auto" w:fill="FFFFFF"/>
            <w:vAlign w:val="top"/>
          </w:tcPr>
          <w:p w14:paraId="07FC5E79">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kern w:val="2"/>
                <w:sz w:val="21"/>
                <w:szCs w:val="21"/>
                <w:u w:val="none"/>
                <w:lang w:val="en-US" w:eastAsia="zh" w:bidi="ar-SA"/>
                <w:woUserID w:val="5"/>
              </w:rPr>
            </w:pPr>
            <w:r>
              <w:rPr>
                <w:rFonts w:hint="eastAsia" w:eastAsia="宋体" w:cs="Times New Roman"/>
                <w:b w:val="0"/>
                <w:i w:val="0"/>
                <w:iCs w:val="0"/>
                <w:color w:val="000000"/>
                <w:kern w:val="0"/>
                <w:sz w:val="21"/>
                <w:szCs w:val="21"/>
                <w:u w:val="none"/>
                <w:lang w:val="en-US" w:eastAsia="zh" w:bidi="ar"/>
                <w:woUserID w:val="5"/>
              </w:rPr>
              <w:t>1</w:t>
            </w:r>
            <w:r>
              <w:rPr>
                <w:rFonts w:hint="default" w:ascii="Times New Roman" w:hAnsi="Times New Roman" w:eastAsia="宋体" w:cs="Times New Roman"/>
                <w:b w:val="0"/>
                <w:i w:val="0"/>
                <w:iCs w:val="0"/>
                <w:color w:val="000000"/>
                <w:kern w:val="0"/>
                <w:sz w:val="21"/>
                <w:szCs w:val="21"/>
                <w:u w:val="none"/>
                <w:lang w:val="en-US" w:eastAsia="zh-CN" w:bidi="ar"/>
              </w:rPr>
              <w:t>.</w:t>
            </w:r>
            <w:r>
              <w:rPr>
                <w:rFonts w:hint="eastAsia" w:eastAsia="宋体" w:cs="Times New Roman"/>
                <w:b w:val="0"/>
                <w:i w:val="0"/>
                <w:iCs w:val="0"/>
                <w:color w:val="000000"/>
                <w:kern w:val="0"/>
                <w:sz w:val="21"/>
                <w:szCs w:val="21"/>
                <w:u w:val="none"/>
                <w:lang w:val="en-US" w:eastAsia="zh" w:bidi="ar"/>
                <w:woUserID w:val="5"/>
              </w:rPr>
              <w:t>2</w:t>
            </w:r>
            <w:r>
              <w:rPr>
                <w:rFonts w:hint="default" w:ascii="Times New Roman" w:hAnsi="Times New Roman" w:eastAsia="宋体" w:cs="Times New Roman"/>
                <w:b w:val="0"/>
                <w:i w:val="0"/>
                <w:iCs w:val="0"/>
                <w:color w:val="000000"/>
                <w:kern w:val="0"/>
                <w:sz w:val="21"/>
                <w:szCs w:val="21"/>
                <w:u w:val="none"/>
                <w:lang w:val="en-US" w:eastAsia="zh-CN" w:bidi="ar"/>
              </w:rPr>
              <w:t>.</w:t>
            </w: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 </w:t>
            </w:r>
            <w:r>
              <w:rPr>
                <w:rFonts w:hint="default" w:ascii="Times New Roman" w:hAnsi="Times New Roman" w:eastAsia="宋体" w:cs="Times New Roman"/>
                <w:b w:val="0"/>
                <w:i w:val="0"/>
                <w:iCs w:val="0"/>
                <w:color w:val="000000"/>
                <w:kern w:val="0"/>
                <w:sz w:val="21"/>
                <w:szCs w:val="21"/>
                <w:u w:val="none"/>
                <w:lang w:val="en-US" w:eastAsia="zh-CN" w:bidi="ar"/>
                <w:woUserID w:val="5"/>
              </w:rPr>
              <w:t>肌肉健康状况</w:t>
            </w:r>
            <w:r>
              <w:rPr>
                <w:rFonts w:hint="eastAsia" w:eastAsia="宋体" w:cs="Times New Roman"/>
                <w:b w:val="0"/>
                <w:i w:val="0"/>
                <w:iCs w:val="0"/>
                <w:color w:val="000000"/>
                <w:kern w:val="0"/>
                <w:sz w:val="21"/>
                <w:szCs w:val="21"/>
                <w:u w:val="none"/>
                <w:lang w:val="en-US" w:eastAsia="zh" w:bidi="ar"/>
                <w:woUserID w:val="5"/>
              </w:rPr>
              <w:t>：根据肌力、肌肉质量和躯体功能三方面综合判断。</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a) 肌力</w:t>
            </w:r>
            <w:r>
              <w:rPr>
                <w:rStyle w:val="12"/>
                <w:rFonts w:hint="default" w:ascii="Times New Roman" w:hAnsi="Times New Roman" w:eastAsia="宋体" w:cs="Times New Roman"/>
                <w:b w:val="0"/>
                <w:color w:val="000000"/>
                <w:sz w:val="21"/>
                <w:szCs w:val="21"/>
                <w:lang w:val="en-US" w:eastAsia="zh-CN" w:bidi="ar"/>
              </w:rPr>
              <w:t>：</w:t>
            </w:r>
            <w:r>
              <w:rPr>
                <w:rStyle w:val="12"/>
                <w:rFonts w:hint="default" w:ascii="Times New Roman" w:hAnsi="Times New Roman" w:eastAsia="宋体" w:cs="Times New Roman"/>
                <w:b w:val="0"/>
                <w:color w:val="000000"/>
                <w:sz w:val="21"/>
                <w:szCs w:val="21"/>
                <w:lang w:val="en-US" w:eastAsia="zh-CN" w:bidi="ar"/>
                <w:woUserID w:val="5"/>
              </w:rPr>
              <w:t>使用电子握力计测量握力</w:t>
            </w:r>
            <w:r>
              <w:rPr>
                <w:rStyle w:val="12"/>
                <w:rFonts w:hint="eastAsia" w:eastAsia="宋体" w:cs="Times New Roman"/>
                <w:b w:val="0"/>
                <w:color w:val="000000"/>
                <w:sz w:val="21"/>
                <w:szCs w:val="21"/>
                <w:lang w:val="en-US" w:eastAsia="zh" w:bidi="ar"/>
                <w:woUserID w:val="5"/>
              </w:rPr>
              <w:t>；</w:t>
            </w:r>
            <w:r>
              <w:rPr>
                <w:rStyle w:val="12"/>
                <w:rFonts w:hint="eastAsia" w:eastAsia="宋体" w:cs="Times New Roman"/>
                <w:b w:val="0"/>
                <w:color w:val="000000"/>
                <w:sz w:val="21"/>
                <w:szCs w:val="21"/>
                <w:lang w:val="en-US" w:eastAsia="zh" w:bidi="ar"/>
                <w:woUserID w:val="5"/>
              </w:rPr>
              <w:br w:type="textWrapping"/>
            </w:r>
            <w:r>
              <w:rPr>
                <w:rStyle w:val="12"/>
                <w:rFonts w:hint="eastAsia" w:eastAsia="宋体" w:cs="Times New Roman"/>
                <w:b w:val="0"/>
                <w:color w:val="000000"/>
                <w:sz w:val="21"/>
                <w:szCs w:val="21"/>
                <w:lang w:val="en-US" w:eastAsia="zh" w:bidi="ar"/>
                <w:woUserID w:val="5"/>
              </w:rPr>
              <w:t xml:space="preserve">b) </w:t>
            </w:r>
            <w:r>
              <w:rPr>
                <w:rFonts w:hint="eastAsia" w:eastAsia="宋体" w:cs="Times New Roman"/>
                <w:b w:val="0"/>
                <w:i w:val="0"/>
                <w:iCs w:val="0"/>
                <w:color w:val="000000"/>
                <w:kern w:val="0"/>
                <w:sz w:val="21"/>
                <w:szCs w:val="21"/>
                <w:u w:val="none"/>
                <w:lang w:val="en-US" w:eastAsia="zh" w:bidi="ar"/>
                <w:woUserID w:val="5"/>
              </w:rPr>
              <w:t>肌肉质量</w:t>
            </w:r>
            <w:r>
              <w:rPr>
                <w:rStyle w:val="12"/>
                <w:rFonts w:hint="default" w:ascii="Times New Roman" w:hAnsi="Times New Roman" w:eastAsia="宋体" w:cs="Times New Roman"/>
                <w:b w:val="0"/>
                <w:color w:val="000000"/>
                <w:sz w:val="21"/>
                <w:szCs w:val="21"/>
                <w:lang w:val="en-US" w:eastAsia="zh-CN" w:bidi="ar"/>
                <w:woUserID w:val="5"/>
              </w:rPr>
              <w:t>：推荐采用DXA或多频生物电阻抗测定</w:t>
            </w:r>
            <w:r>
              <w:rPr>
                <w:rStyle w:val="12"/>
                <w:rFonts w:hint="eastAsia" w:eastAsia="宋体" w:cs="Times New Roman"/>
                <w:b w:val="0"/>
                <w:color w:val="000000"/>
                <w:sz w:val="21"/>
                <w:szCs w:val="21"/>
                <w:lang w:val="en-US" w:eastAsia="zh" w:bidi="ar"/>
                <w:woUserID w:val="5"/>
              </w:rPr>
              <w:t>；器械不足时可使用卷尺测量小腿围；</w:t>
            </w:r>
            <w:r>
              <w:rPr>
                <w:rStyle w:val="12"/>
                <w:rFonts w:hint="eastAsia" w:eastAsia="宋体" w:cs="Times New Roman"/>
                <w:b w:val="0"/>
                <w:color w:val="000000"/>
                <w:sz w:val="21"/>
                <w:szCs w:val="21"/>
                <w:lang w:val="en-US" w:eastAsia="zh" w:bidi="ar"/>
                <w:woUserID w:val="5"/>
              </w:rPr>
              <w:br w:type="textWrapping"/>
            </w:r>
            <w:r>
              <w:rPr>
                <w:rStyle w:val="12"/>
                <w:rFonts w:hint="eastAsia" w:eastAsia="宋体" w:cs="Times New Roman"/>
                <w:b w:val="0"/>
                <w:color w:val="000000"/>
                <w:sz w:val="21"/>
                <w:szCs w:val="21"/>
                <w:lang w:val="en-US" w:eastAsia="zh" w:bidi="ar"/>
                <w:woUserID w:val="5"/>
              </w:rPr>
              <w:t xml:space="preserve">c) </w:t>
            </w:r>
            <w:r>
              <w:rPr>
                <w:rFonts w:hint="eastAsia" w:eastAsia="宋体" w:cs="Times New Roman"/>
                <w:b w:val="0"/>
                <w:i w:val="0"/>
                <w:iCs w:val="0"/>
                <w:color w:val="000000"/>
                <w:kern w:val="0"/>
                <w:sz w:val="21"/>
                <w:szCs w:val="21"/>
                <w:u w:val="none"/>
                <w:lang w:val="en-US" w:eastAsia="zh" w:bidi="ar"/>
                <w:woUserID w:val="5"/>
              </w:rPr>
              <w:t>躯体功能</w:t>
            </w:r>
            <w:r>
              <w:rPr>
                <w:rStyle w:val="12"/>
                <w:rFonts w:hint="default" w:ascii="Times New Roman" w:hAnsi="Times New Roman" w:eastAsia="宋体" w:cs="Times New Roman"/>
                <w:b w:val="0"/>
                <w:color w:val="000000"/>
                <w:sz w:val="21"/>
                <w:szCs w:val="21"/>
                <w:lang w:val="en-US" w:eastAsia="zh-CN" w:bidi="ar"/>
                <w:woUserID w:val="5"/>
              </w:rPr>
              <w:t>：采用6米步速测试或5次起坐试验</w:t>
            </w:r>
            <w:r>
              <w:rPr>
                <w:rStyle w:val="12"/>
                <w:rFonts w:hint="eastAsia" w:eastAsia="宋体" w:cs="Times New Roman"/>
                <w:b w:val="0"/>
                <w:color w:val="000000"/>
                <w:sz w:val="21"/>
                <w:szCs w:val="21"/>
                <w:lang w:val="en-US" w:eastAsia="zh" w:bidi="ar"/>
                <w:woUserID w:val="5"/>
              </w:rPr>
              <w:t>。</w:t>
            </w:r>
          </w:p>
        </w:tc>
      </w:tr>
      <w:tr w14:paraId="5994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trPr>
        <w:tc>
          <w:tcPr>
            <w:tcW w:w="874" w:type="pct"/>
            <w:vMerge w:val="continue"/>
            <w:tcBorders>
              <w:left w:val="nil"/>
              <w:right w:val="nil"/>
            </w:tcBorders>
            <w:shd w:val="clear" w:color="auto" w:fill="FFFFFF"/>
            <w:vAlign w:val="top"/>
          </w:tcPr>
          <w:p w14:paraId="3CCFCEB0">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2B3E0C2F">
            <w:pPr>
              <w:keepNext w:val="0"/>
              <w:keepLines w:val="0"/>
              <w:suppressLineNumbers w:val="0"/>
              <w:spacing w:before="0" w:beforeAutospacing="0" w:after="0" w:afterAutospacing="0"/>
              <w:ind w:left="0" w:leftChars="0" w:right="0" w:firstLine="0" w:firstLineChars="0"/>
              <w:jc w:val="both"/>
              <w:outlineLvl w:val="9"/>
              <w:rPr>
                <w:rFonts w:hint="eastAsia" w:ascii="Times New Roman" w:hAnsi="Times New Roman" w:eastAsia="宋体" w:cs="Times New Roman"/>
                <w:b w:val="0"/>
                <w:i w:val="0"/>
                <w:iCs w:val="0"/>
                <w:color w:val="000000"/>
                <w:sz w:val="21"/>
                <w:szCs w:val="21"/>
                <w:u w:val="none"/>
                <w:lang w:eastAsia="zh"/>
                <w:woUserID w:val="5"/>
              </w:rPr>
            </w:pPr>
          </w:p>
        </w:tc>
        <w:tc>
          <w:tcPr>
            <w:tcW w:w="2891" w:type="pct"/>
            <w:tcBorders>
              <w:top w:val="nil"/>
              <w:left w:val="nil"/>
              <w:bottom w:val="nil"/>
              <w:right w:val="nil"/>
            </w:tcBorders>
            <w:shd w:val="clear" w:color="auto" w:fill="FFFFFF"/>
            <w:vAlign w:val="top"/>
          </w:tcPr>
          <w:p w14:paraId="5E160AAF">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ascii="Times New Roman" w:hAnsi="Times New Roman"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 xml:space="preserve">1.2.4 </w:t>
            </w:r>
            <w:r>
              <w:rPr>
                <w:rFonts w:hint="eastAsia" w:eastAsia="宋体" w:cs="Times New Roman"/>
                <w:b w:val="0"/>
                <w:i w:val="0"/>
                <w:iCs w:val="0"/>
                <w:color w:val="000000"/>
                <w:sz w:val="21"/>
                <w:szCs w:val="21"/>
                <w:u w:val="none"/>
                <w:lang w:eastAsia="zh"/>
                <w:woUserID w:val="5"/>
              </w:rPr>
              <w:t>肌骨共病状况</w:t>
            </w:r>
            <w:r>
              <w:rPr>
                <w:rFonts w:hint="eastAsia" w:eastAsia="宋体" w:cs="Times New Roman"/>
                <w:b w:val="0"/>
                <w:i w:val="0"/>
                <w:iCs w:val="0"/>
                <w:color w:val="000000"/>
                <w:kern w:val="0"/>
                <w:sz w:val="21"/>
                <w:szCs w:val="21"/>
                <w:u w:val="none"/>
                <w:lang w:val="en-US" w:eastAsia="zh" w:bidi="ar"/>
                <w:woUserID w:val="5"/>
              </w:rPr>
              <w:t>：联合骨健康与肌肉健康的同步受损状态，重点识别肌少-骨质疏松共病风险。指标包括：</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a) 骨密度异常；</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b) 肌力下降；</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c) 身体功能受限；</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d) 跌倒史；</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e) 脆性骨折史；</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f) 临床症状。</w:t>
            </w:r>
          </w:p>
        </w:tc>
      </w:tr>
      <w:tr w14:paraId="2567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trPr>
        <w:tc>
          <w:tcPr>
            <w:tcW w:w="874" w:type="pct"/>
            <w:vMerge w:val="continue"/>
            <w:tcBorders>
              <w:left w:val="nil"/>
              <w:right w:val="nil"/>
            </w:tcBorders>
            <w:shd w:val="clear" w:color="auto" w:fill="FFFFFF"/>
            <w:vAlign w:val="top"/>
          </w:tcPr>
          <w:p w14:paraId="468D9978">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1E9AD498">
            <w:pPr>
              <w:keepNext w:val="0"/>
              <w:keepLines w:val="0"/>
              <w:suppressLineNumbers w:val="0"/>
              <w:spacing w:before="0" w:beforeAutospacing="0" w:after="0" w:afterAutospacing="0"/>
              <w:ind w:left="0" w:leftChars="0" w:right="0" w:firstLine="0" w:firstLineChars="0"/>
              <w:jc w:val="both"/>
              <w:outlineLvl w:val="9"/>
              <w:rPr>
                <w:rFonts w:hint="eastAsia" w:ascii="Times New Roman" w:hAnsi="Times New Roman" w:eastAsia="宋体" w:cs="Times New Roman"/>
                <w:b w:val="0"/>
                <w:i w:val="0"/>
                <w:iCs w:val="0"/>
                <w:color w:val="000000"/>
                <w:sz w:val="21"/>
                <w:szCs w:val="21"/>
                <w:u w:val="none"/>
                <w:lang w:eastAsia="zh"/>
                <w:woUserID w:val="5"/>
              </w:rPr>
            </w:pPr>
          </w:p>
        </w:tc>
        <w:tc>
          <w:tcPr>
            <w:tcW w:w="2891" w:type="pct"/>
            <w:tcBorders>
              <w:top w:val="nil"/>
              <w:left w:val="nil"/>
              <w:bottom w:val="nil"/>
              <w:right w:val="nil"/>
            </w:tcBorders>
            <w:shd w:val="clear" w:color="auto" w:fill="FFFFFF"/>
            <w:vAlign w:val="top"/>
          </w:tcPr>
          <w:p w14:paraId="4D2785C0">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1.2.5 身体功能、活动水平与运动情况：将日常生活活动能力、运动能力等作为选择干预方式和实施强度的重要依据。</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a) 身体功能：包括日常生活活动能力、步态稳定性、平衡能力、耐力水平、关节活动情况；</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b) 身体活动水平：使用IPAQ短问卷进行评估；</w:t>
            </w:r>
          </w:p>
          <w:p w14:paraId="23637E54">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c) 运动能力：依据计时起立-行走测试、6分钟步行试验和握力三项测试结果进行综合运动能力等级判定。</w:t>
            </w:r>
          </w:p>
        </w:tc>
      </w:tr>
      <w:tr w14:paraId="7957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4" w:type="pct"/>
            <w:vMerge w:val="continue"/>
            <w:tcBorders>
              <w:left w:val="nil"/>
              <w:right w:val="nil"/>
            </w:tcBorders>
            <w:shd w:val="clear" w:color="auto" w:fill="FFFFFF"/>
            <w:vAlign w:val="top"/>
          </w:tcPr>
          <w:p w14:paraId="2A68BCDF">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7F1FB2AA">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2891" w:type="pct"/>
            <w:tcBorders>
              <w:top w:val="nil"/>
              <w:left w:val="nil"/>
              <w:bottom w:val="nil"/>
              <w:right w:val="nil"/>
            </w:tcBorders>
            <w:shd w:val="clear" w:color="auto" w:fill="FFFFFF"/>
            <w:vAlign w:val="top"/>
          </w:tcPr>
          <w:p w14:paraId="149A5AFD">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 xml:space="preserve">1.2.6 </w:t>
            </w:r>
            <w:r>
              <w:rPr>
                <w:rFonts w:hint="eastAsia" w:eastAsia="宋体" w:cs="Times New Roman"/>
                <w:b w:val="0"/>
                <w:i w:val="0"/>
                <w:iCs w:val="0"/>
                <w:color w:val="000000"/>
                <w:sz w:val="21"/>
                <w:szCs w:val="21"/>
                <w:u w:val="none"/>
                <w:lang w:eastAsia="zh"/>
                <w:woUserID w:val="5"/>
              </w:rPr>
              <w:t>运动前准备与风险筛查：了解疾病状况、用药情况、既往运动习惯、跌倒史、疼痛程度、平衡能力和近期身体不适情况；系统评估运动干预禁忌症及潜在风险。</w:t>
            </w:r>
          </w:p>
        </w:tc>
      </w:tr>
      <w:tr w14:paraId="295EA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4" w:type="pct"/>
            <w:vMerge w:val="continue"/>
            <w:tcBorders>
              <w:left w:val="nil"/>
              <w:right w:val="nil"/>
            </w:tcBorders>
            <w:shd w:val="clear" w:color="auto" w:fill="FFFFFF"/>
            <w:vAlign w:val="top"/>
          </w:tcPr>
          <w:p w14:paraId="5D107209">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4D2194C9">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2891" w:type="pct"/>
            <w:tcBorders>
              <w:top w:val="nil"/>
              <w:left w:val="nil"/>
              <w:bottom w:val="nil"/>
              <w:right w:val="nil"/>
            </w:tcBorders>
            <w:shd w:val="clear" w:color="auto" w:fill="FFFFFF"/>
            <w:vAlign w:val="top"/>
          </w:tcPr>
          <w:p w14:paraId="3B36AC51">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1.2.7 营养状况评估：使用膳食调查工具或生化检查手段来评估肌骨相关营养素的每日摄入量或生化水平。</w:t>
            </w:r>
          </w:p>
        </w:tc>
      </w:tr>
      <w:tr w14:paraId="3C29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07236963">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79601F98">
            <w:pPr>
              <w:keepNext w:val="0"/>
              <w:keepLines w:val="0"/>
              <w:suppressLineNumbers w:val="0"/>
              <w:spacing w:before="0" w:beforeAutospacing="0" w:after="0" w:afterAutospacing="0"/>
              <w:ind w:left="0" w:leftChars="0" w:right="0" w:firstLine="0" w:firstLineChars="0"/>
              <w:jc w:val="both"/>
              <w:outlineLvl w:val="9"/>
              <w:rPr>
                <w:rFonts w:hint="eastAsia" w:ascii="Times New Roman" w:hAnsi="Times New Roman" w:eastAsia="宋体" w:cs="Times New Roman"/>
                <w:b w:val="0"/>
                <w:i w:val="0"/>
                <w:iCs w:val="0"/>
                <w:color w:val="000000"/>
                <w:sz w:val="21"/>
                <w:szCs w:val="21"/>
                <w:u w:val="none"/>
                <w:lang w:eastAsia="zh"/>
                <w:woUserID w:val="5"/>
              </w:rPr>
            </w:pPr>
          </w:p>
        </w:tc>
        <w:tc>
          <w:tcPr>
            <w:tcW w:w="2891" w:type="pct"/>
            <w:tcBorders>
              <w:top w:val="nil"/>
              <w:left w:val="nil"/>
              <w:bottom w:val="nil"/>
              <w:right w:val="nil"/>
            </w:tcBorders>
            <w:shd w:val="clear" w:color="auto" w:fill="FFFFFF"/>
            <w:vAlign w:val="top"/>
          </w:tcPr>
          <w:p w14:paraId="2A23FA2A">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1.2.8 营养干预前准备与风险筛查：了解疾病状况、用药情况、食物过敏史等；系统评估营养干预禁忌症及潜在风险。</w:t>
            </w:r>
          </w:p>
        </w:tc>
      </w:tr>
      <w:tr w14:paraId="486E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0CBCDF7F">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left w:val="nil"/>
              <w:right w:val="nil"/>
            </w:tcBorders>
            <w:shd w:val="clear" w:color="auto" w:fill="FFFFFF"/>
            <w:vAlign w:val="top"/>
          </w:tcPr>
          <w:p w14:paraId="3B0AF5ED">
            <w:pPr>
              <w:keepNext w:val="0"/>
              <w:keepLines w:val="0"/>
              <w:suppressLineNumbers w:val="0"/>
              <w:spacing w:before="0" w:beforeAutospacing="0" w:after="0" w:afterAutospacing="0"/>
              <w:ind w:left="0" w:leftChars="0" w:right="0" w:firstLine="0" w:firstLineChars="0"/>
              <w:jc w:val="both"/>
              <w:outlineLvl w:val="9"/>
              <w:rPr>
                <w:rFonts w:hint="eastAsia" w:ascii="Times New Roman" w:hAnsi="Times New Roman" w:eastAsia="宋体" w:cs="Times New Roman"/>
                <w:b w:val="0"/>
                <w:i w:val="0"/>
                <w:iCs w:val="0"/>
                <w:color w:val="000000"/>
                <w:sz w:val="21"/>
                <w:szCs w:val="21"/>
                <w:u w:val="none"/>
                <w:lang w:eastAsia="zh"/>
                <w:woUserID w:val="5"/>
              </w:rPr>
            </w:pPr>
            <w:r>
              <w:rPr>
                <w:rFonts w:hint="eastAsia" w:eastAsia="宋体" w:cs="Times New Roman"/>
                <w:b w:val="0"/>
                <w:i w:val="0"/>
                <w:iCs w:val="0"/>
                <w:color w:val="000000"/>
                <w:sz w:val="21"/>
                <w:szCs w:val="21"/>
                <w:u w:val="none"/>
                <w:lang w:eastAsia="zh"/>
                <w:woUserID w:val="5"/>
              </w:rPr>
              <w:t>1.3 评估方式与工具</w:t>
            </w:r>
          </w:p>
        </w:tc>
        <w:tc>
          <w:tcPr>
            <w:tcW w:w="2891" w:type="pct"/>
            <w:tcBorders>
              <w:top w:val="nil"/>
              <w:left w:val="nil"/>
              <w:bottom w:val="nil"/>
              <w:right w:val="nil"/>
            </w:tcBorders>
            <w:shd w:val="clear" w:color="auto" w:fill="FFFFFF"/>
            <w:vAlign w:val="top"/>
          </w:tcPr>
          <w:p w14:paraId="3B7FE954">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1.3.1 评估方式：可结合问卷调查、访谈、体格检查、功能测试和必要的辅助检查开展。基层和社区场景宜兼顾可操作性、连续性和可复评性。</w:t>
            </w:r>
          </w:p>
        </w:tc>
      </w:tr>
      <w:tr w14:paraId="4477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2E74DD05">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3069C039">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sz w:val="21"/>
                <w:szCs w:val="21"/>
                <w:u w:val="none"/>
                <w:lang w:eastAsia="zh"/>
                <w:woUserID w:val="5"/>
              </w:rPr>
            </w:pPr>
          </w:p>
        </w:tc>
        <w:tc>
          <w:tcPr>
            <w:tcW w:w="2891" w:type="pct"/>
            <w:tcBorders>
              <w:top w:val="nil"/>
              <w:left w:val="nil"/>
              <w:bottom w:val="nil"/>
              <w:right w:val="nil"/>
            </w:tcBorders>
            <w:shd w:val="clear" w:color="auto" w:fill="FFFFFF"/>
            <w:vAlign w:val="top"/>
          </w:tcPr>
          <w:p w14:paraId="2DBF4D4A">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1.3.2 评估工具：遵循适宜、简便、可重复和便于解释的原则，避免仅依据单一量表或单次测量结果作出综合结论。</w:t>
            </w:r>
          </w:p>
        </w:tc>
      </w:tr>
      <w:tr w14:paraId="0192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095E388B">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tcBorders>
              <w:left w:val="nil"/>
              <w:right w:val="nil"/>
            </w:tcBorders>
            <w:shd w:val="clear" w:color="auto" w:fill="FFFFFF"/>
            <w:vAlign w:val="top"/>
          </w:tcPr>
          <w:p w14:paraId="1B16B06F">
            <w:pPr>
              <w:keepNext w:val="0"/>
              <w:keepLines w:val="0"/>
              <w:suppressLineNumbers w:val="0"/>
              <w:spacing w:before="0" w:beforeAutospacing="0" w:after="0" w:afterAutospacing="0"/>
              <w:ind w:left="0" w:leftChars="0" w:right="0" w:firstLine="0" w:firstLineChars="0"/>
              <w:jc w:val="both"/>
              <w:outlineLvl w:val="9"/>
              <w:rPr>
                <w:rFonts w:hint="eastAsia" w:ascii="Times New Roman" w:hAnsi="Times New Roman" w:eastAsia="宋体" w:cs="Times New Roman"/>
                <w:b w:val="0"/>
                <w:i w:val="0"/>
                <w:iCs w:val="0"/>
                <w:color w:val="000000"/>
                <w:sz w:val="21"/>
                <w:szCs w:val="21"/>
                <w:u w:val="none"/>
                <w:lang w:eastAsia="zh"/>
                <w:woUserID w:val="5"/>
              </w:rPr>
            </w:pPr>
            <w:r>
              <w:rPr>
                <w:rFonts w:hint="eastAsia" w:eastAsia="宋体" w:cs="Times New Roman"/>
                <w:b w:val="0"/>
                <w:i w:val="0"/>
                <w:iCs w:val="0"/>
                <w:color w:val="000000"/>
                <w:sz w:val="21"/>
                <w:szCs w:val="21"/>
                <w:u w:val="none"/>
                <w:lang w:eastAsia="zh"/>
                <w:woUserID w:val="5"/>
              </w:rPr>
              <w:t>1.4 综合判定与分层</w:t>
            </w:r>
          </w:p>
        </w:tc>
        <w:tc>
          <w:tcPr>
            <w:tcW w:w="2891" w:type="pct"/>
            <w:tcBorders>
              <w:top w:val="nil"/>
              <w:left w:val="nil"/>
              <w:bottom w:val="nil"/>
              <w:right w:val="nil"/>
            </w:tcBorders>
            <w:shd w:val="clear" w:color="auto" w:fill="FFFFFF"/>
            <w:vAlign w:val="top"/>
          </w:tcPr>
          <w:p w14:paraId="2B0A3EB7">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1.4.1疾病程度判定：根据综合评估结果，将肌骨健康严重程度由轻到重划分为5个等级；1（低）、2（中低）、3（中等）、4（中高）、5（高）。</w:t>
            </w:r>
          </w:p>
        </w:tc>
      </w:tr>
      <w:tr w14:paraId="1769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14732BA9">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left w:val="nil"/>
              <w:right w:val="nil"/>
            </w:tcBorders>
            <w:shd w:val="clear" w:color="auto" w:fill="FFFFFF"/>
            <w:vAlign w:val="top"/>
          </w:tcPr>
          <w:p w14:paraId="587222FE">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sz w:val="21"/>
                <w:szCs w:val="21"/>
                <w:u w:val="none"/>
                <w:lang w:eastAsia="zh"/>
                <w:woUserID w:val="5"/>
              </w:rPr>
            </w:pPr>
            <w:r>
              <w:rPr>
                <w:rFonts w:hint="eastAsia" w:eastAsia="宋体" w:cs="Times New Roman"/>
                <w:b w:val="0"/>
                <w:i w:val="0"/>
                <w:iCs w:val="0"/>
                <w:color w:val="000000"/>
                <w:sz w:val="21"/>
                <w:szCs w:val="21"/>
                <w:u w:val="none"/>
                <w:lang w:eastAsia="zh"/>
                <w:woUserID w:val="5"/>
              </w:rPr>
              <w:t>1.5 复评与动态调整</w:t>
            </w:r>
          </w:p>
        </w:tc>
        <w:tc>
          <w:tcPr>
            <w:tcW w:w="2891" w:type="pct"/>
            <w:tcBorders>
              <w:top w:val="nil"/>
              <w:left w:val="nil"/>
              <w:bottom w:val="nil"/>
              <w:right w:val="nil"/>
            </w:tcBorders>
            <w:shd w:val="clear" w:color="auto" w:fill="FFFFFF"/>
            <w:vAlign w:val="top"/>
          </w:tcPr>
          <w:p w14:paraId="36688737">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1.5.1 复评内容：干预过程中，为确保干预安全和动态监测，可根据实际需要开展阶段性复评，指标包括：</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a) 体重和食欲变化；</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b) 身体活动变化；</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c) 功能改善情况；</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d) 跌倒发生情况；</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e) 主观耐受性；</w:t>
            </w:r>
            <w:r>
              <w:rPr>
                <w:rFonts w:hint="eastAsia" w:eastAsia="宋体" w:cs="Times New Roman"/>
                <w:b w:val="0"/>
                <w:i w:val="0"/>
                <w:iCs w:val="0"/>
                <w:color w:val="000000"/>
                <w:kern w:val="0"/>
                <w:sz w:val="21"/>
                <w:szCs w:val="21"/>
                <w:u w:val="none"/>
                <w:lang w:val="en-US" w:eastAsia="zh" w:bidi="ar"/>
                <w:woUserID w:val="5"/>
              </w:rPr>
              <w:br w:type="textWrapping"/>
            </w:r>
            <w:r>
              <w:rPr>
                <w:rFonts w:hint="eastAsia" w:eastAsia="宋体" w:cs="Times New Roman"/>
                <w:b w:val="0"/>
                <w:i w:val="0"/>
                <w:iCs w:val="0"/>
                <w:color w:val="000000"/>
                <w:kern w:val="0"/>
                <w:sz w:val="21"/>
                <w:szCs w:val="21"/>
                <w:u w:val="none"/>
                <w:lang w:val="en-US" w:eastAsia="zh" w:bidi="ar"/>
                <w:woUserID w:val="5"/>
              </w:rPr>
              <w:t>f) 方案执行情况。</w:t>
            </w:r>
          </w:p>
        </w:tc>
      </w:tr>
      <w:tr w14:paraId="5763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3935420D">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70CE0CF2">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sz w:val="21"/>
                <w:szCs w:val="21"/>
                <w:u w:val="none"/>
                <w:lang w:eastAsia="zh"/>
                <w:woUserID w:val="5"/>
              </w:rPr>
            </w:pPr>
          </w:p>
        </w:tc>
        <w:tc>
          <w:tcPr>
            <w:tcW w:w="2891" w:type="pct"/>
            <w:tcBorders>
              <w:top w:val="nil"/>
              <w:left w:val="nil"/>
              <w:bottom w:val="nil"/>
              <w:right w:val="nil"/>
            </w:tcBorders>
            <w:shd w:val="clear" w:color="auto" w:fill="FFFFFF"/>
            <w:vAlign w:val="top"/>
          </w:tcPr>
          <w:p w14:paraId="20721604">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1.5.2 动态调整：对执行困难、效果不明显或出现新问题者，宜及时分析原因并调整干预路径。</w:t>
            </w:r>
          </w:p>
        </w:tc>
      </w:tr>
      <w:tr w14:paraId="0C60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74" w:type="pct"/>
            <w:vMerge w:val="restart"/>
            <w:tcBorders>
              <w:top w:val="nil"/>
              <w:left w:val="nil"/>
              <w:right w:val="nil"/>
            </w:tcBorders>
            <w:shd w:val="clear" w:color="auto" w:fill="FFFFFF"/>
            <w:vAlign w:val="top"/>
          </w:tcPr>
          <w:p w14:paraId="496F1AB8">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5"/>
              </w:rPr>
            </w:pPr>
            <w:r>
              <w:rPr>
                <w:rFonts w:hint="eastAsia" w:eastAsia="宋体" w:cs="Times New Roman"/>
                <w:b w:val="0"/>
                <w:i w:val="0"/>
                <w:iCs w:val="0"/>
                <w:color w:val="000000"/>
                <w:kern w:val="0"/>
                <w:sz w:val="21"/>
                <w:szCs w:val="21"/>
                <w:u w:val="none"/>
                <w:lang w:val="en-US" w:eastAsia="zh" w:bidi="ar"/>
                <w:woUserID w:val="5"/>
              </w:rPr>
              <w:t>2</w:t>
            </w:r>
            <w:r>
              <w:rPr>
                <w:rFonts w:hint="default" w:ascii="Times New Roman" w:hAnsi="Times New Roman" w:eastAsia="宋体" w:cs="Times New Roman"/>
                <w:b w:val="0"/>
                <w:i w:val="0"/>
                <w:iCs w:val="0"/>
                <w:color w:val="000000"/>
                <w:kern w:val="0"/>
                <w:sz w:val="21"/>
                <w:szCs w:val="21"/>
                <w:u w:val="none"/>
                <w:lang w:val="en-US" w:eastAsia="zh-CN" w:bidi="ar"/>
              </w:rPr>
              <w:t xml:space="preserve">. </w:t>
            </w:r>
            <w:r>
              <w:rPr>
                <w:rFonts w:hint="eastAsia" w:eastAsia="宋体" w:cs="Times New Roman"/>
                <w:b w:val="0"/>
                <w:i w:val="0"/>
                <w:iCs w:val="0"/>
                <w:color w:val="000000"/>
                <w:kern w:val="0"/>
                <w:sz w:val="21"/>
                <w:szCs w:val="21"/>
                <w:u w:val="none"/>
                <w:lang w:val="en-US" w:eastAsia="zh" w:bidi="ar"/>
                <w:woUserID w:val="5"/>
              </w:rPr>
              <w:t>运动干预</w:t>
            </w:r>
          </w:p>
        </w:tc>
        <w:tc>
          <w:tcPr>
            <w:tcW w:w="1234" w:type="pct"/>
            <w:vMerge w:val="restart"/>
            <w:tcBorders>
              <w:top w:val="nil"/>
              <w:left w:val="nil"/>
              <w:bottom w:val="nil"/>
              <w:right w:val="nil"/>
            </w:tcBorders>
            <w:shd w:val="clear" w:color="auto" w:fill="FFFFFF"/>
            <w:vAlign w:val="top"/>
          </w:tcPr>
          <w:p w14:paraId="121D996C">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2"/>
              </w:rPr>
            </w:pPr>
            <w:r>
              <w:rPr>
                <w:rFonts w:hint="eastAsia" w:eastAsia="宋体" w:cs="Times New Roman"/>
                <w:b w:val="0"/>
                <w:i w:val="0"/>
                <w:iCs w:val="0"/>
                <w:color w:val="000000"/>
                <w:kern w:val="0"/>
                <w:sz w:val="21"/>
                <w:szCs w:val="21"/>
                <w:u w:val="none"/>
                <w:lang w:val="en-US" w:eastAsia="zh" w:bidi="ar"/>
                <w:woUserID w:val="2"/>
              </w:rPr>
              <w:t>2</w:t>
            </w:r>
            <w:r>
              <w:rPr>
                <w:rFonts w:hint="default" w:ascii="Times New Roman" w:hAnsi="Times New Roman" w:eastAsia="宋体" w:cs="Times New Roman"/>
                <w:b w:val="0"/>
                <w:i w:val="0"/>
                <w:iCs w:val="0"/>
                <w:color w:val="000000"/>
                <w:kern w:val="0"/>
                <w:sz w:val="21"/>
                <w:szCs w:val="21"/>
                <w:u w:val="none"/>
                <w:lang w:val="en-US" w:eastAsia="zh-CN" w:bidi="ar"/>
              </w:rPr>
              <w:t>.1</w:t>
            </w:r>
            <w:r>
              <w:rPr>
                <w:rFonts w:hint="eastAsia" w:eastAsia="宋体" w:cs="Times New Roman"/>
                <w:b w:val="0"/>
                <w:i w:val="0"/>
                <w:iCs w:val="0"/>
                <w:color w:val="000000"/>
                <w:kern w:val="0"/>
                <w:sz w:val="21"/>
                <w:szCs w:val="21"/>
                <w:u w:val="none"/>
                <w:lang w:val="en-US" w:eastAsia="zh" w:bidi="ar"/>
                <w:woUserID w:val="2"/>
              </w:rPr>
              <w:t>目标与基本要求</w:t>
            </w:r>
          </w:p>
        </w:tc>
        <w:tc>
          <w:tcPr>
            <w:tcW w:w="2891" w:type="pct"/>
            <w:tcBorders>
              <w:top w:val="nil"/>
              <w:left w:val="nil"/>
              <w:bottom w:val="nil"/>
              <w:right w:val="nil"/>
            </w:tcBorders>
            <w:shd w:val="clear" w:color="auto" w:fill="FFFFFF"/>
            <w:vAlign w:val="top"/>
          </w:tcPr>
          <w:p w14:paraId="0BA60550">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6"/>
              </w:rPr>
            </w:pPr>
            <w:r>
              <w:rPr>
                <w:rFonts w:hint="eastAsia" w:eastAsia="宋体" w:cs="Times New Roman"/>
                <w:b w:val="0"/>
                <w:i w:val="0"/>
                <w:iCs w:val="0"/>
                <w:color w:val="000000"/>
                <w:kern w:val="0"/>
                <w:sz w:val="21"/>
                <w:szCs w:val="21"/>
                <w:u w:val="none"/>
                <w:lang w:val="en-US" w:eastAsia="zh" w:bidi="ar"/>
                <w:woUserID w:val="6"/>
              </w:rPr>
              <w:t>2</w:t>
            </w:r>
            <w:r>
              <w:rPr>
                <w:rFonts w:hint="default" w:ascii="Times New Roman" w:hAnsi="Times New Roman" w:eastAsia="宋体" w:cs="Times New Roman"/>
                <w:b w:val="0"/>
                <w:i w:val="0"/>
                <w:iCs w:val="0"/>
                <w:color w:val="000000"/>
                <w:kern w:val="0"/>
                <w:sz w:val="21"/>
                <w:szCs w:val="21"/>
                <w:u w:val="none"/>
                <w:lang w:val="en-US" w:eastAsia="zh-CN" w:bidi="ar"/>
              </w:rPr>
              <w:t xml:space="preserve">.1.1 </w:t>
            </w:r>
            <w:r>
              <w:rPr>
                <w:rFonts w:hint="eastAsia" w:eastAsia="宋体" w:cs="Times New Roman"/>
                <w:b w:val="0"/>
                <w:i w:val="0"/>
                <w:iCs w:val="0"/>
                <w:color w:val="000000"/>
                <w:kern w:val="0"/>
                <w:sz w:val="21"/>
                <w:szCs w:val="21"/>
                <w:u w:val="none"/>
                <w:lang w:val="en-US" w:eastAsia="zh" w:bidi="ar"/>
                <w:woUserID w:val="6"/>
              </w:rPr>
              <w:t>干预目标：</w:t>
            </w:r>
            <w:r>
              <w:rPr>
                <w:rFonts w:hint="eastAsia" w:ascii="Times New Roman" w:hAnsi="Times New Roman" w:eastAsia="宋体" w:cs="Times New Roman"/>
                <w:b w:val="0"/>
                <w:i w:val="0"/>
                <w:iCs w:val="0"/>
                <w:color w:val="000000"/>
                <w:kern w:val="0"/>
                <w:sz w:val="21"/>
                <w:szCs w:val="21"/>
                <w:u w:val="none"/>
                <w:lang w:val="en-US" w:eastAsia="zh-CN" w:bidi="ar"/>
              </w:rPr>
              <w:t>以改善肌力与平衡、维持活动能力、促进骨健康、减少久坐和降低跌倒风险为主要目标。</w:t>
            </w:r>
          </w:p>
        </w:tc>
      </w:tr>
      <w:tr w14:paraId="262B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74" w:type="pct"/>
            <w:vMerge w:val="continue"/>
            <w:tcBorders>
              <w:left w:val="nil"/>
              <w:right w:val="nil"/>
            </w:tcBorders>
            <w:shd w:val="clear" w:color="auto" w:fill="FFFFFF"/>
            <w:vAlign w:val="top"/>
          </w:tcPr>
          <w:p w14:paraId="7E98BF27">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top w:val="nil"/>
              <w:left w:val="nil"/>
              <w:bottom w:val="nil"/>
              <w:right w:val="nil"/>
            </w:tcBorders>
            <w:shd w:val="clear" w:color="auto" w:fill="FFFFFF"/>
            <w:vAlign w:val="top"/>
          </w:tcPr>
          <w:p w14:paraId="0A192CC5">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2891" w:type="pct"/>
            <w:tcBorders>
              <w:top w:val="nil"/>
              <w:left w:val="nil"/>
              <w:bottom w:val="nil"/>
              <w:right w:val="nil"/>
            </w:tcBorders>
            <w:shd w:val="clear" w:color="auto" w:fill="FFFFFF"/>
            <w:vAlign w:val="top"/>
          </w:tcPr>
          <w:p w14:paraId="6653F3EA">
            <w:pPr>
              <w:pStyle w:val="4"/>
              <w:keepNext w:val="0"/>
              <w:keepLines w:val="0"/>
              <w:widowControl/>
              <w:suppressLineNumbers w:val="0"/>
              <w:wordWrap w:val="0"/>
              <w:autoSpaceDE w:val="0"/>
              <w:autoSpaceDN w:val="0"/>
              <w:spacing w:before="0" w:beforeAutospacing="0" w:after="0" w:afterAutospacing="0"/>
              <w:ind w:left="0" w:leftChars="0" w:right="0" w:firstLine="0" w:firstLineChars="0"/>
              <w:jc w:val="both"/>
              <w:rPr>
                <w:rFonts w:hint="eastAsia" w:ascii="Times New Roman" w:hAnsi="Times New Roman" w:eastAsia="宋体" w:cs="Times New Roman"/>
                <w:b w:val="0"/>
                <w:i w:val="0"/>
                <w:iCs w:val="0"/>
                <w:color w:val="000000"/>
                <w:sz w:val="21"/>
                <w:szCs w:val="21"/>
                <w:u w:val="none"/>
                <w:lang w:eastAsia="zh"/>
                <w:woUserID w:val="6"/>
              </w:rPr>
            </w:pPr>
            <w:r>
              <w:rPr>
                <w:rFonts w:hint="eastAsia" w:eastAsia="宋体" w:cs="Times New Roman"/>
                <w:b w:val="0"/>
                <w:i w:val="0"/>
                <w:iCs w:val="0"/>
                <w:color w:val="000000"/>
                <w:kern w:val="0"/>
                <w:sz w:val="21"/>
                <w:szCs w:val="21"/>
                <w:u w:val="none"/>
                <w:lang w:val="en-US" w:eastAsia="zh" w:bidi="ar"/>
                <w:woUserID w:val="6"/>
              </w:rPr>
              <w:t>2</w:t>
            </w:r>
            <w:r>
              <w:rPr>
                <w:rFonts w:hint="default" w:ascii="Times New Roman" w:hAnsi="Times New Roman" w:eastAsia="宋体" w:cs="Times New Roman"/>
                <w:b w:val="0"/>
                <w:i w:val="0"/>
                <w:iCs w:val="0"/>
                <w:color w:val="000000"/>
                <w:kern w:val="0"/>
                <w:sz w:val="21"/>
                <w:szCs w:val="21"/>
                <w:u w:val="none"/>
                <w:lang w:val="en-US" w:eastAsia="zh-CN" w:bidi="ar"/>
              </w:rPr>
              <w:t xml:space="preserve">.1.2 </w:t>
            </w:r>
            <w:r>
              <w:rPr>
                <w:rFonts w:hint="eastAsia" w:eastAsia="宋体" w:cs="Times New Roman"/>
                <w:b w:val="0"/>
                <w:i w:val="0"/>
                <w:iCs w:val="0"/>
                <w:color w:val="000000"/>
                <w:kern w:val="0"/>
                <w:sz w:val="21"/>
                <w:szCs w:val="21"/>
                <w:u w:val="none"/>
                <w:lang w:val="en-US" w:eastAsia="zh" w:bidi="ar"/>
                <w:woUserID w:val="6"/>
              </w:rPr>
              <w:t>干预要求：</w:t>
            </w:r>
            <w:r>
              <w:rPr>
                <w:rFonts w:hint="eastAsia" w:ascii="宋体" w:hAnsi="宋体" w:eastAsia="宋体" w:cs="宋体"/>
                <w:kern w:val="2"/>
                <w:sz w:val="21"/>
                <w:szCs w:val="21"/>
                <w:lang w:val="en-US" w:eastAsia="zh-CN" w:bidi="ar"/>
                <w:woUserID w:val="6"/>
              </w:rPr>
              <w:t>根据评估结果确定重点，并兼顾安全性、功能导向、行为可接受性和长期坚持</w:t>
            </w:r>
            <w:r>
              <w:rPr>
                <w:rFonts w:hint="eastAsia" w:ascii="宋体" w:hAnsi="宋体" w:eastAsia="宋体" w:cs="宋体"/>
                <w:kern w:val="2"/>
                <w:sz w:val="21"/>
                <w:szCs w:val="21"/>
                <w:lang w:val="en-US" w:eastAsia="zh" w:bidi="ar"/>
                <w:woUserID w:val="6"/>
              </w:rPr>
              <w:t>，</w:t>
            </w:r>
            <w:r>
              <w:rPr>
                <w:rFonts w:hint="eastAsia" w:ascii="宋体" w:hAnsi="宋体" w:eastAsia="宋体" w:cs="宋体"/>
                <w:kern w:val="0"/>
                <w:sz w:val="21"/>
                <w:szCs w:val="21"/>
                <w:lang w:val="en-US" w:eastAsia="zh-CN" w:bidi="ar"/>
                <w:woUserID w:val="6"/>
              </w:rPr>
              <w:t>以可耐受、易执行和可坚持为宜，不宜盲目追求高强度或快速进阶。</w:t>
            </w:r>
          </w:p>
        </w:tc>
      </w:tr>
      <w:tr w14:paraId="3352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74" w:type="pct"/>
            <w:vMerge w:val="continue"/>
            <w:tcBorders>
              <w:left w:val="nil"/>
              <w:right w:val="nil"/>
            </w:tcBorders>
            <w:shd w:val="clear" w:color="auto" w:fill="FFFFFF"/>
            <w:vAlign w:val="top"/>
          </w:tcPr>
          <w:p w14:paraId="276FE437">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top w:val="nil"/>
              <w:left w:val="nil"/>
              <w:right w:val="nil"/>
            </w:tcBorders>
            <w:shd w:val="clear" w:color="auto" w:fill="FFFFFF"/>
            <w:vAlign w:val="top"/>
          </w:tcPr>
          <w:p w14:paraId="50E17230">
            <w:pPr>
              <w:keepNext w:val="0"/>
              <w:keepLines w:val="0"/>
              <w:suppressLineNumbers w:val="0"/>
              <w:spacing w:before="0" w:beforeAutospacing="0" w:after="0" w:afterAutospacing="0"/>
              <w:ind w:left="0" w:leftChars="0" w:right="0" w:firstLine="0" w:firstLineChars="0"/>
              <w:jc w:val="both"/>
              <w:outlineLvl w:val="9"/>
              <w:rPr>
                <w:rFonts w:hint="eastAsia" w:ascii="Times New Roman" w:hAnsi="Times New Roman" w:eastAsia="宋体" w:cs="Times New Roman"/>
                <w:b w:val="0"/>
                <w:i w:val="0"/>
                <w:iCs w:val="0"/>
                <w:color w:val="000000"/>
                <w:sz w:val="21"/>
                <w:szCs w:val="21"/>
                <w:u w:val="none"/>
                <w:lang w:eastAsia="zh"/>
                <w:woUserID w:val="6"/>
              </w:rPr>
            </w:pPr>
            <w:r>
              <w:rPr>
                <w:rFonts w:hint="eastAsia" w:eastAsia="宋体" w:cs="Times New Roman"/>
                <w:b w:val="0"/>
                <w:i w:val="0"/>
                <w:iCs w:val="0"/>
                <w:color w:val="000000"/>
                <w:kern w:val="0"/>
                <w:sz w:val="21"/>
                <w:szCs w:val="21"/>
                <w:u w:val="none"/>
                <w:lang w:val="en-US" w:eastAsia="zh" w:bidi="ar"/>
                <w:woUserID w:val="6"/>
              </w:rPr>
              <w:t>2.2</w:t>
            </w:r>
            <w:r>
              <w:rPr>
                <w:rFonts w:hint="default" w:ascii="Times New Roman" w:hAnsi="Times New Roman" w:eastAsia="宋体" w:cs="Times New Roman"/>
                <w:b w:val="0"/>
                <w:i w:val="0"/>
                <w:iCs w:val="0"/>
                <w:color w:val="000000"/>
                <w:kern w:val="0"/>
                <w:sz w:val="21"/>
                <w:szCs w:val="21"/>
                <w:u w:val="none"/>
                <w:lang w:val="en-US" w:eastAsia="zh-CN" w:bidi="ar"/>
                <w:woUserID w:val="6"/>
              </w:rPr>
              <w:t xml:space="preserve"> 运动干预方案</w:t>
            </w:r>
            <w:r>
              <w:rPr>
                <w:rFonts w:hint="eastAsia" w:eastAsia="宋体" w:cs="Times New Roman"/>
                <w:b w:val="0"/>
                <w:i w:val="0"/>
                <w:iCs w:val="0"/>
                <w:color w:val="000000"/>
                <w:kern w:val="0"/>
                <w:sz w:val="21"/>
                <w:szCs w:val="21"/>
                <w:u w:val="none"/>
                <w:lang w:val="en-US" w:eastAsia="zh" w:bidi="ar"/>
                <w:woUserID w:val="6"/>
              </w:rPr>
              <w:t>的制定</w:t>
            </w:r>
          </w:p>
        </w:tc>
        <w:tc>
          <w:tcPr>
            <w:tcW w:w="2891" w:type="pct"/>
            <w:tcBorders>
              <w:top w:val="nil"/>
              <w:left w:val="nil"/>
              <w:bottom w:val="nil"/>
              <w:right w:val="nil"/>
            </w:tcBorders>
            <w:shd w:val="clear" w:color="auto" w:fill="FFFFFF"/>
            <w:vAlign w:val="top"/>
          </w:tcPr>
          <w:p w14:paraId="6D6B629B">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ascii="Times New Roman" w:hAnsi="Times New Roman" w:eastAsia="宋体" w:cs="Times New Roman"/>
                <w:b w:val="0"/>
                <w:i w:val="0"/>
                <w:iCs w:val="0"/>
                <w:color w:val="000000"/>
                <w:kern w:val="0"/>
                <w:sz w:val="21"/>
                <w:szCs w:val="21"/>
                <w:u w:val="none"/>
                <w:lang w:val="en-US" w:eastAsia="zh" w:bidi="ar"/>
                <w:woUserID w:val="6"/>
              </w:rPr>
            </w:pPr>
            <w:r>
              <w:rPr>
                <w:rFonts w:hint="eastAsia" w:eastAsia="宋体" w:cs="Times New Roman"/>
                <w:b w:val="0"/>
                <w:i w:val="0"/>
                <w:iCs w:val="0"/>
                <w:color w:val="000000"/>
                <w:kern w:val="0"/>
                <w:sz w:val="21"/>
                <w:szCs w:val="21"/>
                <w:u w:val="none"/>
                <w:lang w:val="en-US" w:eastAsia="zh" w:bidi="ar"/>
                <w:woUserID w:val="6"/>
              </w:rPr>
              <w:t>2.2.1 制定原则：参考FITT原则，从频率、强度、时间和方式的选择等方面进行整体设计，并根据风险分层、功能状态和实施场景进行适配。</w:t>
            </w:r>
          </w:p>
        </w:tc>
      </w:tr>
      <w:tr w14:paraId="79CB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74" w:type="pct"/>
            <w:vMerge w:val="continue"/>
            <w:tcBorders>
              <w:left w:val="nil"/>
              <w:right w:val="nil"/>
            </w:tcBorders>
            <w:shd w:val="clear" w:color="auto" w:fill="FFFFFF"/>
            <w:vAlign w:val="top"/>
          </w:tcPr>
          <w:p w14:paraId="60C3CF58">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58B872D5">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kern w:val="0"/>
                <w:sz w:val="21"/>
                <w:szCs w:val="21"/>
                <w:u w:val="none"/>
                <w:lang w:val="en-US" w:eastAsia="zh" w:bidi="ar"/>
                <w:woUserID w:val="6"/>
              </w:rPr>
            </w:pPr>
          </w:p>
        </w:tc>
        <w:tc>
          <w:tcPr>
            <w:tcW w:w="2891" w:type="pct"/>
            <w:tcBorders>
              <w:top w:val="nil"/>
              <w:left w:val="nil"/>
              <w:bottom w:val="nil"/>
              <w:right w:val="nil"/>
            </w:tcBorders>
            <w:shd w:val="clear" w:color="auto" w:fill="FFFFFF"/>
            <w:vAlign w:val="top"/>
          </w:tcPr>
          <w:p w14:paraId="322023DF">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6"/>
              </w:rPr>
            </w:pPr>
            <w:r>
              <w:rPr>
                <w:rFonts w:hint="eastAsia" w:eastAsia="宋体" w:cs="Times New Roman"/>
                <w:b w:val="0"/>
                <w:i w:val="0"/>
                <w:iCs w:val="0"/>
                <w:color w:val="000000"/>
                <w:kern w:val="0"/>
                <w:sz w:val="21"/>
                <w:szCs w:val="21"/>
                <w:u w:val="none"/>
                <w:lang w:val="en-US" w:eastAsia="zh" w:bidi="ar"/>
                <w:woUserID w:val="6"/>
              </w:rPr>
              <w:t>2.2.2 确定干预方案基础等级：根据肌骨共病严重程度和运动能力,采用矩阵法进行综合分级，共5级：1（低）、2（中低）、3（中等）、4（中高）、5（高）。</w:t>
            </w:r>
          </w:p>
        </w:tc>
      </w:tr>
      <w:tr w14:paraId="5238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4" w:type="pct"/>
            <w:vMerge w:val="continue"/>
            <w:tcBorders>
              <w:left w:val="nil"/>
              <w:right w:val="nil"/>
            </w:tcBorders>
            <w:shd w:val="clear" w:color="auto" w:fill="FFFFFF"/>
            <w:vAlign w:val="top"/>
          </w:tcPr>
          <w:p w14:paraId="2A636407">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69D94756">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kern w:val="0"/>
                <w:sz w:val="21"/>
                <w:szCs w:val="21"/>
                <w:u w:val="none"/>
                <w:lang w:val="en-US" w:eastAsia="zh" w:bidi="ar"/>
                <w:woUserID w:val="6"/>
              </w:rPr>
            </w:pPr>
          </w:p>
        </w:tc>
        <w:tc>
          <w:tcPr>
            <w:tcW w:w="2891" w:type="pct"/>
            <w:tcBorders>
              <w:top w:val="nil"/>
              <w:left w:val="nil"/>
              <w:bottom w:val="nil"/>
              <w:right w:val="nil"/>
            </w:tcBorders>
            <w:shd w:val="clear" w:color="auto" w:fill="FFFFFF"/>
            <w:vAlign w:val="top"/>
          </w:tcPr>
          <w:p w14:paraId="346AAA5E">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6"/>
              </w:rPr>
            </w:pPr>
            <w:r>
              <w:rPr>
                <w:rFonts w:hint="eastAsia" w:eastAsia="宋体" w:cs="Times New Roman"/>
                <w:b w:val="0"/>
                <w:i w:val="0"/>
                <w:iCs w:val="0"/>
                <w:color w:val="000000"/>
                <w:kern w:val="0"/>
                <w:sz w:val="21"/>
                <w:szCs w:val="21"/>
                <w:u w:val="none"/>
                <w:lang w:val="en-US" w:eastAsia="zh" w:bidi="ar"/>
                <w:woUserID w:val="6"/>
              </w:rPr>
              <w:t>2.2.3 调整运动干预方案：评估患者的运动习惯，根据结果调整运动干预方案、选择适宜的运动方式。</w:t>
            </w:r>
          </w:p>
        </w:tc>
      </w:tr>
      <w:tr w14:paraId="73A0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4" w:type="pct"/>
            <w:vMerge w:val="continue"/>
            <w:tcBorders>
              <w:left w:val="nil"/>
              <w:right w:val="nil"/>
            </w:tcBorders>
            <w:shd w:val="clear" w:color="auto" w:fill="FFFFFF"/>
            <w:vAlign w:val="top"/>
          </w:tcPr>
          <w:p w14:paraId="652B6890">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573C6604">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kern w:val="0"/>
                <w:sz w:val="21"/>
                <w:szCs w:val="21"/>
                <w:u w:val="none"/>
                <w:lang w:val="en-US" w:eastAsia="zh" w:bidi="ar"/>
                <w:woUserID w:val="6"/>
              </w:rPr>
            </w:pPr>
          </w:p>
        </w:tc>
        <w:tc>
          <w:tcPr>
            <w:tcW w:w="2891" w:type="pct"/>
            <w:tcBorders>
              <w:top w:val="nil"/>
              <w:left w:val="nil"/>
              <w:bottom w:val="nil"/>
              <w:right w:val="nil"/>
            </w:tcBorders>
            <w:shd w:val="clear" w:color="auto" w:fill="FFFFFF"/>
            <w:vAlign w:val="top"/>
          </w:tcPr>
          <w:p w14:paraId="31D330CE">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6"/>
              </w:rPr>
            </w:pPr>
            <w:r>
              <w:rPr>
                <w:rFonts w:hint="eastAsia" w:eastAsia="宋体" w:cs="Times New Roman"/>
                <w:b w:val="0"/>
                <w:i w:val="0"/>
                <w:iCs w:val="0"/>
                <w:color w:val="000000"/>
                <w:kern w:val="0"/>
                <w:sz w:val="21"/>
                <w:szCs w:val="21"/>
                <w:u w:val="none"/>
                <w:lang w:val="en-US" w:eastAsia="zh" w:bidi="ar"/>
                <w:woUserID w:val="6"/>
              </w:rPr>
              <w:t>2.2.4 根据“肌骨共病状况”结果，识别患者的主导疾病类型</w:t>
            </w:r>
          </w:p>
        </w:tc>
      </w:tr>
      <w:tr w14:paraId="7D98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74" w:type="pct"/>
            <w:vMerge w:val="continue"/>
            <w:tcBorders>
              <w:left w:val="nil"/>
              <w:right w:val="nil"/>
            </w:tcBorders>
            <w:shd w:val="clear" w:color="auto" w:fill="FFFFFF"/>
            <w:vAlign w:val="top"/>
          </w:tcPr>
          <w:p w14:paraId="11EFC3DF">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top w:val="nil"/>
              <w:left w:val="nil"/>
              <w:right w:val="nil"/>
            </w:tcBorders>
            <w:shd w:val="clear" w:color="auto" w:fill="FFFFFF"/>
            <w:vAlign w:val="top"/>
          </w:tcPr>
          <w:p w14:paraId="37747951">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6"/>
              </w:rPr>
            </w:pPr>
            <w:r>
              <w:rPr>
                <w:rFonts w:hint="eastAsia" w:eastAsia="宋体" w:cs="Times New Roman"/>
                <w:b w:val="0"/>
                <w:i w:val="0"/>
                <w:iCs w:val="0"/>
                <w:color w:val="000000"/>
                <w:kern w:val="0"/>
                <w:sz w:val="21"/>
                <w:szCs w:val="21"/>
                <w:u w:val="none"/>
                <w:lang w:val="en-US" w:eastAsia="zh" w:bidi="ar"/>
                <w:woUserID w:val="2"/>
              </w:rPr>
              <w:t>2</w:t>
            </w:r>
            <w:r>
              <w:rPr>
                <w:rFonts w:hint="default" w:ascii="Times New Roman" w:hAnsi="Times New Roman" w:eastAsia="宋体" w:cs="Times New Roman"/>
                <w:b w:val="0"/>
                <w:i w:val="0"/>
                <w:iCs w:val="0"/>
                <w:color w:val="000000"/>
                <w:kern w:val="0"/>
                <w:sz w:val="21"/>
                <w:szCs w:val="21"/>
                <w:u w:val="none"/>
                <w:lang w:val="en-US" w:eastAsia="zh-CN" w:bidi="ar"/>
              </w:rPr>
              <w:t>.</w:t>
            </w:r>
            <w:r>
              <w:rPr>
                <w:rFonts w:hint="eastAsia" w:eastAsia="宋体" w:cs="Times New Roman"/>
                <w:b w:val="0"/>
                <w:i w:val="0"/>
                <w:iCs w:val="0"/>
                <w:color w:val="000000"/>
                <w:kern w:val="0"/>
                <w:sz w:val="21"/>
                <w:szCs w:val="21"/>
                <w:u w:val="none"/>
                <w:lang w:val="en-US" w:eastAsia="zh" w:bidi="ar"/>
                <w:woUserID w:val="6"/>
              </w:rPr>
              <w:t>3</w:t>
            </w:r>
            <w:r>
              <w:rPr>
                <w:rFonts w:hint="default" w:ascii="Times New Roman" w:hAnsi="Times New Roman" w:eastAsia="宋体" w:cs="Times New Roman"/>
                <w:b w:val="0"/>
                <w:i w:val="0"/>
                <w:iCs w:val="0"/>
                <w:color w:val="000000"/>
                <w:kern w:val="0"/>
                <w:sz w:val="21"/>
                <w:szCs w:val="21"/>
                <w:u w:val="none"/>
                <w:lang w:val="en-US" w:eastAsia="zh-CN" w:bidi="ar"/>
              </w:rPr>
              <w:t xml:space="preserve"> </w:t>
            </w:r>
            <w:r>
              <w:rPr>
                <w:rFonts w:hint="default" w:ascii="Times New Roman" w:hAnsi="Times New Roman" w:eastAsia="宋体" w:cs="Times New Roman"/>
                <w:b w:val="0"/>
                <w:i w:val="0"/>
                <w:iCs w:val="0"/>
                <w:color w:val="000000"/>
                <w:kern w:val="0"/>
                <w:sz w:val="21"/>
                <w:szCs w:val="21"/>
                <w:u w:val="none"/>
                <w:lang w:val="en-US" w:eastAsia="zh-CN" w:bidi="ar"/>
                <w:woUserID w:val="2"/>
              </w:rPr>
              <w:t>运动</w:t>
            </w:r>
            <w:r>
              <w:rPr>
                <w:rFonts w:hint="eastAsia" w:eastAsia="宋体" w:cs="Times New Roman"/>
                <w:b w:val="0"/>
                <w:i w:val="0"/>
                <w:iCs w:val="0"/>
                <w:color w:val="000000"/>
                <w:kern w:val="0"/>
                <w:sz w:val="21"/>
                <w:szCs w:val="21"/>
                <w:u w:val="none"/>
                <w:lang w:val="en-US" w:eastAsia="zh" w:bidi="ar"/>
                <w:woUserID w:val="6"/>
              </w:rPr>
              <w:t>内容的确定</w:t>
            </w:r>
          </w:p>
        </w:tc>
        <w:tc>
          <w:tcPr>
            <w:tcW w:w="2891" w:type="pct"/>
            <w:tcBorders>
              <w:top w:val="nil"/>
              <w:left w:val="nil"/>
              <w:bottom w:val="nil"/>
              <w:right w:val="nil"/>
            </w:tcBorders>
            <w:shd w:val="clear" w:color="auto" w:fill="FFFFFF"/>
            <w:vAlign w:val="top"/>
          </w:tcPr>
          <w:p w14:paraId="704F3C11">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6"/>
              </w:rPr>
            </w:pPr>
            <w:r>
              <w:rPr>
                <w:rFonts w:hint="eastAsia" w:eastAsia="宋体" w:cs="Times New Roman"/>
                <w:b w:val="0"/>
                <w:i w:val="0"/>
                <w:iCs w:val="0"/>
                <w:color w:val="000000"/>
                <w:sz w:val="21"/>
                <w:szCs w:val="21"/>
                <w:u w:val="none"/>
                <w:lang w:eastAsia="zh"/>
                <w:woUserID w:val="6"/>
              </w:rPr>
              <w:t>2</w:t>
            </w:r>
            <w:r>
              <w:rPr>
                <w:rFonts w:hint="default" w:ascii="Times New Roman" w:hAnsi="Times New Roman" w:eastAsia="宋体" w:cs="Times New Roman"/>
                <w:b w:val="0"/>
                <w:i w:val="0"/>
                <w:iCs w:val="0"/>
                <w:color w:val="000000"/>
                <w:sz w:val="21"/>
                <w:szCs w:val="21"/>
                <w:u w:val="none"/>
                <w:woUserID w:val="6"/>
              </w:rPr>
              <w:t>.3.1 热身运动</w:t>
            </w:r>
            <w:r>
              <w:rPr>
                <w:rFonts w:hint="eastAsia" w:eastAsia="宋体" w:cs="Times New Roman"/>
                <w:b w:val="0"/>
                <w:i w:val="0"/>
                <w:iCs w:val="0"/>
                <w:color w:val="000000"/>
                <w:sz w:val="21"/>
                <w:szCs w:val="21"/>
                <w:u w:val="none"/>
                <w:lang w:eastAsia="zh"/>
                <w:woUserID w:val="6"/>
              </w:rPr>
              <w:t>：建议6-9个动作，每个动作4个8拍，以提高心率、增加体温、激活肌肉、活动关节为核心目的。</w:t>
            </w:r>
          </w:p>
        </w:tc>
      </w:tr>
      <w:tr w14:paraId="10B0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874" w:type="pct"/>
            <w:vMerge w:val="continue"/>
            <w:tcBorders>
              <w:left w:val="nil"/>
              <w:right w:val="nil"/>
            </w:tcBorders>
            <w:shd w:val="clear" w:color="auto" w:fill="FFFFFF"/>
            <w:vAlign w:val="top"/>
          </w:tcPr>
          <w:p w14:paraId="74B2E945">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61D78A78">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2"/>
              </w:rPr>
            </w:pPr>
          </w:p>
        </w:tc>
        <w:tc>
          <w:tcPr>
            <w:tcW w:w="2891" w:type="pct"/>
            <w:tcBorders>
              <w:top w:val="nil"/>
              <w:left w:val="nil"/>
              <w:bottom w:val="nil"/>
              <w:right w:val="nil"/>
            </w:tcBorders>
            <w:shd w:val="clear" w:color="auto" w:fill="FFFFFF"/>
            <w:vAlign w:val="top"/>
          </w:tcPr>
          <w:p w14:paraId="69EE15C7">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ascii="Times New Roman" w:hAnsi="Times New Roman" w:eastAsia="宋体" w:cs="Times New Roman"/>
                <w:b w:val="0"/>
                <w:i w:val="0"/>
                <w:iCs w:val="0"/>
                <w:color w:val="000000"/>
                <w:kern w:val="0"/>
                <w:sz w:val="21"/>
                <w:szCs w:val="21"/>
                <w:u w:val="none"/>
                <w:lang w:val="en-US" w:eastAsia="zh" w:bidi="ar"/>
                <w:woUserID w:val="6"/>
              </w:rPr>
            </w:pPr>
            <w:r>
              <w:rPr>
                <w:rFonts w:hint="eastAsia" w:eastAsia="宋体" w:cs="Times New Roman"/>
                <w:b w:val="0"/>
                <w:i w:val="0"/>
                <w:iCs w:val="0"/>
                <w:color w:val="000000"/>
                <w:kern w:val="0"/>
                <w:sz w:val="21"/>
                <w:szCs w:val="21"/>
                <w:u w:val="none"/>
                <w:lang w:val="en-US" w:eastAsia="zh" w:bidi="ar"/>
                <w:woUserID w:val="6"/>
              </w:rPr>
              <w:t>2.3.2 有氧活动：选择步行、上下楼梯、太极拳、健身操、八段锦、固定自行车等方式。建议强度达到患者体感身体微微发热、关节灵活、肌肉有轻微激活感，呼吸和心跳略有加快，但可以轻松、连贯地交谈。</w:t>
            </w:r>
          </w:p>
        </w:tc>
      </w:tr>
      <w:tr w14:paraId="6B63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874" w:type="pct"/>
            <w:vMerge w:val="continue"/>
            <w:tcBorders>
              <w:left w:val="nil"/>
              <w:right w:val="nil"/>
            </w:tcBorders>
            <w:shd w:val="clear" w:color="auto" w:fill="FFFFFF"/>
            <w:vAlign w:val="top"/>
          </w:tcPr>
          <w:p w14:paraId="2A3A0C72">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742E8224">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2"/>
              </w:rPr>
            </w:pPr>
          </w:p>
        </w:tc>
        <w:tc>
          <w:tcPr>
            <w:tcW w:w="2891" w:type="pct"/>
            <w:tcBorders>
              <w:top w:val="nil"/>
              <w:left w:val="nil"/>
              <w:bottom w:val="nil"/>
              <w:right w:val="nil"/>
            </w:tcBorders>
            <w:shd w:val="clear" w:color="auto" w:fill="FFFFFF"/>
            <w:vAlign w:val="top"/>
          </w:tcPr>
          <w:p w14:paraId="007EC86D">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ascii="Times New Roman" w:hAnsi="Times New Roman" w:eastAsia="宋体" w:cs="Times New Roman"/>
                <w:b w:val="0"/>
                <w:i w:val="0"/>
                <w:iCs w:val="0"/>
                <w:color w:val="000000"/>
                <w:kern w:val="0"/>
                <w:sz w:val="21"/>
                <w:szCs w:val="21"/>
                <w:u w:val="none"/>
                <w:lang w:val="en-US" w:eastAsia="zh" w:bidi="ar"/>
                <w:woUserID w:val="6"/>
              </w:rPr>
            </w:pPr>
            <w:r>
              <w:rPr>
                <w:rFonts w:hint="eastAsia" w:eastAsia="宋体" w:cs="Times New Roman"/>
                <w:b w:val="0"/>
                <w:i w:val="0"/>
                <w:iCs w:val="0"/>
                <w:color w:val="000000"/>
                <w:kern w:val="0"/>
                <w:sz w:val="21"/>
                <w:szCs w:val="21"/>
                <w:u w:val="none"/>
                <w:lang w:val="en-US" w:eastAsia="zh" w:bidi="ar"/>
                <w:woUserID w:val="6"/>
              </w:rPr>
              <w:t>2.3.3 抗阻活动：围绕下肢、上肢和躯干等主要肌群开展训练，重视功能性动作练习，可结合弹力带、自身体重或器械等方式逐步实施。例如上肢部分可采取弹力带推胸、扶墙俯卧撑、弹力带划船、坐姿水瓶弯举等动作；核心部分可采取仰卧臀桥、跪姿鸟狗式、平板支撑等动作；下肢部分可采取坐姿站起、扶椅深蹲、靠墙静蹲、坐姿交替抬腿等动作。建议强度达到患者在完成最后一组的最后几次重复时，肌肉感到明显的酸胀和发热，需要努力维持标准姿势，但不会因疼痛而扭曲动作或屏气。休息1-2分钟后，肌肉酸胀感明显消退。</w:t>
            </w:r>
          </w:p>
        </w:tc>
      </w:tr>
      <w:tr w14:paraId="3B2E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874" w:type="pct"/>
            <w:vMerge w:val="continue"/>
            <w:tcBorders>
              <w:left w:val="nil"/>
              <w:right w:val="nil"/>
            </w:tcBorders>
            <w:shd w:val="clear" w:color="auto" w:fill="FFFFFF"/>
            <w:vAlign w:val="top"/>
          </w:tcPr>
          <w:p w14:paraId="67FB1397">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2C57DB4F">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2"/>
              </w:rPr>
            </w:pPr>
          </w:p>
        </w:tc>
        <w:tc>
          <w:tcPr>
            <w:tcW w:w="2891" w:type="pct"/>
            <w:tcBorders>
              <w:top w:val="nil"/>
              <w:left w:val="nil"/>
              <w:bottom w:val="nil"/>
              <w:right w:val="nil"/>
            </w:tcBorders>
            <w:shd w:val="clear" w:color="auto" w:fill="FFFFFF"/>
            <w:vAlign w:val="top"/>
          </w:tcPr>
          <w:p w14:paraId="0FABDF90">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ascii="Times New Roman" w:hAnsi="Times New Roman" w:eastAsia="宋体" w:cs="Times New Roman"/>
                <w:b w:val="0"/>
                <w:i w:val="0"/>
                <w:iCs w:val="0"/>
                <w:color w:val="000000"/>
                <w:kern w:val="0"/>
                <w:sz w:val="21"/>
                <w:szCs w:val="21"/>
                <w:u w:val="none"/>
                <w:lang w:val="en-US" w:eastAsia="zh" w:bidi="ar"/>
                <w:woUserID w:val="6"/>
              </w:rPr>
            </w:pPr>
            <w:r>
              <w:rPr>
                <w:rFonts w:hint="eastAsia" w:eastAsia="宋体" w:cs="Times New Roman"/>
                <w:b w:val="0"/>
                <w:i w:val="0"/>
                <w:iCs w:val="0"/>
                <w:color w:val="000000"/>
                <w:kern w:val="0"/>
                <w:sz w:val="21"/>
                <w:szCs w:val="21"/>
                <w:u w:val="none"/>
                <w:lang w:val="en-US" w:eastAsia="zh" w:bidi="ar"/>
                <w:woUserID w:val="6"/>
              </w:rPr>
              <w:t>2.3.4 平衡与功能训练：将平衡训练贯穿干预全过程，关注站立稳定性、重心控制、转移能力、步态协调和防跌倒能力，并与起立、转身、行走、上下台阶等日常生活动作训练相结合。建议采用方案：不借助手完成坐姿至站立，每组8-10次，共2组；靠墙闭眼单脚站立，每组15-20秒，共2组等。</w:t>
            </w:r>
          </w:p>
        </w:tc>
      </w:tr>
      <w:tr w14:paraId="7A40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874" w:type="pct"/>
            <w:vMerge w:val="continue"/>
            <w:tcBorders>
              <w:left w:val="nil"/>
              <w:right w:val="nil"/>
            </w:tcBorders>
            <w:shd w:val="clear" w:color="auto" w:fill="FFFFFF"/>
            <w:vAlign w:val="top"/>
          </w:tcPr>
          <w:p w14:paraId="6A4A6E65">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bottom w:val="nil"/>
              <w:right w:val="nil"/>
            </w:tcBorders>
            <w:shd w:val="clear" w:color="auto" w:fill="FFFFFF"/>
            <w:vAlign w:val="top"/>
          </w:tcPr>
          <w:p w14:paraId="18AAFCEA">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2"/>
              </w:rPr>
            </w:pPr>
          </w:p>
        </w:tc>
        <w:tc>
          <w:tcPr>
            <w:tcW w:w="2891" w:type="pct"/>
            <w:tcBorders>
              <w:top w:val="nil"/>
              <w:left w:val="nil"/>
              <w:bottom w:val="nil"/>
              <w:right w:val="nil"/>
            </w:tcBorders>
            <w:shd w:val="clear" w:color="auto" w:fill="FFFFFF"/>
            <w:vAlign w:val="top"/>
          </w:tcPr>
          <w:p w14:paraId="36A8B867">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6"/>
              </w:rPr>
            </w:pPr>
            <w:r>
              <w:rPr>
                <w:rFonts w:hint="eastAsia" w:eastAsia="宋体" w:cs="Times New Roman"/>
                <w:b w:val="0"/>
                <w:i w:val="0"/>
                <w:iCs w:val="0"/>
                <w:color w:val="000000"/>
                <w:kern w:val="0"/>
                <w:sz w:val="21"/>
                <w:szCs w:val="21"/>
                <w:u w:val="none"/>
                <w:lang w:val="en-US" w:eastAsia="zh" w:bidi="ar"/>
                <w:woUserID w:val="6"/>
              </w:rPr>
              <w:t>2.3.5 柔韧与关节活动训练：将柔韧和关节活动训练作为准备活动、整理活动和功能维护的重要组成部分，促进动作协调和关节活动度保持。建议采用方案：静态拉伸，调动3-4个主要肌群，每个保持20-30秒，重复2组；PNF拉伸，每组2-3个动作，每个动作20秒-30秒，2-4组。</w:t>
            </w:r>
          </w:p>
        </w:tc>
      </w:tr>
      <w:tr w14:paraId="5361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6AB63B0D">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top w:val="nil"/>
              <w:left w:val="nil"/>
              <w:right w:val="nil"/>
            </w:tcBorders>
            <w:shd w:val="clear" w:color="auto" w:fill="FFFFFF"/>
            <w:vAlign w:val="top"/>
          </w:tcPr>
          <w:p w14:paraId="111148C2">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sz w:val="21"/>
                <w:szCs w:val="21"/>
                <w:u w:val="none"/>
                <w:lang w:eastAsia="zh"/>
                <w:woUserID w:val="2"/>
              </w:rPr>
            </w:pPr>
            <w:r>
              <w:rPr>
                <w:rFonts w:hint="eastAsia" w:eastAsia="宋体" w:cs="Times New Roman"/>
                <w:b w:val="0"/>
                <w:i w:val="0"/>
                <w:iCs w:val="0"/>
                <w:color w:val="000000"/>
                <w:sz w:val="21"/>
                <w:szCs w:val="21"/>
                <w:u w:val="none"/>
                <w:lang w:eastAsia="zh"/>
                <w:woUserID w:val="2"/>
              </w:rPr>
              <w:t>2.</w:t>
            </w:r>
            <w:r>
              <w:rPr>
                <w:rFonts w:hint="eastAsia" w:eastAsia="宋体" w:cs="Times New Roman"/>
                <w:b w:val="0"/>
                <w:i w:val="0"/>
                <w:iCs w:val="0"/>
                <w:color w:val="000000"/>
                <w:sz w:val="21"/>
                <w:szCs w:val="21"/>
                <w:u w:val="none"/>
                <w:lang w:eastAsia="zh"/>
                <w:woUserID w:val="6"/>
              </w:rPr>
              <w:t>4</w:t>
            </w:r>
            <w:r>
              <w:rPr>
                <w:rFonts w:hint="eastAsia" w:eastAsia="宋体" w:cs="Times New Roman"/>
                <w:b w:val="0"/>
                <w:i w:val="0"/>
                <w:iCs w:val="0"/>
                <w:color w:val="000000"/>
                <w:sz w:val="21"/>
                <w:szCs w:val="21"/>
                <w:u w:val="none"/>
                <w:lang w:eastAsia="zh"/>
                <w:woUserID w:val="4"/>
              </w:rPr>
              <w:t>运动方案</w:t>
            </w:r>
            <w:r>
              <w:rPr>
                <w:rFonts w:hint="eastAsia" w:eastAsia="宋体" w:cs="Times New Roman"/>
                <w:b w:val="0"/>
                <w:i w:val="0"/>
                <w:iCs w:val="0"/>
                <w:color w:val="000000"/>
                <w:sz w:val="21"/>
                <w:szCs w:val="21"/>
                <w:u w:val="none"/>
                <w:lang w:eastAsia="zh"/>
                <w:woUserID w:val="2"/>
              </w:rPr>
              <w:t>教学与自我管理</w:t>
            </w:r>
          </w:p>
        </w:tc>
        <w:tc>
          <w:tcPr>
            <w:tcW w:w="2891" w:type="pct"/>
            <w:tcBorders>
              <w:top w:val="nil"/>
              <w:left w:val="nil"/>
              <w:bottom w:val="nil"/>
              <w:right w:val="nil"/>
            </w:tcBorders>
            <w:shd w:val="clear" w:color="auto" w:fill="FFFFFF"/>
            <w:vAlign w:val="top"/>
          </w:tcPr>
          <w:p w14:paraId="41B3B12F">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2"/>
              </w:rPr>
            </w:pPr>
            <w:r>
              <w:rPr>
                <w:rFonts w:hint="eastAsia" w:eastAsia="宋体" w:cs="Times New Roman"/>
                <w:b w:val="0"/>
                <w:i w:val="0"/>
                <w:iCs w:val="0"/>
                <w:color w:val="000000"/>
                <w:kern w:val="0"/>
                <w:sz w:val="21"/>
                <w:szCs w:val="21"/>
                <w:u w:val="none"/>
                <w:lang w:val="en-US" w:eastAsia="zh" w:bidi="ar"/>
                <w:woUserID w:val="2"/>
              </w:rPr>
              <w:t>2.</w:t>
            </w:r>
            <w:r>
              <w:rPr>
                <w:rFonts w:hint="eastAsia" w:eastAsia="宋体" w:cs="Times New Roman"/>
                <w:b w:val="0"/>
                <w:i w:val="0"/>
                <w:iCs w:val="0"/>
                <w:color w:val="000000"/>
                <w:kern w:val="0"/>
                <w:sz w:val="21"/>
                <w:szCs w:val="21"/>
                <w:u w:val="none"/>
                <w:lang w:val="en-US" w:eastAsia="zh" w:bidi="ar"/>
                <w:woUserID w:val="6"/>
              </w:rPr>
              <w:t>4</w:t>
            </w:r>
            <w:r>
              <w:rPr>
                <w:rFonts w:hint="eastAsia" w:eastAsia="宋体" w:cs="Times New Roman"/>
                <w:b w:val="0"/>
                <w:i w:val="0"/>
                <w:iCs w:val="0"/>
                <w:color w:val="000000"/>
                <w:kern w:val="0"/>
                <w:sz w:val="21"/>
                <w:szCs w:val="21"/>
                <w:u w:val="none"/>
                <w:lang w:val="en-US" w:eastAsia="zh" w:bidi="ar"/>
                <w:woUserID w:val="2"/>
              </w:rPr>
              <w:t>.1</w:t>
            </w:r>
            <w:r>
              <w:rPr>
                <w:rFonts w:hint="eastAsia" w:eastAsia="宋体" w:cs="Times New Roman"/>
                <w:b w:val="0"/>
                <w:i w:val="0"/>
                <w:iCs w:val="0"/>
                <w:color w:val="000000"/>
                <w:kern w:val="0"/>
                <w:sz w:val="21"/>
                <w:szCs w:val="21"/>
                <w:u w:val="none"/>
                <w:lang w:val="en-US" w:eastAsia="zh" w:bidi="ar"/>
                <w:woUserID w:val="6"/>
              </w:rPr>
              <w:t xml:space="preserve"> </w:t>
            </w:r>
            <w:r>
              <w:rPr>
                <w:rFonts w:hint="default" w:ascii="Times New Roman" w:hAnsi="Times New Roman" w:eastAsia="宋体" w:cs="Times New Roman"/>
                <w:b w:val="0"/>
                <w:i w:val="0"/>
                <w:iCs w:val="0"/>
                <w:color w:val="000000"/>
                <w:kern w:val="0"/>
                <w:sz w:val="21"/>
                <w:szCs w:val="21"/>
                <w:u w:val="none"/>
                <w:lang w:val="en-US" w:eastAsia="zh-CN" w:bidi="ar"/>
                <w:woUserID w:val="2"/>
              </w:rPr>
              <w:t>教学指导：向老年人及照护者讲解运动方案内容、动作要领及注意事项，现场示范标准动作并指导正确姿势与呼吸配合。</w:t>
            </w:r>
          </w:p>
        </w:tc>
      </w:tr>
      <w:tr w14:paraId="5B43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747C89D8">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7AE88EFD">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sz w:val="21"/>
                <w:szCs w:val="21"/>
                <w:u w:val="none"/>
                <w:lang w:eastAsia="zh"/>
                <w:woUserID w:val="2"/>
              </w:rPr>
            </w:pPr>
          </w:p>
        </w:tc>
        <w:tc>
          <w:tcPr>
            <w:tcW w:w="2891" w:type="pct"/>
            <w:tcBorders>
              <w:top w:val="nil"/>
              <w:left w:val="nil"/>
              <w:bottom w:val="nil"/>
              <w:right w:val="nil"/>
            </w:tcBorders>
            <w:shd w:val="clear" w:color="auto" w:fill="FFFFFF"/>
            <w:vAlign w:val="top"/>
          </w:tcPr>
          <w:p w14:paraId="3E420381">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2"/>
              </w:rPr>
            </w:pPr>
            <w:r>
              <w:rPr>
                <w:rFonts w:hint="eastAsia" w:eastAsia="宋体" w:cs="Times New Roman"/>
                <w:b w:val="0"/>
                <w:i w:val="0"/>
                <w:iCs w:val="0"/>
                <w:color w:val="000000"/>
                <w:kern w:val="0"/>
                <w:sz w:val="21"/>
                <w:szCs w:val="21"/>
                <w:u w:val="none"/>
                <w:lang w:val="en-US" w:eastAsia="zh" w:bidi="ar"/>
                <w:woUserID w:val="2"/>
              </w:rPr>
              <w:t>2.</w:t>
            </w:r>
            <w:r>
              <w:rPr>
                <w:rFonts w:hint="eastAsia" w:eastAsia="宋体" w:cs="Times New Roman"/>
                <w:b w:val="0"/>
                <w:i w:val="0"/>
                <w:iCs w:val="0"/>
                <w:color w:val="000000"/>
                <w:kern w:val="0"/>
                <w:sz w:val="21"/>
                <w:szCs w:val="21"/>
                <w:u w:val="none"/>
                <w:lang w:val="en-US" w:eastAsia="zh" w:bidi="ar"/>
                <w:woUserID w:val="6"/>
              </w:rPr>
              <w:t>4</w:t>
            </w:r>
            <w:r>
              <w:rPr>
                <w:rFonts w:hint="eastAsia" w:eastAsia="宋体" w:cs="Times New Roman"/>
                <w:b w:val="0"/>
                <w:i w:val="0"/>
                <w:iCs w:val="0"/>
                <w:color w:val="000000"/>
                <w:kern w:val="0"/>
                <w:sz w:val="21"/>
                <w:szCs w:val="21"/>
                <w:u w:val="none"/>
                <w:lang w:val="en-US" w:eastAsia="zh" w:bidi="ar"/>
                <w:woUserID w:val="2"/>
              </w:rPr>
              <w:t>.2</w:t>
            </w:r>
            <w:r>
              <w:rPr>
                <w:rFonts w:hint="eastAsia" w:eastAsia="宋体" w:cs="Times New Roman"/>
                <w:b w:val="0"/>
                <w:i w:val="0"/>
                <w:iCs w:val="0"/>
                <w:color w:val="000000"/>
                <w:kern w:val="0"/>
                <w:sz w:val="21"/>
                <w:szCs w:val="21"/>
                <w:u w:val="none"/>
                <w:lang w:val="en-US" w:eastAsia="zh" w:bidi="ar"/>
                <w:woUserID w:val="6"/>
              </w:rPr>
              <w:t xml:space="preserve"> </w:t>
            </w:r>
            <w:r>
              <w:rPr>
                <w:rFonts w:hint="default" w:ascii="Times New Roman" w:hAnsi="Times New Roman" w:eastAsia="宋体" w:cs="Times New Roman"/>
                <w:b w:val="0"/>
                <w:i w:val="0"/>
                <w:iCs w:val="0"/>
                <w:color w:val="000000"/>
                <w:kern w:val="0"/>
                <w:sz w:val="21"/>
                <w:szCs w:val="21"/>
                <w:u w:val="none"/>
                <w:lang w:val="en-US" w:eastAsia="zh-CN" w:bidi="ar"/>
                <w:woUserID w:val="2"/>
              </w:rPr>
              <w:t>强度自评：教授Borg自感劳累评分量表（RPE）和OMNI自感劳累量表的使用方法，指导老年人在运动中自主判断运动强度。</w:t>
            </w:r>
          </w:p>
        </w:tc>
      </w:tr>
      <w:tr w14:paraId="2FAA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10DADAA8">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bottom w:val="nil"/>
              <w:right w:val="nil"/>
            </w:tcBorders>
            <w:shd w:val="clear" w:color="auto" w:fill="FFFFFF"/>
            <w:vAlign w:val="top"/>
          </w:tcPr>
          <w:p w14:paraId="34F243A7">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sz w:val="21"/>
                <w:szCs w:val="21"/>
                <w:u w:val="none"/>
                <w:lang w:eastAsia="zh"/>
                <w:woUserID w:val="2"/>
              </w:rPr>
            </w:pPr>
          </w:p>
        </w:tc>
        <w:tc>
          <w:tcPr>
            <w:tcW w:w="2891" w:type="pct"/>
            <w:tcBorders>
              <w:top w:val="nil"/>
              <w:left w:val="nil"/>
              <w:bottom w:val="nil"/>
              <w:right w:val="nil"/>
            </w:tcBorders>
            <w:shd w:val="clear" w:color="auto" w:fill="FFFFFF"/>
            <w:vAlign w:val="top"/>
          </w:tcPr>
          <w:p w14:paraId="635C637C">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default" w:ascii="Times New Roman" w:hAnsi="Times New Roman" w:eastAsia="宋体" w:cs="Times New Roman"/>
                <w:b w:val="0"/>
                <w:i w:val="0"/>
                <w:iCs w:val="0"/>
                <w:color w:val="000000"/>
                <w:kern w:val="0"/>
                <w:sz w:val="21"/>
                <w:szCs w:val="21"/>
                <w:u w:val="none"/>
                <w:lang w:val="en-US" w:eastAsia="zh-CN" w:bidi="ar"/>
                <w:woUserID w:val="2"/>
              </w:rPr>
            </w:pPr>
            <w:r>
              <w:rPr>
                <w:rFonts w:hint="eastAsia" w:eastAsia="宋体" w:cs="Times New Roman"/>
                <w:b w:val="0"/>
                <w:i w:val="0"/>
                <w:iCs w:val="0"/>
                <w:color w:val="000000"/>
                <w:kern w:val="0"/>
                <w:sz w:val="21"/>
                <w:szCs w:val="21"/>
                <w:u w:val="none"/>
                <w:lang w:val="en-US" w:eastAsia="zh" w:bidi="ar"/>
                <w:woUserID w:val="2"/>
              </w:rPr>
              <w:t>2.</w:t>
            </w:r>
            <w:r>
              <w:rPr>
                <w:rFonts w:hint="eastAsia" w:eastAsia="宋体" w:cs="Times New Roman"/>
                <w:b w:val="0"/>
                <w:i w:val="0"/>
                <w:iCs w:val="0"/>
                <w:color w:val="000000"/>
                <w:kern w:val="0"/>
                <w:sz w:val="21"/>
                <w:szCs w:val="21"/>
                <w:u w:val="none"/>
                <w:lang w:val="en-US" w:eastAsia="zh" w:bidi="ar"/>
                <w:woUserID w:val="6"/>
              </w:rPr>
              <w:t>4</w:t>
            </w:r>
            <w:r>
              <w:rPr>
                <w:rFonts w:hint="eastAsia" w:eastAsia="宋体" w:cs="Times New Roman"/>
                <w:b w:val="0"/>
                <w:i w:val="0"/>
                <w:iCs w:val="0"/>
                <w:color w:val="000000"/>
                <w:kern w:val="0"/>
                <w:sz w:val="21"/>
                <w:szCs w:val="21"/>
                <w:u w:val="none"/>
                <w:lang w:val="en-US" w:eastAsia="zh" w:bidi="ar"/>
                <w:woUserID w:val="2"/>
              </w:rPr>
              <w:t>.3</w:t>
            </w:r>
            <w:r>
              <w:rPr>
                <w:rFonts w:hint="eastAsia" w:eastAsia="宋体" w:cs="Times New Roman"/>
                <w:b w:val="0"/>
                <w:i w:val="0"/>
                <w:iCs w:val="0"/>
                <w:color w:val="000000"/>
                <w:kern w:val="0"/>
                <w:sz w:val="21"/>
                <w:szCs w:val="21"/>
                <w:u w:val="none"/>
                <w:lang w:val="en-US" w:eastAsia="zh" w:bidi="ar"/>
                <w:woUserID w:val="6"/>
              </w:rPr>
              <w:t xml:space="preserve"> </w:t>
            </w:r>
            <w:r>
              <w:rPr>
                <w:rFonts w:hint="default" w:ascii="Times New Roman" w:hAnsi="Times New Roman" w:eastAsia="宋体" w:cs="Times New Roman"/>
                <w:b w:val="0"/>
                <w:i w:val="0"/>
                <w:iCs w:val="0"/>
                <w:color w:val="000000"/>
                <w:kern w:val="0"/>
                <w:sz w:val="21"/>
                <w:szCs w:val="21"/>
                <w:u w:val="none"/>
                <w:lang w:val="en-US" w:eastAsia="zh-CN" w:bidi="ar"/>
                <w:woUserID w:val="2"/>
              </w:rPr>
              <w:t>协助管理：指导老年人填写运动记录表，建立定期反馈机制，结合打卡表等激励工具提高运动依从性。</w:t>
            </w:r>
          </w:p>
        </w:tc>
      </w:tr>
      <w:tr w14:paraId="67C6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3FAE2E81">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top w:val="nil"/>
              <w:left w:val="nil"/>
              <w:right w:val="nil"/>
            </w:tcBorders>
            <w:shd w:val="clear" w:color="auto" w:fill="FFFFFF"/>
            <w:vAlign w:val="top"/>
          </w:tcPr>
          <w:p w14:paraId="3C6C9A11">
            <w:pPr>
              <w:keepNext w:val="0"/>
              <w:keepLines w:val="0"/>
              <w:suppressLineNumbers w:val="0"/>
              <w:spacing w:before="0" w:beforeAutospacing="0" w:after="0" w:afterAutospacing="0"/>
              <w:ind w:left="0" w:leftChars="0" w:right="0" w:firstLine="0" w:firstLineChars="0"/>
              <w:jc w:val="both"/>
              <w:outlineLvl w:val="9"/>
              <w:rPr>
                <w:rFonts w:hint="eastAsia" w:ascii="Times New Roman" w:hAnsi="Times New Roman" w:eastAsia="宋体" w:cs="Times New Roman"/>
                <w:b w:val="0"/>
                <w:i w:val="0"/>
                <w:iCs w:val="0"/>
                <w:color w:val="000000"/>
                <w:sz w:val="21"/>
                <w:szCs w:val="21"/>
                <w:u w:val="none"/>
                <w:lang w:eastAsia="zh"/>
                <w:woUserID w:val="2"/>
              </w:rPr>
            </w:pPr>
            <w:r>
              <w:rPr>
                <w:rFonts w:hint="eastAsia" w:eastAsia="宋体" w:cs="Times New Roman"/>
                <w:b w:val="0"/>
                <w:i w:val="0"/>
                <w:iCs w:val="0"/>
                <w:color w:val="000000"/>
                <w:sz w:val="21"/>
                <w:szCs w:val="21"/>
                <w:u w:val="none"/>
                <w:lang w:eastAsia="zh"/>
                <w:woUserID w:val="2"/>
              </w:rPr>
              <w:t>2.</w:t>
            </w:r>
            <w:r>
              <w:rPr>
                <w:rFonts w:hint="eastAsia" w:eastAsia="宋体" w:cs="Times New Roman"/>
                <w:b w:val="0"/>
                <w:i w:val="0"/>
                <w:iCs w:val="0"/>
                <w:color w:val="000000"/>
                <w:sz w:val="21"/>
                <w:szCs w:val="21"/>
                <w:u w:val="none"/>
                <w:lang w:eastAsia="zh"/>
                <w:woUserID w:val="6"/>
              </w:rPr>
              <w:t>5</w:t>
            </w:r>
            <w:r>
              <w:rPr>
                <w:rFonts w:hint="eastAsia" w:eastAsia="宋体" w:cs="Times New Roman"/>
                <w:b w:val="0"/>
                <w:i w:val="0"/>
                <w:iCs w:val="0"/>
                <w:color w:val="000000"/>
                <w:sz w:val="21"/>
                <w:szCs w:val="21"/>
                <w:u w:val="none"/>
                <w:lang w:eastAsia="zh"/>
                <w:woUserID w:val="2"/>
              </w:rPr>
              <w:t>运动实施与安全监测</w:t>
            </w:r>
          </w:p>
        </w:tc>
        <w:tc>
          <w:tcPr>
            <w:tcW w:w="2891" w:type="pct"/>
            <w:tcBorders>
              <w:top w:val="nil"/>
              <w:left w:val="nil"/>
              <w:bottom w:val="nil"/>
              <w:right w:val="nil"/>
            </w:tcBorders>
            <w:shd w:val="clear" w:color="auto" w:fill="FFFFFF"/>
            <w:vAlign w:val="top"/>
          </w:tcPr>
          <w:p w14:paraId="72611F47">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eastAsia" w:eastAsia="宋体" w:cs="Times New Roman"/>
                <w:b w:val="0"/>
                <w:i w:val="0"/>
                <w:iCs w:val="0"/>
                <w:color w:val="000000"/>
                <w:kern w:val="0"/>
                <w:sz w:val="21"/>
                <w:szCs w:val="21"/>
                <w:u w:val="none"/>
                <w:lang w:val="en-US" w:eastAsia="zh" w:bidi="ar"/>
                <w:woUserID w:val="2"/>
              </w:rPr>
              <w:t>2</w:t>
            </w:r>
            <w:r>
              <w:rPr>
                <w:rFonts w:hint="eastAsia" w:eastAsia="宋体" w:cs="Times New Roman"/>
                <w:b w:val="0"/>
                <w:i w:val="0"/>
                <w:iCs w:val="0"/>
                <w:color w:val="000000"/>
                <w:kern w:val="0"/>
                <w:sz w:val="21"/>
                <w:szCs w:val="21"/>
                <w:u w:val="none"/>
                <w:lang w:val="en-US" w:eastAsia="zh" w:bidi="ar"/>
                <w:woUserID w:val="6"/>
              </w:rPr>
              <w:t>.5</w:t>
            </w:r>
            <w:r>
              <w:rPr>
                <w:rFonts w:hint="eastAsia" w:eastAsia="宋体" w:cs="Times New Roman"/>
                <w:b w:val="0"/>
                <w:i w:val="0"/>
                <w:iCs w:val="0"/>
                <w:color w:val="000000"/>
                <w:kern w:val="0"/>
                <w:sz w:val="21"/>
                <w:szCs w:val="21"/>
                <w:u w:val="none"/>
                <w:lang w:val="en-US" w:eastAsia="zh" w:bidi="ar"/>
                <w:woUserID w:val="2"/>
              </w:rPr>
              <w:t>.1</w:t>
            </w:r>
            <w:r>
              <w:rPr>
                <w:rFonts w:hint="default" w:ascii="Times New Roman" w:hAnsi="Times New Roman" w:eastAsia="宋体" w:cs="Times New Roman"/>
                <w:b w:val="0"/>
                <w:i w:val="0"/>
                <w:iCs w:val="0"/>
                <w:color w:val="000000"/>
                <w:kern w:val="0"/>
                <w:sz w:val="21"/>
                <w:szCs w:val="21"/>
                <w:u w:val="none"/>
                <w:lang w:val="en-US" w:eastAsia="zh-CN" w:bidi="ar"/>
                <w:woUserID w:val="2"/>
              </w:rPr>
              <w:t> </w:t>
            </w:r>
            <w:r>
              <w:rPr>
                <w:rFonts w:hint="eastAsia" w:eastAsia="宋体" w:cs="Times New Roman"/>
                <w:b w:val="0"/>
                <w:i w:val="0"/>
                <w:iCs w:val="0"/>
                <w:color w:val="000000"/>
                <w:kern w:val="0"/>
                <w:sz w:val="21"/>
                <w:szCs w:val="21"/>
                <w:u w:val="none"/>
                <w:lang w:val="en-US" w:eastAsia="zh" w:bidi="ar"/>
                <w:woUserID w:val="6"/>
              </w:rPr>
              <w:t xml:space="preserve"> </w:t>
            </w:r>
            <w:r>
              <w:rPr>
                <w:rFonts w:hint="default" w:ascii="Times New Roman" w:hAnsi="Times New Roman" w:eastAsia="宋体" w:cs="Times New Roman"/>
                <w:b w:val="0"/>
                <w:i w:val="0"/>
                <w:iCs w:val="0"/>
                <w:color w:val="000000"/>
                <w:kern w:val="0"/>
                <w:sz w:val="21"/>
                <w:szCs w:val="21"/>
                <w:u w:val="none"/>
                <w:lang w:val="en-US" w:eastAsia="zh-CN" w:bidi="ar"/>
                <w:woUserID w:val="2"/>
              </w:rPr>
              <w:t>监测指标：运动过程中关注疲劳感、呼吸情况、疼痛反应、步态稳定性及其他不适表现。</w:t>
            </w:r>
          </w:p>
        </w:tc>
      </w:tr>
      <w:tr w14:paraId="30FC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5C284392">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6D3C6088">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sz w:val="21"/>
                <w:szCs w:val="21"/>
                <w:u w:val="none"/>
                <w:lang w:eastAsia="zh"/>
                <w:woUserID w:val="2"/>
              </w:rPr>
            </w:pPr>
          </w:p>
        </w:tc>
        <w:tc>
          <w:tcPr>
            <w:tcW w:w="2891" w:type="pct"/>
            <w:tcBorders>
              <w:top w:val="nil"/>
              <w:left w:val="nil"/>
              <w:bottom w:val="nil"/>
              <w:right w:val="nil"/>
            </w:tcBorders>
            <w:shd w:val="clear" w:color="auto" w:fill="FFFFFF"/>
            <w:vAlign w:val="top"/>
          </w:tcPr>
          <w:p w14:paraId="335F72D2">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eastAsia" w:eastAsia="宋体" w:cs="Times New Roman"/>
                <w:b w:val="0"/>
                <w:i w:val="0"/>
                <w:iCs w:val="0"/>
                <w:color w:val="000000"/>
                <w:kern w:val="0"/>
                <w:sz w:val="21"/>
                <w:szCs w:val="21"/>
                <w:u w:val="none"/>
                <w:lang w:val="en-US" w:eastAsia="zh" w:bidi="ar"/>
                <w:woUserID w:val="2"/>
              </w:rPr>
              <w:t>2.</w:t>
            </w:r>
            <w:r>
              <w:rPr>
                <w:rFonts w:hint="eastAsia" w:eastAsia="宋体" w:cs="Times New Roman"/>
                <w:b w:val="0"/>
                <w:i w:val="0"/>
                <w:iCs w:val="0"/>
                <w:color w:val="000000"/>
                <w:kern w:val="0"/>
                <w:sz w:val="21"/>
                <w:szCs w:val="21"/>
                <w:u w:val="none"/>
                <w:lang w:val="en-US" w:eastAsia="zh" w:bidi="ar"/>
                <w:woUserID w:val="6"/>
              </w:rPr>
              <w:t>5</w:t>
            </w:r>
            <w:r>
              <w:rPr>
                <w:rFonts w:hint="eastAsia" w:eastAsia="宋体" w:cs="Times New Roman"/>
                <w:b w:val="0"/>
                <w:i w:val="0"/>
                <w:iCs w:val="0"/>
                <w:color w:val="000000"/>
                <w:kern w:val="0"/>
                <w:sz w:val="21"/>
                <w:szCs w:val="21"/>
                <w:u w:val="none"/>
                <w:lang w:val="en-US" w:eastAsia="zh" w:bidi="ar"/>
                <w:woUserID w:val="2"/>
              </w:rPr>
              <w:t>.2</w:t>
            </w:r>
            <w:r>
              <w:rPr>
                <w:rFonts w:hint="eastAsia" w:eastAsia="宋体" w:cs="Times New Roman"/>
                <w:b w:val="0"/>
                <w:i w:val="0"/>
                <w:iCs w:val="0"/>
                <w:color w:val="000000"/>
                <w:kern w:val="0"/>
                <w:sz w:val="21"/>
                <w:szCs w:val="21"/>
                <w:u w:val="none"/>
                <w:lang w:val="en-US" w:eastAsia="zh" w:bidi="ar"/>
                <w:woUserID w:val="6"/>
              </w:rPr>
              <w:t xml:space="preserve"> </w:t>
            </w:r>
            <w:r>
              <w:rPr>
                <w:rFonts w:hint="default" w:ascii="Times New Roman" w:hAnsi="Times New Roman" w:eastAsia="宋体" w:cs="Times New Roman"/>
                <w:b w:val="0"/>
                <w:i w:val="0"/>
                <w:iCs w:val="0"/>
                <w:color w:val="000000"/>
                <w:kern w:val="0"/>
                <w:sz w:val="21"/>
                <w:szCs w:val="21"/>
                <w:u w:val="none"/>
                <w:lang w:val="en-US" w:eastAsia="zh-CN" w:bidi="ar"/>
                <w:woUserID w:val="2"/>
              </w:rPr>
              <w:t>方案调整：根据运动表现与耐受情况适时调整运动内容或强度。</w:t>
            </w:r>
          </w:p>
        </w:tc>
      </w:tr>
      <w:tr w14:paraId="46FB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bottom w:val="nil"/>
              <w:right w:val="nil"/>
            </w:tcBorders>
            <w:shd w:val="clear" w:color="auto" w:fill="FFFFFF"/>
            <w:vAlign w:val="top"/>
          </w:tcPr>
          <w:p w14:paraId="70E797DB">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bottom w:val="nil"/>
              <w:right w:val="nil"/>
            </w:tcBorders>
            <w:shd w:val="clear" w:color="auto" w:fill="FFFFFF"/>
            <w:vAlign w:val="top"/>
          </w:tcPr>
          <w:p w14:paraId="07FF3AA0">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sz w:val="21"/>
                <w:szCs w:val="21"/>
                <w:u w:val="none"/>
                <w:lang w:eastAsia="zh"/>
                <w:woUserID w:val="2"/>
              </w:rPr>
            </w:pPr>
          </w:p>
        </w:tc>
        <w:tc>
          <w:tcPr>
            <w:tcW w:w="2891" w:type="pct"/>
            <w:tcBorders>
              <w:top w:val="nil"/>
              <w:left w:val="nil"/>
              <w:bottom w:val="nil"/>
              <w:right w:val="nil"/>
            </w:tcBorders>
            <w:shd w:val="clear" w:color="auto" w:fill="FFFFFF"/>
            <w:vAlign w:val="top"/>
          </w:tcPr>
          <w:p w14:paraId="0022B26D">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eastAsia" w:eastAsia="宋体" w:cs="Times New Roman"/>
                <w:b w:val="0"/>
                <w:i w:val="0"/>
                <w:iCs w:val="0"/>
                <w:color w:val="000000"/>
                <w:kern w:val="0"/>
                <w:sz w:val="21"/>
                <w:szCs w:val="21"/>
                <w:u w:val="none"/>
                <w:lang w:val="en-US" w:eastAsia="zh" w:bidi="ar"/>
                <w:woUserID w:val="2"/>
              </w:rPr>
              <w:t>2.</w:t>
            </w:r>
            <w:r>
              <w:rPr>
                <w:rFonts w:hint="eastAsia" w:eastAsia="宋体" w:cs="Times New Roman"/>
                <w:b w:val="0"/>
                <w:i w:val="0"/>
                <w:iCs w:val="0"/>
                <w:color w:val="000000"/>
                <w:kern w:val="0"/>
                <w:sz w:val="21"/>
                <w:szCs w:val="21"/>
                <w:u w:val="none"/>
                <w:lang w:val="en-US" w:eastAsia="zh" w:bidi="ar"/>
                <w:woUserID w:val="6"/>
              </w:rPr>
              <w:t>5</w:t>
            </w:r>
            <w:r>
              <w:rPr>
                <w:rFonts w:hint="default" w:ascii="Times New Roman" w:hAnsi="Times New Roman" w:eastAsia="宋体" w:cs="Times New Roman"/>
                <w:b w:val="0"/>
                <w:i w:val="0"/>
                <w:iCs w:val="0"/>
                <w:color w:val="000000"/>
                <w:kern w:val="0"/>
                <w:sz w:val="21"/>
                <w:szCs w:val="21"/>
                <w:u w:val="none"/>
                <w:lang w:val="en-US" w:eastAsia="zh-CN" w:bidi="ar"/>
                <w:woUserID w:val="2"/>
              </w:rPr>
              <w:t>.3 干预终止：出现运动中心绞痛、严重头晕、黑曚，重大运动损伤，或血压过度升高、心率达峰值心率85%时，立即终止运动并就医。</w:t>
            </w:r>
          </w:p>
        </w:tc>
      </w:tr>
      <w:tr w14:paraId="73A1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restart"/>
            <w:tcBorders>
              <w:top w:val="nil"/>
              <w:left w:val="nil"/>
              <w:right w:val="nil"/>
            </w:tcBorders>
            <w:shd w:val="clear" w:color="auto" w:fill="FFFFFF"/>
            <w:vAlign w:val="top"/>
          </w:tcPr>
          <w:p w14:paraId="6B52E64E">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5"/>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 </w:t>
            </w:r>
            <w:r>
              <w:rPr>
                <w:rFonts w:hint="eastAsia" w:eastAsia="宋体" w:cs="Times New Roman"/>
                <w:b w:val="0"/>
                <w:i w:val="0"/>
                <w:iCs w:val="0"/>
                <w:color w:val="000000"/>
                <w:kern w:val="0"/>
                <w:sz w:val="21"/>
                <w:szCs w:val="21"/>
                <w:u w:val="none"/>
                <w:lang w:val="en-US" w:eastAsia="zh" w:bidi="ar"/>
                <w:woUserID w:val="5"/>
              </w:rPr>
              <w:t>营养干预</w:t>
            </w:r>
          </w:p>
        </w:tc>
        <w:tc>
          <w:tcPr>
            <w:tcW w:w="1234" w:type="pct"/>
            <w:vMerge w:val="restart"/>
            <w:tcBorders>
              <w:top w:val="nil"/>
              <w:left w:val="nil"/>
              <w:bottom w:val="nil"/>
              <w:right w:val="nil"/>
            </w:tcBorders>
            <w:shd w:val="clear" w:color="auto" w:fill="FFFFFF"/>
            <w:vAlign w:val="top"/>
          </w:tcPr>
          <w:p w14:paraId="1C999604">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5"/>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.1 </w:t>
            </w:r>
            <w:r>
              <w:rPr>
                <w:rFonts w:hint="eastAsia" w:eastAsia="宋体" w:cs="Times New Roman"/>
                <w:b w:val="0"/>
                <w:i w:val="0"/>
                <w:iCs w:val="0"/>
                <w:color w:val="000000"/>
                <w:kern w:val="0"/>
                <w:sz w:val="21"/>
                <w:szCs w:val="21"/>
                <w:u w:val="none"/>
                <w:lang w:val="en-US" w:eastAsia="zh" w:bidi="ar"/>
                <w:woUserID w:val="5"/>
              </w:rPr>
              <w:t>目标与基本要求</w:t>
            </w:r>
          </w:p>
        </w:tc>
        <w:tc>
          <w:tcPr>
            <w:tcW w:w="2891" w:type="pct"/>
            <w:tcBorders>
              <w:top w:val="nil"/>
              <w:left w:val="nil"/>
              <w:bottom w:val="nil"/>
              <w:right w:val="nil"/>
            </w:tcBorders>
            <w:shd w:val="clear" w:color="auto" w:fill="FFFFFF"/>
            <w:vAlign w:val="top"/>
          </w:tcPr>
          <w:p w14:paraId="56405BEE">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sz w:val="21"/>
                <w:szCs w:val="21"/>
                <w:u w:val="none"/>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.1.1 </w:t>
            </w:r>
            <w:r>
              <w:rPr>
                <w:rFonts w:hint="eastAsia" w:eastAsia="宋体" w:cs="Times New Roman"/>
                <w:b w:val="0"/>
                <w:i w:val="0"/>
                <w:iCs w:val="0"/>
                <w:color w:val="000000"/>
                <w:kern w:val="0"/>
                <w:sz w:val="21"/>
                <w:szCs w:val="21"/>
                <w:u w:val="none"/>
                <w:lang w:val="en-US" w:eastAsia="zh" w:bidi="ar"/>
                <w:woUserID w:val="5"/>
              </w:rPr>
              <w:t>干预目标</w:t>
            </w:r>
            <w:r>
              <w:rPr>
                <w:rStyle w:val="12"/>
                <w:rFonts w:hint="default" w:ascii="Times New Roman" w:hAnsi="Times New Roman" w:eastAsia="宋体" w:cs="Times New Roman"/>
                <w:b w:val="0"/>
                <w:color w:val="000000"/>
                <w:sz w:val="21"/>
                <w:szCs w:val="21"/>
                <w:lang w:val="en-US" w:eastAsia="zh-CN" w:bidi="ar"/>
              </w:rPr>
              <w:t>：</w:t>
            </w:r>
            <w:r>
              <w:rPr>
                <w:rStyle w:val="12"/>
                <w:rFonts w:hint="default" w:ascii="Times New Roman" w:hAnsi="Times New Roman" w:eastAsia="宋体" w:cs="Times New Roman"/>
                <w:b w:val="0"/>
                <w:color w:val="000000"/>
                <w:sz w:val="21"/>
                <w:szCs w:val="21"/>
                <w:lang w:val="en-US" w:eastAsia="zh-CN" w:bidi="ar"/>
                <w:woUserID w:val="5"/>
              </w:rPr>
              <w:t>以改善膳食质量、维持适宜体重、支持肌肉合成、促进骨健康和维护身体功能为主要方向</w:t>
            </w:r>
            <w:r>
              <w:rPr>
                <w:rStyle w:val="12"/>
                <w:rFonts w:hint="default" w:ascii="Times New Roman" w:hAnsi="Times New Roman" w:eastAsia="宋体" w:cs="Times New Roman"/>
                <w:b w:val="0"/>
                <w:color w:val="000000"/>
                <w:sz w:val="21"/>
                <w:szCs w:val="21"/>
                <w:lang w:val="en-US" w:eastAsia="zh-CN" w:bidi="ar"/>
              </w:rPr>
              <w:t>。</w:t>
            </w:r>
          </w:p>
        </w:tc>
      </w:tr>
      <w:tr w14:paraId="7258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24580CF0">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top w:val="nil"/>
              <w:left w:val="nil"/>
              <w:bottom w:val="nil"/>
              <w:right w:val="nil"/>
            </w:tcBorders>
            <w:shd w:val="clear" w:color="auto" w:fill="FFFFFF"/>
            <w:vAlign w:val="top"/>
          </w:tcPr>
          <w:p w14:paraId="4D649DA3">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2891" w:type="pct"/>
            <w:tcBorders>
              <w:top w:val="nil"/>
              <w:left w:val="nil"/>
              <w:bottom w:val="nil"/>
              <w:right w:val="nil"/>
            </w:tcBorders>
            <w:shd w:val="clear" w:color="auto" w:fill="FFFFFF"/>
            <w:vAlign w:val="top"/>
          </w:tcPr>
          <w:p w14:paraId="1832A62C">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sz w:val="21"/>
                <w:szCs w:val="21"/>
                <w:u w:val="none"/>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.1.2 </w:t>
            </w:r>
            <w:r>
              <w:rPr>
                <w:rFonts w:hint="eastAsia" w:eastAsia="宋体" w:cs="Times New Roman"/>
                <w:b w:val="0"/>
                <w:i w:val="0"/>
                <w:iCs w:val="0"/>
                <w:color w:val="000000"/>
                <w:kern w:val="0"/>
                <w:sz w:val="21"/>
                <w:szCs w:val="21"/>
                <w:u w:val="none"/>
                <w:lang w:val="en-US" w:eastAsia="zh" w:bidi="ar"/>
                <w:woUserID w:val="5"/>
              </w:rPr>
              <w:t>干预对象</w:t>
            </w:r>
            <w:r>
              <w:rPr>
                <w:rStyle w:val="12"/>
                <w:rFonts w:hint="default" w:ascii="Times New Roman" w:hAnsi="Times New Roman" w:eastAsia="宋体" w:cs="Times New Roman"/>
                <w:b w:val="0"/>
                <w:color w:val="000000"/>
                <w:sz w:val="21"/>
                <w:szCs w:val="21"/>
                <w:lang w:val="en-US" w:eastAsia="zh-CN" w:bidi="ar"/>
              </w:rPr>
              <w:t>：</w:t>
            </w:r>
            <w:r>
              <w:rPr>
                <w:rStyle w:val="12"/>
                <w:rFonts w:hint="default" w:ascii="Times New Roman" w:hAnsi="Times New Roman" w:eastAsia="宋体" w:cs="Times New Roman"/>
                <w:b w:val="0"/>
                <w:color w:val="000000"/>
                <w:sz w:val="21"/>
                <w:szCs w:val="21"/>
                <w:lang w:val="en-US" w:eastAsia="zh-CN" w:bidi="ar"/>
                <w:woUserID w:val="5"/>
              </w:rPr>
              <w:t>针对肌骨共病分级≥2级的老年人</w:t>
            </w:r>
            <w:r>
              <w:rPr>
                <w:rStyle w:val="12"/>
                <w:rFonts w:hint="default" w:ascii="Times New Roman" w:hAnsi="Times New Roman" w:eastAsia="宋体" w:cs="Times New Roman"/>
                <w:b w:val="0"/>
                <w:color w:val="000000"/>
                <w:sz w:val="21"/>
                <w:szCs w:val="21"/>
                <w:lang w:val="en-US" w:eastAsia="zh-CN" w:bidi="ar"/>
              </w:rPr>
              <w:t>。</w:t>
            </w:r>
          </w:p>
        </w:tc>
      </w:tr>
      <w:tr w14:paraId="63C2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20B732A4">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top w:val="nil"/>
              <w:left w:val="nil"/>
              <w:right w:val="nil"/>
            </w:tcBorders>
            <w:shd w:val="clear" w:color="auto" w:fill="FFFFFF"/>
            <w:vAlign w:val="top"/>
          </w:tcPr>
          <w:p w14:paraId="47EA40E7">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5"/>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.2 </w:t>
            </w:r>
            <w:r>
              <w:rPr>
                <w:rFonts w:hint="eastAsia" w:eastAsia="宋体" w:cs="Times New Roman"/>
                <w:b w:val="0"/>
                <w:i w:val="0"/>
                <w:iCs w:val="0"/>
                <w:color w:val="000000"/>
                <w:kern w:val="0"/>
                <w:sz w:val="21"/>
                <w:szCs w:val="21"/>
                <w:u w:val="none"/>
                <w:lang w:val="en-US" w:eastAsia="zh" w:bidi="ar"/>
                <w:woUserID w:val="5"/>
              </w:rPr>
              <w:t>营养干预方案制定</w:t>
            </w:r>
          </w:p>
        </w:tc>
        <w:tc>
          <w:tcPr>
            <w:tcW w:w="2891" w:type="pct"/>
            <w:tcBorders>
              <w:top w:val="nil"/>
              <w:left w:val="nil"/>
              <w:bottom w:val="nil"/>
              <w:right w:val="nil"/>
            </w:tcBorders>
            <w:shd w:val="clear" w:color="auto" w:fill="FFFFFF"/>
            <w:vAlign w:val="top"/>
          </w:tcPr>
          <w:p w14:paraId="0F78961E">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sz w:val="21"/>
                <w:szCs w:val="21"/>
                <w:u w:val="none"/>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.2.1 </w:t>
            </w:r>
            <w:r>
              <w:rPr>
                <w:rFonts w:hint="eastAsia" w:eastAsia="宋体" w:cs="Times New Roman"/>
                <w:b w:val="0"/>
                <w:i w:val="0"/>
                <w:iCs w:val="0"/>
                <w:color w:val="000000"/>
                <w:kern w:val="0"/>
                <w:sz w:val="21"/>
                <w:szCs w:val="21"/>
                <w:u w:val="none"/>
                <w:lang w:val="en-US" w:eastAsia="zh" w:bidi="ar"/>
                <w:woUserID w:val="5"/>
              </w:rPr>
              <w:t>确定目标热量</w:t>
            </w:r>
            <w:r>
              <w:rPr>
                <w:rStyle w:val="12"/>
                <w:rFonts w:hint="default" w:ascii="Times New Roman" w:hAnsi="Times New Roman" w:eastAsia="宋体" w:cs="Times New Roman"/>
                <w:b w:val="0"/>
                <w:color w:val="000000"/>
                <w:sz w:val="21"/>
                <w:szCs w:val="21"/>
                <w:lang w:val="en-US" w:eastAsia="zh-CN" w:bidi="ar"/>
              </w:rPr>
              <w:t>：</w:t>
            </w:r>
            <w:r>
              <w:rPr>
                <w:rStyle w:val="12"/>
                <w:rFonts w:hint="default" w:ascii="Times New Roman" w:hAnsi="Times New Roman" w:eastAsia="宋体" w:cs="Times New Roman"/>
                <w:b w:val="0"/>
                <w:color w:val="000000"/>
                <w:sz w:val="21"/>
                <w:szCs w:val="21"/>
                <w:lang w:val="en-US" w:eastAsia="zh-CN" w:bidi="ar"/>
                <w:woUserID w:val="5"/>
              </w:rPr>
              <w:t>根据个体情况、结合体力活动水平确定每日目标热量</w:t>
            </w:r>
            <w:r>
              <w:rPr>
                <w:rStyle w:val="12"/>
                <w:rFonts w:hint="default" w:ascii="Times New Roman" w:hAnsi="Times New Roman" w:eastAsia="宋体" w:cs="Times New Roman"/>
                <w:b w:val="0"/>
                <w:color w:val="000000"/>
                <w:sz w:val="21"/>
                <w:szCs w:val="21"/>
                <w:lang w:val="en-US" w:eastAsia="zh-CN" w:bidi="ar"/>
              </w:rPr>
              <w:t>。</w:t>
            </w:r>
          </w:p>
        </w:tc>
      </w:tr>
      <w:tr w14:paraId="2BC4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325C2790">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5EBABAA8">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p>
        </w:tc>
        <w:tc>
          <w:tcPr>
            <w:tcW w:w="2891" w:type="pct"/>
            <w:tcBorders>
              <w:top w:val="nil"/>
              <w:left w:val="nil"/>
              <w:bottom w:val="nil"/>
              <w:right w:val="nil"/>
            </w:tcBorders>
            <w:shd w:val="clear" w:color="auto" w:fill="FFFFFF"/>
            <w:vAlign w:val="top"/>
          </w:tcPr>
          <w:p w14:paraId="4FB28543">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ascii="Times New Roman" w:hAnsi="Times New Roman"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3.2.2 提供膳食建议：在满足《中国老年人膳食指南（2022版）》的基础上，针对肌骨营养需求提供每日食物摄入建议。</w:t>
            </w:r>
          </w:p>
        </w:tc>
      </w:tr>
      <w:tr w14:paraId="7C4A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6F40616C">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03AA8CB8">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p>
        </w:tc>
        <w:tc>
          <w:tcPr>
            <w:tcW w:w="2891" w:type="pct"/>
            <w:tcBorders>
              <w:top w:val="nil"/>
              <w:left w:val="nil"/>
              <w:bottom w:val="nil"/>
              <w:right w:val="nil"/>
            </w:tcBorders>
            <w:shd w:val="clear" w:color="auto" w:fill="FFFFFF"/>
            <w:vAlign w:val="top"/>
          </w:tcPr>
          <w:p w14:paraId="63C0C88F">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3.2.3 营养素补充：根据个体的肌骨相关营养素缺乏情况进行针对性补充</w:t>
            </w:r>
          </w:p>
        </w:tc>
      </w:tr>
      <w:tr w14:paraId="1CA0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6C4767D8">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top w:val="nil"/>
              <w:left w:val="nil"/>
              <w:right w:val="nil"/>
            </w:tcBorders>
            <w:shd w:val="clear" w:color="auto" w:fill="FFFFFF"/>
            <w:vAlign w:val="top"/>
          </w:tcPr>
          <w:p w14:paraId="15244B9B">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5"/>
              </w:rPr>
            </w:pPr>
            <w:r>
              <w:rPr>
                <w:rFonts w:hint="eastAsia" w:eastAsia="宋体" w:cs="Times New Roman"/>
                <w:b w:val="0"/>
                <w:i w:val="0"/>
                <w:iCs w:val="0"/>
                <w:color w:val="000000"/>
                <w:sz w:val="21"/>
                <w:szCs w:val="21"/>
                <w:u w:val="none"/>
                <w:lang w:eastAsia="zh"/>
                <w:woUserID w:val="5"/>
              </w:rPr>
              <w:t xml:space="preserve">3.3 </w:t>
            </w:r>
            <w:r>
              <w:rPr>
                <w:rFonts w:hint="eastAsia" w:eastAsia="宋体" w:cs="Times New Roman"/>
                <w:b w:val="0"/>
                <w:i w:val="0"/>
                <w:iCs w:val="0"/>
                <w:color w:val="000000"/>
                <w:sz w:val="21"/>
                <w:szCs w:val="21"/>
                <w:u w:val="none"/>
                <w:lang w:eastAsia="zh"/>
                <w:woUserID w:val="4"/>
              </w:rPr>
              <w:t>营养干预</w:t>
            </w:r>
            <w:r>
              <w:rPr>
                <w:rFonts w:hint="eastAsia" w:eastAsia="宋体" w:cs="Times New Roman"/>
                <w:b w:val="0"/>
                <w:i w:val="0"/>
                <w:iCs w:val="0"/>
                <w:color w:val="000000"/>
                <w:sz w:val="21"/>
                <w:szCs w:val="21"/>
                <w:u w:val="none"/>
                <w:lang w:eastAsia="zh"/>
                <w:woUserID w:val="5"/>
              </w:rPr>
              <w:t>指导与自我管理</w:t>
            </w:r>
          </w:p>
        </w:tc>
        <w:tc>
          <w:tcPr>
            <w:tcW w:w="2891" w:type="pct"/>
            <w:tcBorders>
              <w:top w:val="nil"/>
              <w:left w:val="nil"/>
              <w:bottom w:val="nil"/>
              <w:right w:val="nil"/>
            </w:tcBorders>
            <w:shd w:val="clear" w:color="auto" w:fill="FFFFFF"/>
            <w:vAlign w:val="top"/>
          </w:tcPr>
          <w:p w14:paraId="4DA9C1C5">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sz w:val="21"/>
                <w:szCs w:val="21"/>
                <w:u w:val="none"/>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.3.1 </w:t>
            </w:r>
            <w:r>
              <w:rPr>
                <w:rFonts w:hint="eastAsia" w:eastAsia="宋体" w:cs="Times New Roman"/>
                <w:b w:val="0"/>
                <w:i w:val="0"/>
                <w:iCs w:val="0"/>
                <w:color w:val="000000"/>
                <w:kern w:val="0"/>
                <w:sz w:val="21"/>
                <w:szCs w:val="21"/>
                <w:u w:val="none"/>
                <w:lang w:val="en-US" w:eastAsia="zh" w:bidi="ar"/>
                <w:woUserID w:val="5"/>
              </w:rPr>
              <w:t>教学指导</w:t>
            </w:r>
            <w:r>
              <w:rPr>
                <w:rStyle w:val="12"/>
                <w:rFonts w:hint="default" w:ascii="Times New Roman" w:hAnsi="Times New Roman" w:eastAsia="宋体" w:cs="Times New Roman"/>
                <w:b w:val="0"/>
                <w:color w:val="000000"/>
                <w:sz w:val="21"/>
                <w:szCs w:val="21"/>
                <w:lang w:val="en-US" w:eastAsia="zh-CN" w:bidi="ar"/>
              </w:rPr>
              <w:t>：</w:t>
            </w:r>
            <w:r>
              <w:rPr>
                <w:rStyle w:val="12"/>
                <w:rFonts w:hint="eastAsia" w:eastAsia="宋体" w:cs="Times New Roman"/>
                <w:b w:val="0"/>
                <w:color w:val="000000"/>
                <w:sz w:val="21"/>
                <w:szCs w:val="21"/>
                <w:lang w:val="en-US" w:eastAsia="zh" w:bidi="ar"/>
                <w:woUserID w:val="5"/>
              </w:rPr>
              <w:t>指导老年人</w:t>
            </w:r>
            <w:r>
              <w:rPr>
                <w:rStyle w:val="12"/>
                <w:rFonts w:hint="default" w:ascii="Times New Roman" w:hAnsi="Times New Roman" w:eastAsia="宋体" w:cs="Times New Roman"/>
                <w:b w:val="0"/>
                <w:color w:val="000000"/>
                <w:sz w:val="21"/>
                <w:szCs w:val="21"/>
                <w:lang w:val="en-US" w:eastAsia="zh-CN" w:bidi="ar"/>
                <w:woUserID w:val="5"/>
              </w:rPr>
              <w:t>做好</w:t>
            </w:r>
            <w:r>
              <w:rPr>
                <w:rStyle w:val="12"/>
                <w:rFonts w:hint="eastAsia" w:eastAsia="宋体" w:cs="Times New Roman"/>
                <w:b w:val="0"/>
                <w:color w:val="000000"/>
                <w:sz w:val="21"/>
                <w:szCs w:val="21"/>
                <w:lang w:val="en-US" w:eastAsia="zh" w:bidi="ar"/>
                <w:woUserID w:val="5"/>
              </w:rPr>
              <w:t>膳食行为</w:t>
            </w:r>
            <w:r>
              <w:rPr>
                <w:rStyle w:val="12"/>
                <w:rFonts w:hint="default" w:ascii="Times New Roman" w:hAnsi="Times New Roman" w:eastAsia="宋体" w:cs="Times New Roman"/>
                <w:b w:val="0"/>
                <w:color w:val="000000"/>
                <w:sz w:val="21"/>
                <w:szCs w:val="21"/>
                <w:lang w:val="en-US" w:eastAsia="zh-CN" w:bidi="ar"/>
                <w:woUserID w:val="5"/>
              </w:rPr>
              <w:t>记录，完成定期</w:t>
            </w:r>
            <w:r>
              <w:rPr>
                <w:rStyle w:val="12"/>
                <w:rFonts w:hint="eastAsia" w:eastAsia="宋体" w:cs="Times New Roman"/>
                <w:b w:val="0"/>
                <w:color w:val="000000"/>
                <w:sz w:val="21"/>
                <w:szCs w:val="21"/>
                <w:lang w:val="en-US" w:eastAsia="zh" w:bidi="ar"/>
                <w:woUserID w:val="5"/>
              </w:rPr>
              <w:t>身体围度</w:t>
            </w:r>
            <w:r>
              <w:rPr>
                <w:rStyle w:val="12"/>
                <w:rFonts w:hint="default" w:ascii="Times New Roman" w:hAnsi="Times New Roman" w:eastAsia="宋体" w:cs="Times New Roman"/>
                <w:b w:val="0"/>
                <w:color w:val="000000"/>
                <w:sz w:val="21"/>
                <w:szCs w:val="21"/>
                <w:lang w:val="en-US" w:eastAsia="zh-CN" w:bidi="ar"/>
                <w:woUserID w:val="5"/>
              </w:rPr>
              <w:t>测量</w:t>
            </w:r>
            <w:r>
              <w:rPr>
                <w:rStyle w:val="12"/>
                <w:rFonts w:hint="default" w:ascii="Times New Roman" w:hAnsi="Times New Roman" w:eastAsia="宋体" w:cs="Times New Roman"/>
                <w:b w:val="0"/>
                <w:color w:val="000000"/>
                <w:sz w:val="21"/>
                <w:szCs w:val="21"/>
                <w:lang w:val="en-US" w:eastAsia="zh-CN" w:bidi="ar"/>
              </w:rPr>
              <w:t>。</w:t>
            </w:r>
          </w:p>
        </w:tc>
      </w:tr>
      <w:tr w14:paraId="63E2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5BD4BC74">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25C095C2">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sz w:val="21"/>
                <w:szCs w:val="21"/>
                <w:u w:val="none"/>
                <w:lang w:eastAsia="zh"/>
                <w:woUserID w:val="5"/>
              </w:rPr>
            </w:pPr>
          </w:p>
        </w:tc>
        <w:tc>
          <w:tcPr>
            <w:tcW w:w="2891" w:type="pct"/>
            <w:tcBorders>
              <w:top w:val="nil"/>
              <w:left w:val="nil"/>
              <w:bottom w:val="nil"/>
              <w:right w:val="nil"/>
            </w:tcBorders>
            <w:shd w:val="clear" w:color="auto" w:fill="FFFFFF"/>
            <w:vAlign w:val="top"/>
          </w:tcPr>
          <w:p w14:paraId="1B02866F">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ascii="Times New Roman" w:hAnsi="Times New Roman"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3.3.2 技能培训：提供食物份量估算、标签阅读、简易膳食记录等技能培训。</w:t>
            </w:r>
          </w:p>
        </w:tc>
      </w:tr>
      <w:tr w14:paraId="4BA5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251106CE">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bottom w:val="nil"/>
              <w:right w:val="nil"/>
            </w:tcBorders>
            <w:shd w:val="clear" w:color="auto" w:fill="FFFFFF"/>
            <w:vAlign w:val="top"/>
          </w:tcPr>
          <w:p w14:paraId="33440680">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sz w:val="21"/>
                <w:szCs w:val="21"/>
                <w:u w:val="none"/>
                <w:lang w:eastAsia="zh"/>
                <w:woUserID w:val="5"/>
              </w:rPr>
            </w:pPr>
          </w:p>
        </w:tc>
        <w:tc>
          <w:tcPr>
            <w:tcW w:w="2891" w:type="pct"/>
            <w:tcBorders>
              <w:top w:val="nil"/>
              <w:left w:val="nil"/>
              <w:bottom w:val="nil"/>
              <w:right w:val="nil"/>
            </w:tcBorders>
            <w:shd w:val="clear" w:color="auto" w:fill="FFFFFF"/>
            <w:vAlign w:val="top"/>
          </w:tcPr>
          <w:p w14:paraId="0BFB33EF">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ascii="Times New Roman" w:hAnsi="Times New Roman"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3.3.3 协助管理：建立定期随访与反馈机制，可结合打卡表等激励工具，提高管理依从性。</w:t>
            </w:r>
          </w:p>
        </w:tc>
      </w:tr>
      <w:tr w14:paraId="797C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874" w:type="pct"/>
            <w:vMerge w:val="continue"/>
            <w:tcBorders>
              <w:left w:val="nil"/>
              <w:right w:val="nil"/>
            </w:tcBorders>
            <w:shd w:val="clear" w:color="auto" w:fill="FFFFFF"/>
            <w:vAlign w:val="top"/>
          </w:tcPr>
          <w:p w14:paraId="226CE1CE">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top w:val="nil"/>
              <w:left w:val="nil"/>
              <w:right w:val="nil"/>
            </w:tcBorders>
            <w:shd w:val="clear" w:color="auto" w:fill="FFFFFF"/>
            <w:vAlign w:val="top"/>
          </w:tcPr>
          <w:p w14:paraId="4F2836CC">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5"/>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.4 </w:t>
            </w:r>
            <w:r>
              <w:rPr>
                <w:rFonts w:hint="eastAsia" w:eastAsia="宋体" w:cs="Times New Roman"/>
                <w:b w:val="0"/>
                <w:i w:val="0"/>
                <w:iCs w:val="0"/>
                <w:color w:val="000000"/>
                <w:kern w:val="0"/>
                <w:sz w:val="21"/>
                <w:szCs w:val="21"/>
                <w:u w:val="none"/>
                <w:lang w:val="en-US" w:eastAsia="zh" w:bidi="ar"/>
                <w:woUserID w:val="4"/>
              </w:rPr>
              <w:t>营养干预</w:t>
            </w:r>
            <w:r>
              <w:rPr>
                <w:rFonts w:hint="eastAsia" w:eastAsia="宋体" w:cs="Times New Roman"/>
                <w:b w:val="0"/>
                <w:i w:val="0"/>
                <w:iCs w:val="0"/>
                <w:color w:val="000000"/>
                <w:kern w:val="0"/>
                <w:sz w:val="21"/>
                <w:szCs w:val="21"/>
                <w:u w:val="none"/>
                <w:lang w:val="en-US" w:eastAsia="zh" w:bidi="ar"/>
                <w:woUserID w:val="5"/>
              </w:rPr>
              <w:t>安全监测与调整</w:t>
            </w:r>
          </w:p>
        </w:tc>
        <w:tc>
          <w:tcPr>
            <w:tcW w:w="2891" w:type="pct"/>
            <w:tcBorders>
              <w:top w:val="nil"/>
              <w:left w:val="nil"/>
              <w:bottom w:val="nil"/>
              <w:right w:val="nil"/>
            </w:tcBorders>
            <w:shd w:val="clear" w:color="auto" w:fill="FFFFFF"/>
            <w:vAlign w:val="top"/>
          </w:tcPr>
          <w:p w14:paraId="20FB9234">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sz w:val="21"/>
                <w:szCs w:val="21"/>
                <w:u w:val="none"/>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.4.1 </w:t>
            </w:r>
            <w:r>
              <w:rPr>
                <w:rFonts w:hint="eastAsia" w:eastAsia="宋体" w:cs="Times New Roman"/>
                <w:b w:val="0"/>
                <w:i w:val="0"/>
                <w:iCs w:val="0"/>
                <w:color w:val="000000"/>
                <w:kern w:val="0"/>
                <w:sz w:val="21"/>
                <w:szCs w:val="21"/>
                <w:u w:val="none"/>
                <w:lang w:val="en-US" w:eastAsia="zh" w:bidi="ar"/>
                <w:woUserID w:val="5"/>
              </w:rPr>
              <w:t>检测指标</w:t>
            </w:r>
            <w:r>
              <w:rPr>
                <w:rStyle w:val="12"/>
                <w:rFonts w:hint="default" w:ascii="Times New Roman" w:hAnsi="Times New Roman" w:eastAsia="宋体" w:cs="Times New Roman"/>
                <w:b w:val="0"/>
                <w:color w:val="000000"/>
                <w:sz w:val="21"/>
                <w:szCs w:val="21"/>
                <w:lang w:val="en-US" w:eastAsia="zh-CN" w:bidi="ar"/>
              </w:rPr>
              <w:t>：</w:t>
            </w:r>
            <w:r>
              <w:rPr>
                <w:rStyle w:val="12"/>
                <w:rFonts w:hint="default" w:ascii="Times New Roman" w:hAnsi="Times New Roman" w:eastAsia="宋体" w:cs="Times New Roman"/>
                <w:b w:val="0"/>
                <w:color w:val="000000"/>
                <w:sz w:val="21"/>
                <w:szCs w:val="21"/>
                <w:lang w:val="en-US" w:eastAsia="zh-CN" w:bidi="ar"/>
                <w:woUserID w:val="5"/>
              </w:rPr>
              <w:t>营养状况变化、基础疾病控制情况、营养素补充剂使用情况、过敏症状、胃肠道不适反应等</w:t>
            </w:r>
            <w:r>
              <w:rPr>
                <w:rStyle w:val="12"/>
                <w:rFonts w:hint="default" w:ascii="Times New Roman" w:hAnsi="Times New Roman" w:eastAsia="宋体" w:cs="Times New Roman"/>
                <w:b w:val="0"/>
                <w:color w:val="000000"/>
                <w:sz w:val="21"/>
                <w:szCs w:val="21"/>
                <w:lang w:val="en-US" w:eastAsia="zh-CN" w:bidi="ar"/>
              </w:rPr>
              <w:t>。</w:t>
            </w:r>
          </w:p>
        </w:tc>
      </w:tr>
      <w:tr w14:paraId="4E45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4" w:type="pct"/>
            <w:vMerge w:val="continue"/>
            <w:tcBorders>
              <w:left w:val="nil"/>
              <w:right w:val="nil"/>
            </w:tcBorders>
            <w:shd w:val="clear" w:color="auto" w:fill="FFFFFF"/>
            <w:vAlign w:val="top"/>
          </w:tcPr>
          <w:p w14:paraId="66E803AC">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2057469C">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2891" w:type="pct"/>
            <w:tcBorders>
              <w:top w:val="nil"/>
              <w:left w:val="nil"/>
              <w:bottom w:val="nil"/>
              <w:right w:val="nil"/>
            </w:tcBorders>
            <w:shd w:val="clear" w:color="auto" w:fill="FFFFFF"/>
            <w:vAlign w:val="top"/>
          </w:tcPr>
          <w:p w14:paraId="66835B8A">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sz w:val="21"/>
                <w:szCs w:val="21"/>
                <w:u w:val="none"/>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.4.2 </w:t>
            </w:r>
            <w:r>
              <w:rPr>
                <w:rFonts w:hint="eastAsia" w:eastAsia="宋体" w:cs="Times New Roman"/>
                <w:b w:val="0"/>
                <w:i w:val="0"/>
                <w:iCs w:val="0"/>
                <w:color w:val="000000"/>
                <w:kern w:val="0"/>
                <w:sz w:val="21"/>
                <w:szCs w:val="21"/>
                <w:u w:val="none"/>
                <w:lang w:val="en-US" w:eastAsia="zh" w:bidi="ar"/>
                <w:woUserID w:val="5"/>
              </w:rPr>
              <w:t>调整内容</w:t>
            </w:r>
            <w:r>
              <w:rPr>
                <w:rStyle w:val="12"/>
                <w:rFonts w:hint="default" w:ascii="Times New Roman" w:hAnsi="Times New Roman" w:eastAsia="宋体" w:cs="Times New Roman"/>
                <w:b w:val="0"/>
                <w:color w:val="000000"/>
                <w:sz w:val="21"/>
                <w:szCs w:val="21"/>
                <w:lang w:val="en-US" w:eastAsia="zh-CN" w:bidi="ar"/>
              </w:rPr>
              <w:t>：</w:t>
            </w:r>
            <w:r>
              <w:rPr>
                <w:rStyle w:val="12"/>
                <w:rFonts w:hint="default" w:ascii="Times New Roman" w:hAnsi="Times New Roman" w:eastAsia="宋体" w:cs="Times New Roman"/>
                <w:b w:val="0"/>
                <w:color w:val="000000"/>
                <w:sz w:val="21"/>
                <w:szCs w:val="21"/>
                <w:lang w:val="en-US" w:eastAsia="zh-CN" w:bidi="ar"/>
                <w:woUserID w:val="5"/>
              </w:rPr>
              <w:t>对膳食结构或营养素补充量</w:t>
            </w:r>
            <w:r>
              <w:rPr>
                <w:rStyle w:val="12"/>
                <w:rFonts w:hint="eastAsia" w:eastAsia="宋体" w:cs="Times New Roman"/>
                <w:b w:val="0"/>
                <w:color w:val="000000"/>
                <w:sz w:val="21"/>
                <w:szCs w:val="21"/>
                <w:lang w:val="en-US" w:eastAsia="zh" w:bidi="ar"/>
                <w:woUserID w:val="5"/>
              </w:rPr>
              <w:t>进行调整</w:t>
            </w:r>
            <w:r>
              <w:rPr>
                <w:rStyle w:val="12"/>
                <w:rFonts w:hint="default" w:ascii="Times New Roman" w:hAnsi="Times New Roman" w:eastAsia="宋体" w:cs="Times New Roman"/>
                <w:b w:val="0"/>
                <w:color w:val="000000"/>
                <w:sz w:val="21"/>
                <w:szCs w:val="21"/>
                <w:lang w:val="en-US" w:eastAsia="zh-CN" w:bidi="ar"/>
              </w:rPr>
              <w:t>。</w:t>
            </w:r>
          </w:p>
        </w:tc>
      </w:tr>
      <w:tr w14:paraId="3D02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3604F5F0">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bottom w:val="nil"/>
              <w:right w:val="nil"/>
            </w:tcBorders>
            <w:shd w:val="clear" w:color="auto" w:fill="FFFFFF"/>
            <w:vAlign w:val="top"/>
          </w:tcPr>
          <w:p w14:paraId="6ABA8B47">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2891" w:type="pct"/>
            <w:tcBorders>
              <w:top w:val="nil"/>
              <w:left w:val="nil"/>
              <w:bottom w:val="nil"/>
              <w:right w:val="nil"/>
            </w:tcBorders>
            <w:shd w:val="clear" w:color="auto" w:fill="FFFFFF"/>
            <w:vAlign w:val="top"/>
          </w:tcPr>
          <w:p w14:paraId="09308F4C">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3.4.3 干预终止：严重食物过敏、严重不良代谢事件和严重不耐受症状。</w:t>
            </w:r>
          </w:p>
        </w:tc>
      </w:tr>
      <w:tr w14:paraId="2C25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bottom w:val="nil"/>
              <w:right w:val="nil"/>
            </w:tcBorders>
            <w:shd w:val="clear" w:color="auto" w:fill="FFFFFF"/>
            <w:vAlign w:val="top"/>
          </w:tcPr>
          <w:p w14:paraId="7705B703">
            <w:pPr>
              <w:keepNext w:val="0"/>
              <w:keepLines w:val="0"/>
              <w:suppressLineNumbers w:val="0"/>
              <w:spacing w:before="0" w:beforeAutospacing="0" w:after="0" w:afterAutospacing="0"/>
              <w:ind w:left="0" w:right="0"/>
              <w:jc w:val="both"/>
              <w:outlineLvl w:val="9"/>
              <w:rPr>
                <w:rFonts w:hint="eastAsia" w:ascii="Times New Roman" w:hAnsi="Times New Roman" w:eastAsia="宋体" w:cs="Times New Roman"/>
                <w:b w:val="0"/>
                <w:i w:val="0"/>
                <w:iCs w:val="0"/>
                <w:color w:val="000000"/>
                <w:sz w:val="21"/>
                <w:szCs w:val="21"/>
                <w:u w:val="none"/>
                <w:lang w:eastAsia="zh"/>
              </w:rPr>
            </w:pPr>
            <w:r>
              <w:rPr>
                <w:rFonts w:hint="eastAsia" w:eastAsia="宋体" w:cs="Times New Roman"/>
                <w:b w:val="0"/>
                <w:i w:val="0"/>
                <w:iCs w:val="0"/>
                <w:color w:val="000000"/>
                <w:sz w:val="21"/>
                <w:szCs w:val="21"/>
                <w:u w:val="none"/>
                <w:lang w:eastAsia="zh"/>
                <w:woUserID w:val="5"/>
              </w:rPr>
              <w:t>。</w:t>
            </w:r>
            <w:r>
              <w:rPr>
                <w:rFonts w:hint="eastAsia" w:eastAsia="宋体" w:cs="Times New Roman"/>
                <w:b w:val="0"/>
                <w:i w:val="0"/>
                <w:iCs w:val="0"/>
                <w:color w:val="000000"/>
                <w:sz w:val="21"/>
                <w:szCs w:val="21"/>
                <w:u w:val="none"/>
                <w:lang w:eastAsia="zh"/>
              </w:rPr>
              <w:t>。</w:t>
            </w:r>
          </w:p>
        </w:tc>
        <w:tc>
          <w:tcPr>
            <w:tcW w:w="1234" w:type="pct"/>
            <w:tcBorders>
              <w:top w:val="nil"/>
              <w:left w:val="nil"/>
              <w:bottom w:val="nil"/>
              <w:right w:val="nil"/>
            </w:tcBorders>
            <w:shd w:val="clear" w:color="auto" w:fill="FFFFFF"/>
            <w:vAlign w:val="top"/>
          </w:tcPr>
          <w:p w14:paraId="41A50DAA">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4"/>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.5 </w:t>
            </w:r>
            <w:r>
              <w:rPr>
                <w:rFonts w:hint="eastAsia" w:eastAsia="宋体" w:cs="Times New Roman"/>
                <w:b w:val="0"/>
                <w:i w:val="0"/>
                <w:iCs w:val="0"/>
                <w:color w:val="000000"/>
                <w:kern w:val="0"/>
                <w:sz w:val="21"/>
                <w:szCs w:val="21"/>
                <w:u w:val="none"/>
                <w:lang w:val="en-US" w:eastAsia="zh" w:bidi="ar"/>
                <w:woUserID w:val="5"/>
              </w:rPr>
              <w:t>特殊情况</w:t>
            </w:r>
            <w:r>
              <w:rPr>
                <w:rFonts w:hint="eastAsia" w:eastAsia="宋体" w:cs="Times New Roman"/>
                <w:b w:val="0"/>
                <w:i w:val="0"/>
                <w:iCs w:val="0"/>
                <w:color w:val="000000"/>
                <w:kern w:val="0"/>
                <w:sz w:val="21"/>
                <w:szCs w:val="21"/>
                <w:u w:val="none"/>
                <w:lang w:val="en-US" w:eastAsia="zh" w:bidi="ar"/>
                <w:woUserID w:val="4"/>
              </w:rPr>
              <w:t>处理</w:t>
            </w:r>
          </w:p>
        </w:tc>
        <w:tc>
          <w:tcPr>
            <w:tcW w:w="2891" w:type="pct"/>
            <w:tcBorders>
              <w:top w:val="nil"/>
              <w:left w:val="nil"/>
              <w:bottom w:val="nil"/>
              <w:right w:val="nil"/>
            </w:tcBorders>
            <w:shd w:val="clear" w:color="auto" w:fill="FFFFFF"/>
            <w:vAlign w:val="top"/>
          </w:tcPr>
          <w:p w14:paraId="34B04BD1">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sz w:val="21"/>
                <w:szCs w:val="21"/>
                <w:u w:val="none"/>
              </w:rPr>
            </w:pPr>
            <w:r>
              <w:rPr>
                <w:rFonts w:hint="eastAsia" w:eastAsia="宋体" w:cs="Times New Roman"/>
                <w:b w:val="0"/>
                <w:i w:val="0"/>
                <w:iCs w:val="0"/>
                <w:color w:val="000000"/>
                <w:kern w:val="0"/>
                <w:sz w:val="21"/>
                <w:szCs w:val="21"/>
                <w:u w:val="none"/>
                <w:lang w:val="en-US" w:eastAsia="zh" w:bidi="ar"/>
                <w:woUserID w:val="5"/>
              </w:rPr>
              <w:t>3.</w:t>
            </w:r>
            <w:r>
              <w:rPr>
                <w:rFonts w:hint="default" w:ascii="Times New Roman" w:hAnsi="Times New Roman" w:eastAsia="宋体" w:cs="Times New Roman"/>
                <w:b w:val="0"/>
                <w:i w:val="0"/>
                <w:iCs w:val="0"/>
                <w:color w:val="000000"/>
                <w:kern w:val="0"/>
                <w:sz w:val="21"/>
                <w:szCs w:val="21"/>
                <w:u w:val="none"/>
                <w:lang w:val="en-US" w:eastAsia="zh-CN" w:bidi="ar"/>
              </w:rPr>
              <w:t xml:space="preserve">5.1 </w:t>
            </w:r>
            <w:r>
              <w:rPr>
                <w:rFonts w:hint="eastAsia" w:eastAsia="宋体" w:cs="Times New Roman"/>
                <w:b w:val="0"/>
                <w:i w:val="0"/>
                <w:iCs w:val="0"/>
                <w:color w:val="000000"/>
                <w:kern w:val="0"/>
                <w:sz w:val="21"/>
                <w:szCs w:val="21"/>
                <w:u w:val="none"/>
                <w:lang w:val="en-US" w:eastAsia="zh" w:bidi="ar"/>
                <w:woUserID w:val="5"/>
              </w:rPr>
              <w:t>特殊情况处理原则</w:t>
            </w:r>
            <w:r>
              <w:rPr>
                <w:rStyle w:val="12"/>
                <w:rFonts w:hint="default" w:ascii="Times New Roman" w:hAnsi="Times New Roman" w:eastAsia="宋体" w:cs="Times New Roman"/>
                <w:b w:val="0"/>
                <w:color w:val="000000"/>
                <w:sz w:val="21"/>
                <w:szCs w:val="21"/>
                <w:lang w:val="en-US" w:eastAsia="zh-CN" w:bidi="ar"/>
              </w:rPr>
              <w:t>：</w:t>
            </w:r>
            <w:r>
              <w:rPr>
                <w:rStyle w:val="12"/>
                <w:rFonts w:hint="default" w:ascii="Times New Roman" w:hAnsi="Times New Roman" w:eastAsia="宋体" w:cs="Times New Roman"/>
                <w:b w:val="0"/>
                <w:color w:val="000000"/>
                <w:sz w:val="21"/>
                <w:szCs w:val="21"/>
                <w:lang w:val="en-US" w:eastAsia="zh-CN" w:bidi="ar"/>
                <w:woUserID w:val="5"/>
              </w:rPr>
              <w:t>对合并有特殊营养需求疾病</w:t>
            </w:r>
            <w:r>
              <w:rPr>
                <w:rStyle w:val="12"/>
                <w:rFonts w:hint="eastAsia" w:eastAsia="宋体" w:cs="Times New Roman"/>
                <w:b w:val="0"/>
                <w:color w:val="000000"/>
                <w:sz w:val="21"/>
                <w:szCs w:val="21"/>
                <w:lang w:val="en-US" w:eastAsia="zh" w:bidi="ar"/>
                <w:woUserID w:val="5"/>
              </w:rPr>
              <w:t>者</w:t>
            </w:r>
            <w:r>
              <w:rPr>
                <w:rStyle w:val="12"/>
                <w:rFonts w:hint="default" w:ascii="Times New Roman" w:hAnsi="Times New Roman" w:eastAsia="宋体" w:cs="Times New Roman"/>
                <w:b w:val="0"/>
                <w:color w:val="000000"/>
                <w:sz w:val="21"/>
                <w:szCs w:val="21"/>
                <w:lang w:val="en-US" w:eastAsia="zh-CN" w:bidi="ar"/>
                <w:woUserID w:val="5"/>
              </w:rPr>
              <w:t>，应咨询相关专科意见，必要时在专业营养师指导下实施营养干预。</w:t>
            </w:r>
          </w:p>
        </w:tc>
      </w:tr>
      <w:tr w14:paraId="45E0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4" w:type="pct"/>
            <w:vMerge w:val="restart"/>
            <w:tcBorders>
              <w:top w:val="nil"/>
              <w:left w:val="nil"/>
              <w:right w:val="nil"/>
            </w:tcBorders>
            <w:shd w:val="clear" w:color="auto" w:fill="FFFFFF"/>
            <w:vAlign w:val="top"/>
          </w:tcPr>
          <w:p w14:paraId="617FC63B">
            <w:pPr>
              <w:keepNext w:val="0"/>
              <w:keepLines w:val="0"/>
              <w:widowControl/>
              <w:suppressLineNumbers w:val="0"/>
              <w:spacing w:before="0" w:beforeAutospacing="0" w:after="0" w:afterAutospacing="0"/>
              <w:ind w:left="0" w:right="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4</w:t>
            </w:r>
            <w:r>
              <w:rPr>
                <w:rFonts w:hint="default" w:eastAsia="宋体" w:cs="Times New Roman"/>
                <w:b w:val="0"/>
                <w:i w:val="0"/>
                <w:iCs w:val="0"/>
                <w:color w:val="000000"/>
                <w:kern w:val="0"/>
                <w:sz w:val="21"/>
                <w:szCs w:val="21"/>
                <w:u w:val="none"/>
                <w:lang w:val="en-US" w:eastAsia="zh-CN" w:bidi="ar"/>
                <w:woUserID w:val="5"/>
              </w:rPr>
              <w:t xml:space="preserve">. </w:t>
            </w:r>
            <w:r>
              <w:rPr>
                <w:rFonts w:hint="eastAsia" w:eastAsia="宋体" w:cs="Times New Roman"/>
                <w:b w:val="0"/>
                <w:i w:val="0"/>
                <w:iCs w:val="0"/>
                <w:color w:val="000000"/>
                <w:kern w:val="0"/>
                <w:sz w:val="21"/>
                <w:szCs w:val="21"/>
                <w:u w:val="none"/>
                <w:lang w:val="en-US" w:eastAsia="zh" w:bidi="ar"/>
                <w:woUserID w:val="5"/>
              </w:rPr>
              <w:t>综合实施与管理</w:t>
            </w:r>
          </w:p>
        </w:tc>
        <w:tc>
          <w:tcPr>
            <w:tcW w:w="1234" w:type="pct"/>
            <w:tcBorders>
              <w:top w:val="nil"/>
              <w:left w:val="nil"/>
              <w:bottom w:val="nil"/>
              <w:right w:val="nil"/>
            </w:tcBorders>
            <w:shd w:val="clear" w:color="auto" w:fill="FFFFFF"/>
            <w:vAlign w:val="top"/>
          </w:tcPr>
          <w:p w14:paraId="3C804A4E">
            <w:pPr>
              <w:keepNext w:val="0"/>
              <w:keepLines w:val="0"/>
              <w:widowControl/>
              <w:suppressLineNumbers w:val="0"/>
              <w:spacing w:before="0" w:beforeAutospacing="0" w:after="0" w:afterAutospacing="0"/>
              <w:ind w:left="0" w:right="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4</w:t>
            </w:r>
            <w:r>
              <w:rPr>
                <w:rFonts w:hint="default" w:eastAsia="宋体" w:cs="Times New Roman"/>
                <w:b w:val="0"/>
                <w:i w:val="0"/>
                <w:iCs w:val="0"/>
                <w:color w:val="000000"/>
                <w:kern w:val="0"/>
                <w:sz w:val="21"/>
                <w:szCs w:val="21"/>
                <w:u w:val="none"/>
                <w:lang w:val="en-US" w:eastAsia="zh-CN" w:bidi="ar"/>
                <w:woUserID w:val="5"/>
              </w:rPr>
              <w:t xml:space="preserve">.1 </w:t>
            </w:r>
            <w:r>
              <w:rPr>
                <w:rFonts w:hint="eastAsia" w:eastAsia="宋体" w:cs="Times New Roman"/>
                <w:b w:val="0"/>
                <w:i w:val="0"/>
                <w:iCs w:val="0"/>
                <w:color w:val="000000"/>
                <w:kern w:val="0"/>
                <w:sz w:val="21"/>
                <w:szCs w:val="21"/>
                <w:u w:val="none"/>
                <w:lang w:val="en-US" w:eastAsia="zh" w:bidi="ar"/>
                <w:woUserID w:val="5"/>
              </w:rPr>
              <w:t>实施路径</w:t>
            </w:r>
          </w:p>
        </w:tc>
        <w:tc>
          <w:tcPr>
            <w:tcW w:w="2891" w:type="pct"/>
            <w:tcBorders>
              <w:top w:val="nil"/>
              <w:left w:val="nil"/>
              <w:bottom w:val="nil"/>
              <w:right w:val="nil"/>
            </w:tcBorders>
            <w:shd w:val="clear" w:color="auto" w:fill="FFFFFF"/>
            <w:vAlign w:val="top"/>
          </w:tcPr>
          <w:p w14:paraId="21A0C4D6">
            <w:pPr>
              <w:keepNext w:val="0"/>
              <w:keepLines w:val="0"/>
              <w:widowControl/>
              <w:suppressLineNumbers w:val="0"/>
              <w:spacing w:before="0" w:beforeAutospacing="0" w:after="0" w:afterAutospacing="0"/>
              <w:ind w:left="0" w:right="0"/>
              <w:jc w:val="both"/>
              <w:textAlignment w:val="center"/>
              <w:outlineLvl w:val="9"/>
              <w:rPr>
                <w:rFonts w:hint="eastAsia" w:eastAsia="宋体" w:cs="Times New Roman"/>
                <w:b w:val="0"/>
                <w:i w:val="0"/>
                <w:iCs w:val="0"/>
                <w:color w:val="000000"/>
                <w:kern w:val="0"/>
                <w:sz w:val="21"/>
                <w:szCs w:val="21"/>
                <w:u w:val="none"/>
                <w:lang w:val="en-US" w:eastAsia="zh" w:bidi="ar"/>
                <w:woUserID w:val="5"/>
              </w:rPr>
            </w:pPr>
            <w:r>
              <w:rPr>
                <w:rFonts w:hint="eastAsia" w:eastAsia="宋体" w:cs="Times New Roman"/>
                <w:b w:val="0"/>
                <w:i w:val="0"/>
                <w:iCs w:val="0"/>
                <w:color w:val="000000"/>
                <w:kern w:val="0"/>
                <w:sz w:val="21"/>
                <w:szCs w:val="21"/>
                <w:u w:val="none"/>
                <w:lang w:val="en-US" w:eastAsia="zh" w:bidi="ar"/>
                <w:woUserID w:val="5"/>
              </w:rPr>
              <w:t>4.1.1 形成“评估—判定—干预—监测—随访—复评—调整”的闭环流程，确保干预服务与老年人的个体需求、功能状态变化、照护资源及实施条件持续动态匹配。</w:t>
            </w:r>
          </w:p>
        </w:tc>
      </w:tr>
      <w:tr w14:paraId="3F91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4" w:type="pct"/>
            <w:vMerge w:val="continue"/>
            <w:tcBorders>
              <w:left w:val="nil"/>
              <w:right w:val="nil"/>
            </w:tcBorders>
            <w:shd w:val="clear" w:color="auto" w:fill="FFFFFF"/>
            <w:vAlign w:val="top"/>
          </w:tcPr>
          <w:p w14:paraId="1A6E1535">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top w:val="nil"/>
              <w:left w:val="nil"/>
              <w:right w:val="nil"/>
            </w:tcBorders>
            <w:shd w:val="clear" w:color="auto" w:fill="FFFFFF"/>
            <w:vAlign w:val="top"/>
          </w:tcPr>
          <w:p w14:paraId="2303DF81">
            <w:pPr>
              <w:keepNext w:val="0"/>
              <w:keepLines w:val="0"/>
              <w:widowControl/>
              <w:suppressLineNumbers w:val="0"/>
              <w:spacing w:before="0" w:beforeAutospacing="0" w:after="0" w:afterAutospacing="0"/>
              <w:ind w:left="0" w:right="0"/>
              <w:jc w:val="both"/>
              <w:textAlignment w:val="center"/>
              <w:outlineLvl w:val="9"/>
              <w:rPr>
                <w:rFonts w:hint="eastAsia" w:eastAsia="宋体" w:cs="Times New Roman"/>
                <w:b w:val="0"/>
                <w:i w:val="0"/>
                <w:iCs w:val="0"/>
                <w:color w:val="000000"/>
                <w:kern w:val="0"/>
                <w:sz w:val="21"/>
                <w:szCs w:val="21"/>
                <w:u w:val="none"/>
                <w:lang w:val="en-US" w:eastAsia="zh" w:bidi="ar"/>
                <w:woUserID w:val="4"/>
              </w:rPr>
            </w:pPr>
            <w:r>
              <w:rPr>
                <w:rFonts w:hint="eastAsia" w:eastAsia="宋体" w:cs="Times New Roman"/>
                <w:b w:val="0"/>
                <w:i w:val="0"/>
                <w:iCs w:val="0"/>
                <w:color w:val="000000"/>
                <w:kern w:val="0"/>
                <w:sz w:val="21"/>
                <w:szCs w:val="21"/>
                <w:u w:val="none"/>
                <w:lang w:val="en-US" w:eastAsia="zh" w:bidi="ar"/>
                <w:woUserID w:val="4"/>
              </w:rPr>
              <w:t>4</w:t>
            </w:r>
            <w:r>
              <w:rPr>
                <w:rFonts w:hint="default" w:ascii="Times New Roman" w:hAnsi="Times New Roman" w:eastAsia="宋体" w:cs="Times New Roman"/>
                <w:b w:val="0"/>
                <w:i w:val="0"/>
                <w:iCs w:val="0"/>
                <w:color w:val="000000"/>
                <w:kern w:val="0"/>
                <w:sz w:val="21"/>
                <w:szCs w:val="21"/>
                <w:u w:val="none"/>
                <w:lang w:val="en-US" w:eastAsia="zh-CN" w:bidi="ar"/>
              </w:rPr>
              <w:t xml:space="preserve">.2 </w:t>
            </w:r>
            <w:r>
              <w:rPr>
                <w:rFonts w:hint="eastAsia" w:eastAsia="宋体" w:cs="Times New Roman"/>
                <w:b w:val="0"/>
                <w:i w:val="0"/>
                <w:iCs w:val="0"/>
                <w:color w:val="000000"/>
                <w:kern w:val="0"/>
                <w:sz w:val="21"/>
                <w:szCs w:val="21"/>
                <w:u w:val="none"/>
                <w:lang w:val="en-US" w:eastAsia="zh" w:bidi="ar"/>
                <w:woUserID w:val="4"/>
              </w:rPr>
              <w:t>健康教育与行为支持</w:t>
            </w:r>
          </w:p>
        </w:tc>
        <w:tc>
          <w:tcPr>
            <w:tcW w:w="2891" w:type="pct"/>
            <w:tcBorders>
              <w:top w:val="nil"/>
              <w:left w:val="nil"/>
              <w:bottom w:val="nil"/>
              <w:right w:val="nil"/>
            </w:tcBorders>
            <w:shd w:val="clear" w:color="auto" w:fill="FFFFFF"/>
            <w:vAlign w:val="top"/>
          </w:tcPr>
          <w:p w14:paraId="0F2B939F">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sz w:val="21"/>
                <w:szCs w:val="21"/>
                <w:u w:val="none"/>
              </w:rPr>
            </w:pPr>
            <w:r>
              <w:rPr>
                <w:rFonts w:hint="eastAsia" w:eastAsia="宋体" w:cs="Times New Roman"/>
                <w:b w:val="0"/>
                <w:i w:val="0"/>
                <w:iCs w:val="0"/>
                <w:color w:val="000000"/>
                <w:kern w:val="0"/>
                <w:sz w:val="21"/>
                <w:szCs w:val="21"/>
                <w:u w:val="none"/>
                <w:lang w:val="en-US" w:eastAsia="zh" w:bidi="ar"/>
                <w:woUserID w:val="5"/>
              </w:rPr>
              <w:t>4.2.1</w:t>
            </w:r>
            <w:r>
              <w:rPr>
                <w:rFonts w:hint="eastAsia" w:eastAsia="宋体" w:cs="Times New Roman"/>
                <w:b w:val="0"/>
                <w:i w:val="0"/>
                <w:iCs w:val="0"/>
                <w:color w:val="000000"/>
                <w:kern w:val="0"/>
                <w:sz w:val="21"/>
                <w:szCs w:val="21"/>
                <w:u w:val="none"/>
                <w:lang w:val="en-US" w:eastAsia="zh" w:bidi="ar"/>
                <w:woUserID w:val="4"/>
              </w:rPr>
              <w:t xml:space="preserve"> </w:t>
            </w:r>
            <w:r>
              <w:rPr>
                <w:rFonts w:hint="eastAsia" w:eastAsia="宋体" w:cs="Times New Roman"/>
                <w:b w:val="0"/>
                <w:i w:val="0"/>
                <w:iCs w:val="0"/>
                <w:color w:val="000000"/>
                <w:kern w:val="0"/>
                <w:sz w:val="21"/>
                <w:szCs w:val="21"/>
                <w:u w:val="none"/>
                <w:lang w:val="en-US" w:eastAsia="zh-CN" w:bidi="ar"/>
                <w:woUserID w:val="5"/>
              </w:rPr>
              <w:t>加强肌骨健康知识宣教，帮助老年人及照护者理解营养和运动干预的重要性，提升参与意愿、自我管理能力和长期依从性。</w:t>
            </w:r>
          </w:p>
        </w:tc>
      </w:tr>
      <w:tr w14:paraId="36BC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4" w:type="pct"/>
            <w:vMerge w:val="continue"/>
            <w:tcBorders>
              <w:left w:val="nil"/>
              <w:right w:val="nil"/>
            </w:tcBorders>
            <w:shd w:val="clear" w:color="auto" w:fill="FFFFFF"/>
            <w:vAlign w:val="top"/>
          </w:tcPr>
          <w:p w14:paraId="67FA664E">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bottom w:val="nil"/>
              <w:right w:val="nil"/>
            </w:tcBorders>
            <w:shd w:val="clear" w:color="auto" w:fill="FFFFFF"/>
            <w:vAlign w:val="top"/>
          </w:tcPr>
          <w:p w14:paraId="31FE2941">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4"/>
              </w:rPr>
            </w:pPr>
          </w:p>
        </w:tc>
        <w:tc>
          <w:tcPr>
            <w:tcW w:w="2891" w:type="pct"/>
            <w:tcBorders>
              <w:top w:val="nil"/>
              <w:left w:val="nil"/>
              <w:bottom w:val="nil"/>
              <w:right w:val="nil"/>
            </w:tcBorders>
            <w:shd w:val="clear" w:color="auto" w:fill="FFFFFF"/>
            <w:vAlign w:val="top"/>
          </w:tcPr>
          <w:p w14:paraId="055C5309">
            <w:pPr>
              <w:keepNext w:val="0"/>
              <w:keepLines w:val="0"/>
              <w:widowControl/>
              <w:suppressLineNumbers w:val="0"/>
              <w:spacing w:before="0" w:beforeAutospacing="0" w:after="0" w:afterAutospacing="0"/>
              <w:ind w:left="0" w:leftChars="0" w:right="0" w:firstLine="0" w:firstLineChars="0"/>
              <w:jc w:val="both"/>
              <w:textAlignment w:val="center"/>
              <w:outlineLvl w:val="9"/>
              <w:rPr>
                <w:rFonts w:hint="eastAsia" w:eastAsia="宋体" w:cs="Times New Roman"/>
                <w:b w:val="0"/>
                <w:i w:val="0"/>
                <w:iCs w:val="0"/>
                <w:color w:val="000000"/>
                <w:kern w:val="0"/>
                <w:sz w:val="21"/>
                <w:szCs w:val="21"/>
                <w:u w:val="none"/>
                <w:lang w:val="en-US" w:eastAsia="zh" w:bidi="ar"/>
                <w:woUserID w:val="4"/>
              </w:rPr>
            </w:pPr>
            <w:r>
              <w:rPr>
                <w:rFonts w:hint="eastAsia" w:eastAsia="宋体" w:cs="Times New Roman"/>
                <w:b w:val="0"/>
                <w:i w:val="0"/>
                <w:iCs w:val="0"/>
                <w:color w:val="000000"/>
                <w:kern w:val="0"/>
                <w:sz w:val="21"/>
                <w:szCs w:val="21"/>
                <w:u w:val="none"/>
                <w:lang w:val="en-US" w:eastAsia="zh" w:bidi="ar"/>
                <w:woUserID w:val="4"/>
              </w:rPr>
              <w:t xml:space="preserve">4.2.2 </w:t>
            </w:r>
            <w:r>
              <w:rPr>
                <w:rFonts w:hint="eastAsia" w:eastAsia="宋体" w:cs="Times New Roman"/>
                <w:b w:val="0"/>
                <w:i w:val="0"/>
                <w:iCs w:val="0"/>
                <w:color w:val="000000"/>
                <w:kern w:val="0"/>
                <w:sz w:val="21"/>
                <w:szCs w:val="21"/>
                <w:u w:val="none"/>
                <w:lang w:val="en-US" w:eastAsia="zh-CN" w:bidi="ar"/>
                <w:woUserID w:val="4"/>
              </w:rPr>
              <w:t>可结合家庭支持、同伴支持、数字化工具和阶段性反馈等方式促进持续参与</w:t>
            </w:r>
          </w:p>
        </w:tc>
      </w:tr>
      <w:tr w14:paraId="58C5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74" w:type="pct"/>
            <w:vMerge w:val="continue"/>
            <w:tcBorders>
              <w:left w:val="nil"/>
              <w:right w:val="nil"/>
            </w:tcBorders>
            <w:shd w:val="clear" w:color="auto" w:fill="FFFFFF"/>
            <w:vAlign w:val="top"/>
          </w:tcPr>
          <w:p w14:paraId="3C41F8D7">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tcBorders>
              <w:top w:val="nil"/>
              <w:left w:val="nil"/>
              <w:bottom w:val="nil"/>
              <w:right w:val="nil"/>
            </w:tcBorders>
            <w:shd w:val="clear" w:color="auto" w:fill="FFFFFF"/>
            <w:vAlign w:val="top"/>
          </w:tcPr>
          <w:p w14:paraId="3E345827">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4"/>
              </w:rPr>
            </w:pPr>
            <w:r>
              <w:rPr>
                <w:rFonts w:hint="eastAsia" w:eastAsia="宋体" w:cs="Times New Roman"/>
                <w:b w:val="0"/>
                <w:i w:val="0"/>
                <w:iCs w:val="0"/>
                <w:color w:val="000000"/>
                <w:kern w:val="0"/>
                <w:sz w:val="21"/>
                <w:szCs w:val="21"/>
                <w:u w:val="none"/>
                <w:lang w:val="en-US" w:eastAsia="zh" w:bidi="ar"/>
                <w:woUserID w:val="4"/>
              </w:rPr>
              <w:t>4</w:t>
            </w:r>
            <w:r>
              <w:rPr>
                <w:rFonts w:hint="default" w:ascii="Times New Roman" w:hAnsi="Times New Roman" w:eastAsia="宋体" w:cs="Times New Roman"/>
                <w:b w:val="0"/>
                <w:i w:val="0"/>
                <w:iCs w:val="0"/>
                <w:color w:val="000000"/>
                <w:kern w:val="0"/>
                <w:sz w:val="21"/>
                <w:szCs w:val="21"/>
                <w:u w:val="none"/>
                <w:lang w:val="en-US" w:eastAsia="zh-CN" w:bidi="ar"/>
              </w:rPr>
              <w:t xml:space="preserve">.3 </w:t>
            </w:r>
            <w:r>
              <w:rPr>
                <w:rFonts w:hint="eastAsia" w:eastAsia="宋体" w:cs="Times New Roman"/>
                <w:b w:val="0"/>
                <w:i w:val="0"/>
                <w:iCs w:val="0"/>
                <w:color w:val="000000"/>
                <w:kern w:val="0"/>
                <w:sz w:val="21"/>
                <w:szCs w:val="21"/>
                <w:u w:val="none"/>
                <w:lang w:val="en-US" w:eastAsia="zh" w:bidi="ar"/>
                <w:woUserID w:val="4"/>
              </w:rPr>
              <w:t>场景化实施</w:t>
            </w:r>
          </w:p>
        </w:tc>
        <w:tc>
          <w:tcPr>
            <w:tcW w:w="2891" w:type="pct"/>
            <w:tcBorders>
              <w:top w:val="nil"/>
              <w:left w:val="nil"/>
              <w:bottom w:val="nil"/>
              <w:right w:val="nil"/>
            </w:tcBorders>
            <w:shd w:val="clear" w:color="auto" w:fill="FFFFFF"/>
            <w:vAlign w:val="top"/>
          </w:tcPr>
          <w:p w14:paraId="1E127BBD">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sz w:val="21"/>
                <w:szCs w:val="21"/>
                <w:u w:val="none"/>
                <w:lang w:eastAsia="zh"/>
                <w:woUserID w:val="4"/>
              </w:rPr>
            </w:pPr>
            <w:r>
              <w:rPr>
                <w:rFonts w:hint="eastAsia" w:eastAsia="宋体" w:cs="Times New Roman"/>
                <w:b w:val="0"/>
                <w:i w:val="0"/>
                <w:iCs w:val="0"/>
                <w:color w:val="000000"/>
                <w:kern w:val="0"/>
                <w:sz w:val="21"/>
                <w:szCs w:val="21"/>
                <w:u w:val="none"/>
                <w:lang w:val="en-US" w:eastAsia="zh" w:bidi="ar"/>
                <w:woUserID w:val="4"/>
              </w:rPr>
              <w:t xml:space="preserve">4.3.1 </w:t>
            </w:r>
            <w:r>
              <w:rPr>
                <w:rFonts w:hint="default" w:eastAsia="宋体" w:cs="Times New Roman"/>
                <w:b w:val="0"/>
                <w:i w:val="0"/>
                <w:iCs w:val="0"/>
                <w:color w:val="000000"/>
                <w:kern w:val="0"/>
                <w:sz w:val="21"/>
                <w:szCs w:val="21"/>
                <w:u w:val="none"/>
                <w:lang w:val="en-US" w:eastAsia="zh-CN" w:bidi="ar"/>
                <w:woUserID w:val="4"/>
              </w:rPr>
              <w:t>社区、家庭和机构等不同场景下的干预重点可有所侧重</w:t>
            </w:r>
            <w:r>
              <w:rPr>
                <w:rFonts w:hint="eastAsia" w:eastAsia="宋体" w:cs="Times New Roman"/>
                <w:b w:val="0"/>
                <w:i w:val="0"/>
                <w:iCs w:val="0"/>
                <w:color w:val="000000"/>
                <w:kern w:val="0"/>
                <w:sz w:val="21"/>
                <w:szCs w:val="21"/>
                <w:u w:val="none"/>
                <w:lang w:val="en-US" w:eastAsia="zh" w:bidi="ar"/>
                <w:woUserID w:val="4"/>
              </w:rPr>
              <w:t>：社</w:t>
            </w:r>
            <w:r>
              <w:rPr>
                <w:rFonts w:hint="eastAsia" w:eastAsia="宋体" w:cs="Times New Roman"/>
                <w:b w:val="0"/>
                <w:i w:val="0"/>
                <w:iCs w:val="0"/>
                <w:color w:val="000000"/>
                <w:kern w:val="0"/>
                <w:sz w:val="21"/>
                <w:szCs w:val="21"/>
                <w:u w:val="none"/>
                <w:lang w:val="en-US" w:eastAsia="zh-CN" w:bidi="ar"/>
                <w:woUserID w:val="4"/>
              </w:rPr>
              <w:t>区场景宜突出早期识别和健康促进</w:t>
            </w:r>
            <w:r>
              <w:rPr>
                <w:rFonts w:hint="eastAsia" w:eastAsia="宋体" w:cs="Times New Roman"/>
                <w:b w:val="0"/>
                <w:i w:val="0"/>
                <w:iCs w:val="0"/>
                <w:color w:val="000000"/>
                <w:kern w:val="0"/>
                <w:sz w:val="21"/>
                <w:szCs w:val="21"/>
                <w:u w:val="none"/>
                <w:lang w:val="en-US" w:eastAsia="zh" w:bidi="ar"/>
                <w:woUserID w:val="4"/>
              </w:rPr>
              <w:t>，</w:t>
            </w:r>
            <w:r>
              <w:rPr>
                <w:rFonts w:hint="eastAsia" w:eastAsia="宋体" w:cs="Times New Roman"/>
                <w:b w:val="0"/>
                <w:i w:val="0"/>
                <w:iCs w:val="0"/>
                <w:color w:val="000000"/>
                <w:kern w:val="0"/>
                <w:sz w:val="21"/>
                <w:szCs w:val="21"/>
                <w:u w:val="none"/>
                <w:lang w:val="en-US" w:eastAsia="zh-CN" w:bidi="ar"/>
                <w:woUserID w:val="4"/>
              </w:rPr>
              <w:t>家庭场景宜突出可执行性和照护支持，机构场景宜突出规范组织与安全管理。</w:t>
            </w:r>
          </w:p>
        </w:tc>
      </w:tr>
      <w:tr w14:paraId="510E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76425631">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top w:val="nil"/>
              <w:left w:val="nil"/>
              <w:right w:val="nil"/>
            </w:tcBorders>
            <w:shd w:val="clear" w:color="auto" w:fill="FFFFFF"/>
            <w:vAlign w:val="top"/>
          </w:tcPr>
          <w:p w14:paraId="4E374150">
            <w:pPr>
              <w:keepNext w:val="0"/>
              <w:keepLines w:val="0"/>
              <w:suppressLineNumbers w:val="0"/>
              <w:spacing w:before="0" w:beforeAutospacing="0" w:after="0" w:afterAutospacing="0"/>
              <w:ind w:left="0" w:leftChars="0" w:right="0" w:firstLine="0" w:firstLineChars="0"/>
              <w:jc w:val="both"/>
              <w:outlineLvl w:val="9"/>
              <w:rPr>
                <w:rFonts w:hint="eastAsia" w:ascii="Times New Roman" w:hAnsi="Times New Roman" w:eastAsia="宋体" w:cs="Times New Roman"/>
                <w:b w:val="0"/>
                <w:i w:val="0"/>
                <w:iCs w:val="0"/>
                <w:color w:val="000000"/>
                <w:sz w:val="21"/>
                <w:szCs w:val="21"/>
                <w:u w:val="none"/>
                <w:lang w:eastAsia="zh"/>
                <w:woUserID w:val="4"/>
              </w:rPr>
            </w:pPr>
            <w:r>
              <w:rPr>
                <w:rFonts w:hint="eastAsia" w:eastAsia="宋体" w:cs="Times New Roman"/>
                <w:b w:val="0"/>
                <w:i w:val="0"/>
                <w:iCs w:val="0"/>
                <w:color w:val="000000"/>
                <w:kern w:val="0"/>
                <w:sz w:val="21"/>
                <w:szCs w:val="21"/>
                <w:u w:val="none"/>
                <w:lang w:val="en-US" w:eastAsia="zh" w:bidi="ar"/>
                <w:woUserID w:val="4"/>
              </w:rPr>
              <w:t>4</w:t>
            </w:r>
            <w:r>
              <w:rPr>
                <w:rFonts w:hint="default" w:ascii="Times New Roman" w:hAnsi="Times New Roman" w:eastAsia="宋体" w:cs="Times New Roman"/>
                <w:b w:val="0"/>
                <w:i w:val="0"/>
                <w:iCs w:val="0"/>
                <w:color w:val="000000"/>
                <w:kern w:val="0"/>
                <w:sz w:val="21"/>
                <w:szCs w:val="21"/>
                <w:u w:val="none"/>
                <w:lang w:val="en-US" w:eastAsia="zh-CN" w:bidi="ar"/>
                <w:woUserID w:val="4"/>
              </w:rPr>
              <w:t>.</w:t>
            </w:r>
            <w:r>
              <w:rPr>
                <w:rFonts w:hint="eastAsia" w:eastAsia="宋体" w:cs="Times New Roman"/>
                <w:b w:val="0"/>
                <w:i w:val="0"/>
                <w:iCs w:val="0"/>
                <w:color w:val="000000"/>
                <w:kern w:val="0"/>
                <w:sz w:val="21"/>
                <w:szCs w:val="21"/>
                <w:u w:val="none"/>
                <w:lang w:val="en-US" w:eastAsia="zh" w:bidi="ar"/>
                <w:woUserID w:val="4"/>
              </w:rPr>
              <w:t>4</w:t>
            </w:r>
            <w:r>
              <w:rPr>
                <w:rFonts w:hint="default" w:ascii="Times New Roman" w:hAnsi="Times New Roman" w:eastAsia="宋体" w:cs="Times New Roman"/>
                <w:b w:val="0"/>
                <w:i w:val="0"/>
                <w:iCs w:val="0"/>
                <w:color w:val="000000"/>
                <w:kern w:val="0"/>
                <w:sz w:val="21"/>
                <w:szCs w:val="21"/>
                <w:u w:val="none"/>
                <w:lang w:val="en-US" w:eastAsia="zh-CN" w:bidi="ar"/>
                <w:woUserID w:val="4"/>
              </w:rPr>
              <w:t xml:space="preserve"> </w:t>
            </w:r>
            <w:r>
              <w:rPr>
                <w:rFonts w:hint="eastAsia" w:eastAsia="宋体" w:cs="Times New Roman"/>
                <w:b w:val="0"/>
                <w:i w:val="0"/>
                <w:iCs w:val="0"/>
                <w:color w:val="000000"/>
                <w:kern w:val="0"/>
                <w:sz w:val="21"/>
                <w:szCs w:val="21"/>
                <w:u w:val="none"/>
                <w:lang w:val="en-US" w:eastAsia="zh" w:bidi="ar"/>
                <w:woUserID w:val="4"/>
              </w:rPr>
              <w:t>动态监测干预效果与安全性</w:t>
            </w:r>
          </w:p>
        </w:tc>
        <w:tc>
          <w:tcPr>
            <w:tcW w:w="2891" w:type="pct"/>
            <w:tcBorders>
              <w:top w:val="nil"/>
              <w:left w:val="nil"/>
              <w:bottom w:val="nil"/>
              <w:right w:val="nil"/>
            </w:tcBorders>
            <w:shd w:val="clear" w:color="auto" w:fill="FFFFFF"/>
            <w:vAlign w:val="top"/>
          </w:tcPr>
          <w:p w14:paraId="490760AE">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kern w:val="0"/>
                <w:sz w:val="21"/>
                <w:szCs w:val="21"/>
                <w:u w:val="none"/>
                <w:lang w:val="en-US" w:eastAsia="zh" w:bidi="ar"/>
                <w:woUserID w:val="4"/>
              </w:rPr>
            </w:pPr>
            <w:r>
              <w:rPr>
                <w:rFonts w:hint="eastAsia" w:eastAsia="宋体" w:cs="Times New Roman"/>
                <w:b w:val="0"/>
                <w:i w:val="0"/>
                <w:iCs w:val="0"/>
                <w:color w:val="000000"/>
                <w:kern w:val="0"/>
                <w:sz w:val="21"/>
                <w:szCs w:val="21"/>
                <w:u w:val="none"/>
                <w:lang w:val="en-US" w:eastAsia="zh" w:bidi="ar"/>
                <w:woUserID w:val="4"/>
              </w:rPr>
              <w:t xml:space="preserve">4.4.1 </w:t>
            </w:r>
            <w:r>
              <w:rPr>
                <w:rFonts w:hint="default" w:eastAsia="宋体" w:cs="Times New Roman"/>
                <w:b w:val="0"/>
                <w:i w:val="0"/>
                <w:iCs w:val="0"/>
                <w:color w:val="000000"/>
                <w:kern w:val="0"/>
                <w:sz w:val="21"/>
                <w:szCs w:val="21"/>
                <w:u w:val="none"/>
                <w:lang w:val="en-US" w:eastAsia="zh-CN" w:bidi="ar"/>
                <w:woUserID w:val="4"/>
              </w:rPr>
              <w:t>功能指标：握力、步速</w:t>
            </w:r>
            <w:r>
              <w:rPr>
                <w:rFonts w:hint="eastAsia" w:eastAsia="宋体" w:cs="Times New Roman"/>
                <w:b w:val="0"/>
                <w:i w:val="0"/>
                <w:iCs w:val="0"/>
                <w:color w:val="000000"/>
                <w:kern w:val="0"/>
                <w:sz w:val="21"/>
                <w:szCs w:val="21"/>
                <w:u w:val="none"/>
                <w:lang w:val="en-US" w:eastAsia="zh" w:bidi="ar"/>
                <w:woUserID w:val="4"/>
              </w:rPr>
              <w:t>。</w:t>
            </w:r>
          </w:p>
        </w:tc>
      </w:tr>
      <w:tr w14:paraId="3A78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26303254">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6E8293A9">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kern w:val="0"/>
                <w:sz w:val="21"/>
                <w:szCs w:val="21"/>
                <w:u w:val="none"/>
                <w:lang w:val="en-US" w:eastAsia="zh" w:bidi="ar"/>
                <w:woUserID w:val="4"/>
              </w:rPr>
            </w:pPr>
          </w:p>
        </w:tc>
        <w:tc>
          <w:tcPr>
            <w:tcW w:w="2891" w:type="pct"/>
            <w:tcBorders>
              <w:top w:val="nil"/>
              <w:left w:val="nil"/>
              <w:bottom w:val="nil"/>
              <w:right w:val="nil"/>
            </w:tcBorders>
            <w:shd w:val="clear" w:color="auto" w:fill="FFFFFF"/>
            <w:vAlign w:val="top"/>
          </w:tcPr>
          <w:p w14:paraId="6022C507">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等线" w:cs="Times New Roman"/>
                <w:b w:val="0"/>
                <w:i w:val="0"/>
                <w:iCs w:val="0"/>
                <w:color w:val="000000"/>
                <w:kern w:val="0"/>
                <w:sz w:val="21"/>
                <w:szCs w:val="21"/>
                <w:u w:val="none"/>
                <w:lang w:val="en-US" w:eastAsia="zh" w:bidi="ar"/>
                <w:woUserID w:val="4"/>
              </w:rPr>
            </w:pPr>
            <w:r>
              <w:rPr>
                <w:rFonts w:hint="eastAsia" w:eastAsia="宋体" w:cs="Times New Roman"/>
                <w:b w:val="0"/>
                <w:i w:val="0"/>
                <w:iCs w:val="0"/>
                <w:color w:val="000000"/>
                <w:kern w:val="0"/>
                <w:sz w:val="21"/>
                <w:szCs w:val="21"/>
                <w:u w:val="none"/>
                <w:lang w:val="en-US" w:eastAsia="zh" w:bidi="ar"/>
                <w:woUserID w:val="4"/>
              </w:rPr>
              <w:t xml:space="preserve">4.4.2 </w:t>
            </w:r>
            <w:r>
              <w:rPr>
                <w:rFonts w:hint="default" w:eastAsia="宋体" w:cs="Times New Roman"/>
                <w:b w:val="0"/>
                <w:i w:val="0"/>
                <w:iCs w:val="0"/>
                <w:color w:val="000000"/>
                <w:kern w:val="0"/>
                <w:sz w:val="21"/>
                <w:szCs w:val="21"/>
                <w:u w:val="none"/>
                <w:lang w:val="en-US" w:eastAsia="zh-CN" w:bidi="ar"/>
                <w:woUserID w:val="4"/>
              </w:rPr>
              <w:t>疗效指标：血清钙、25（OH）D₃、肌肉质量、骨密度、骨折风险评估等</w:t>
            </w:r>
            <w:r>
              <w:rPr>
                <w:rFonts w:hint="eastAsia" w:eastAsia="宋体" w:cs="Times New Roman"/>
                <w:b w:val="0"/>
                <w:i w:val="0"/>
                <w:iCs w:val="0"/>
                <w:color w:val="000000"/>
                <w:kern w:val="0"/>
                <w:sz w:val="21"/>
                <w:szCs w:val="21"/>
                <w:u w:val="none"/>
                <w:lang w:val="en-US" w:eastAsia="zh" w:bidi="ar"/>
                <w:woUserID w:val="4"/>
              </w:rPr>
              <w:t>。</w:t>
            </w:r>
          </w:p>
        </w:tc>
      </w:tr>
      <w:tr w14:paraId="7201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6E0207F7">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613E3B5E">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kern w:val="0"/>
                <w:sz w:val="21"/>
                <w:szCs w:val="21"/>
                <w:u w:val="none"/>
                <w:lang w:val="en-US" w:eastAsia="zh" w:bidi="ar"/>
                <w:woUserID w:val="4"/>
              </w:rPr>
            </w:pPr>
          </w:p>
        </w:tc>
        <w:tc>
          <w:tcPr>
            <w:tcW w:w="2891" w:type="pct"/>
            <w:tcBorders>
              <w:top w:val="nil"/>
              <w:left w:val="nil"/>
              <w:bottom w:val="nil"/>
              <w:right w:val="nil"/>
            </w:tcBorders>
            <w:shd w:val="clear" w:color="auto" w:fill="FFFFFF"/>
            <w:vAlign w:val="top"/>
          </w:tcPr>
          <w:p w14:paraId="4A9FB53D">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kern w:val="0"/>
                <w:sz w:val="21"/>
                <w:szCs w:val="21"/>
                <w:u w:val="none"/>
                <w:lang w:val="en-US" w:eastAsia="zh" w:bidi="ar"/>
                <w:woUserID w:val="4"/>
              </w:rPr>
            </w:pPr>
            <w:r>
              <w:rPr>
                <w:rFonts w:hint="eastAsia" w:eastAsia="宋体" w:cs="Times New Roman"/>
                <w:b w:val="0"/>
                <w:i w:val="0"/>
                <w:iCs w:val="0"/>
                <w:color w:val="000000"/>
                <w:kern w:val="0"/>
                <w:sz w:val="21"/>
                <w:szCs w:val="21"/>
                <w:u w:val="none"/>
                <w:lang w:val="en-US" w:eastAsia="zh" w:bidi="ar"/>
                <w:woUserID w:val="4"/>
              </w:rPr>
              <w:t xml:space="preserve">4.4.3 </w:t>
            </w:r>
            <w:r>
              <w:rPr>
                <w:rFonts w:hint="eastAsia" w:eastAsia="宋体" w:cs="Times New Roman"/>
                <w:b w:val="0"/>
                <w:i w:val="0"/>
                <w:iCs w:val="0"/>
                <w:color w:val="000000"/>
                <w:kern w:val="0"/>
                <w:sz w:val="21"/>
                <w:szCs w:val="21"/>
                <w:u w:val="none"/>
                <w:lang w:val="en-US" w:eastAsia="zh-CN" w:bidi="ar"/>
                <w:woUserID w:val="4"/>
              </w:rPr>
              <w:t>安全性指标：血压、血糖、血脂、肝功能、肾功能、电解质等</w:t>
            </w:r>
            <w:r>
              <w:rPr>
                <w:rFonts w:hint="eastAsia" w:eastAsia="宋体" w:cs="Times New Roman"/>
                <w:b w:val="0"/>
                <w:i w:val="0"/>
                <w:iCs w:val="0"/>
                <w:color w:val="000000"/>
                <w:kern w:val="0"/>
                <w:sz w:val="21"/>
                <w:szCs w:val="21"/>
                <w:u w:val="none"/>
                <w:lang w:val="en-US" w:eastAsia="zh" w:bidi="ar"/>
                <w:woUserID w:val="4"/>
              </w:rPr>
              <w:t>。</w:t>
            </w:r>
          </w:p>
        </w:tc>
      </w:tr>
      <w:tr w14:paraId="7DDF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258B8B82">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right w:val="nil"/>
            </w:tcBorders>
            <w:shd w:val="clear" w:color="auto" w:fill="FFFFFF"/>
            <w:vAlign w:val="top"/>
          </w:tcPr>
          <w:p w14:paraId="7682E272">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kern w:val="0"/>
                <w:sz w:val="21"/>
                <w:szCs w:val="21"/>
                <w:u w:val="none"/>
                <w:lang w:val="en-US" w:eastAsia="zh" w:bidi="ar"/>
                <w:woUserID w:val="4"/>
              </w:rPr>
            </w:pPr>
          </w:p>
        </w:tc>
        <w:tc>
          <w:tcPr>
            <w:tcW w:w="2891" w:type="pct"/>
            <w:tcBorders>
              <w:top w:val="nil"/>
              <w:left w:val="nil"/>
              <w:bottom w:val="nil"/>
              <w:right w:val="nil"/>
            </w:tcBorders>
            <w:shd w:val="clear" w:color="auto" w:fill="FFFFFF"/>
            <w:vAlign w:val="top"/>
          </w:tcPr>
          <w:p w14:paraId="74B5E176">
            <w:pPr>
              <w:keepNext w:val="0"/>
              <w:keepLines w:val="0"/>
              <w:widowControl/>
              <w:suppressLineNumbers w:val="0"/>
              <w:spacing w:before="0" w:beforeAutospacing="0" w:after="0" w:afterAutospacing="0"/>
              <w:ind w:left="0" w:right="0"/>
              <w:jc w:val="both"/>
              <w:textAlignment w:val="center"/>
              <w:outlineLvl w:val="9"/>
              <w:rPr>
                <w:rFonts w:hint="eastAsia" w:ascii="Times New Roman" w:hAnsi="Times New Roman" w:eastAsia="宋体" w:cs="Times New Roman"/>
                <w:b w:val="0"/>
                <w:i w:val="0"/>
                <w:iCs w:val="0"/>
                <w:color w:val="000000"/>
                <w:kern w:val="0"/>
                <w:sz w:val="21"/>
                <w:szCs w:val="21"/>
                <w:u w:val="none"/>
                <w:lang w:val="en-US" w:eastAsia="zh" w:bidi="ar"/>
                <w:woUserID w:val="4"/>
              </w:rPr>
            </w:pPr>
            <w:r>
              <w:rPr>
                <w:rFonts w:hint="eastAsia" w:eastAsia="宋体" w:cs="Times New Roman"/>
                <w:b w:val="0"/>
                <w:i w:val="0"/>
                <w:iCs w:val="0"/>
                <w:color w:val="000000"/>
                <w:kern w:val="0"/>
                <w:sz w:val="21"/>
                <w:szCs w:val="21"/>
                <w:u w:val="none"/>
                <w:lang w:val="en-US" w:eastAsia="zh" w:bidi="ar"/>
                <w:woUserID w:val="4"/>
              </w:rPr>
              <w:t xml:space="preserve">4.4.4 </w:t>
            </w:r>
            <w:r>
              <w:rPr>
                <w:rFonts w:hint="default" w:eastAsia="宋体" w:cs="Times New Roman"/>
                <w:b w:val="0"/>
                <w:i w:val="0"/>
                <w:iCs w:val="0"/>
                <w:color w:val="000000"/>
                <w:kern w:val="0"/>
                <w:sz w:val="21"/>
                <w:szCs w:val="21"/>
                <w:u w:val="none"/>
                <w:lang w:val="en-US" w:eastAsia="zh-CN" w:bidi="ar"/>
                <w:woUserID w:val="4"/>
              </w:rPr>
              <w:t>不良反应：分为一般不良反应（腹泻、便秘、呕吐、胃肠道不适等）与严重不良反应（严重脱水、电解质紊乱、肝肾功能异常加重、跌倒骨折、急性心血管事件、横纹肌溶解及晕厥等）。</w:t>
            </w:r>
          </w:p>
        </w:tc>
      </w:tr>
      <w:tr w14:paraId="4B7B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23C164F5">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top w:val="nil"/>
              <w:left w:val="nil"/>
              <w:right w:val="nil"/>
            </w:tcBorders>
            <w:shd w:val="clear" w:color="auto" w:fill="FFFFFF"/>
            <w:vAlign w:val="top"/>
          </w:tcPr>
          <w:p w14:paraId="7EE115A7">
            <w:pPr>
              <w:keepNext w:val="0"/>
              <w:keepLines w:val="0"/>
              <w:suppressLineNumbers w:val="0"/>
              <w:spacing w:before="0" w:beforeAutospacing="0" w:after="0" w:afterAutospacing="0"/>
              <w:ind w:left="0" w:leftChars="0" w:right="0" w:firstLine="0" w:firstLineChars="0"/>
              <w:jc w:val="both"/>
              <w:outlineLvl w:val="9"/>
              <w:rPr>
                <w:rFonts w:hint="eastAsia" w:ascii="Times New Roman" w:hAnsi="Times New Roman" w:eastAsia="宋体" w:cs="Times New Roman"/>
                <w:b w:val="0"/>
                <w:i w:val="0"/>
                <w:iCs w:val="0"/>
                <w:color w:val="000000"/>
                <w:kern w:val="0"/>
                <w:sz w:val="21"/>
                <w:szCs w:val="21"/>
                <w:u w:val="none"/>
                <w:lang w:val="en-US" w:eastAsia="zh" w:bidi="ar"/>
                <w:woUserID w:val="4"/>
              </w:rPr>
            </w:pPr>
            <w:r>
              <w:rPr>
                <w:rFonts w:hint="eastAsia" w:eastAsia="宋体" w:cs="Times New Roman"/>
                <w:b w:val="0"/>
                <w:i w:val="0"/>
                <w:iCs w:val="0"/>
                <w:color w:val="000000"/>
                <w:kern w:val="0"/>
                <w:sz w:val="21"/>
                <w:szCs w:val="21"/>
                <w:u w:val="none"/>
                <w:lang w:val="en-US" w:eastAsia="zh" w:bidi="ar"/>
                <w:woUserID w:val="4"/>
              </w:rPr>
              <w:t>4</w:t>
            </w:r>
            <w:r>
              <w:rPr>
                <w:rFonts w:hint="default" w:ascii="Times New Roman" w:hAnsi="Times New Roman" w:eastAsia="宋体" w:cs="Times New Roman"/>
                <w:b w:val="0"/>
                <w:i w:val="0"/>
                <w:iCs w:val="0"/>
                <w:color w:val="000000"/>
                <w:kern w:val="0"/>
                <w:sz w:val="21"/>
                <w:szCs w:val="21"/>
                <w:u w:val="none"/>
                <w:lang w:val="en-US" w:eastAsia="zh-CN" w:bidi="ar"/>
                <w:woUserID w:val="4"/>
              </w:rPr>
              <w:t>.</w:t>
            </w:r>
            <w:r>
              <w:rPr>
                <w:rFonts w:hint="eastAsia" w:eastAsia="宋体" w:cs="Times New Roman"/>
                <w:b w:val="0"/>
                <w:i w:val="0"/>
                <w:iCs w:val="0"/>
                <w:color w:val="000000"/>
                <w:kern w:val="0"/>
                <w:sz w:val="21"/>
                <w:szCs w:val="21"/>
                <w:u w:val="none"/>
                <w:lang w:val="en-US" w:eastAsia="zh" w:bidi="ar"/>
                <w:woUserID w:val="4"/>
              </w:rPr>
              <w:t>5</w:t>
            </w:r>
            <w:r>
              <w:rPr>
                <w:rFonts w:hint="default" w:ascii="Times New Roman" w:hAnsi="Times New Roman" w:eastAsia="宋体" w:cs="Times New Roman"/>
                <w:b w:val="0"/>
                <w:i w:val="0"/>
                <w:iCs w:val="0"/>
                <w:color w:val="000000"/>
                <w:kern w:val="0"/>
                <w:sz w:val="21"/>
                <w:szCs w:val="21"/>
                <w:u w:val="none"/>
                <w:lang w:val="en-US" w:eastAsia="zh-CN" w:bidi="ar"/>
                <w:woUserID w:val="4"/>
              </w:rPr>
              <w:t xml:space="preserve"> </w:t>
            </w:r>
            <w:r>
              <w:rPr>
                <w:rFonts w:hint="eastAsia" w:eastAsia="宋体" w:cs="Times New Roman"/>
                <w:b w:val="0"/>
                <w:i w:val="0"/>
                <w:iCs w:val="0"/>
                <w:color w:val="000000"/>
                <w:kern w:val="0"/>
                <w:sz w:val="21"/>
                <w:szCs w:val="21"/>
                <w:u w:val="none"/>
                <w:lang w:val="en-US" w:eastAsia="zh" w:bidi="ar"/>
                <w:woUserID w:val="4"/>
              </w:rPr>
              <w:t>随访、记录与质量改进</w:t>
            </w:r>
          </w:p>
        </w:tc>
        <w:tc>
          <w:tcPr>
            <w:tcW w:w="2891" w:type="pct"/>
            <w:tcBorders>
              <w:top w:val="nil"/>
              <w:left w:val="nil"/>
              <w:bottom w:val="nil"/>
              <w:right w:val="nil"/>
            </w:tcBorders>
            <w:shd w:val="clear" w:color="auto" w:fill="FFFFFF"/>
            <w:vAlign w:val="top"/>
          </w:tcPr>
          <w:p w14:paraId="2F48D0A6">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eastAsia" w:eastAsia="宋体" w:cs="Times New Roman"/>
                <w:b w:val="0"/>
                <w:i w:val="0"/>
                <w:iCs w:val="0"/>
                <w:color w:val="000000"/>
                <w:kern w:val="0"/>
                <w:sz w:val="21"/>
                <w:szCs w:val="21"/>
                <w:u w:val="none"/>
                <w:lang w:val="en-US" w:eastAsia="zh" w:bidi="ar"/>
                <w:woUserID w:val="4"/>
              </w:rPr>
              <w:t xml:space="preserve">4.5.1 </w:t>
            </w:r>
            <w:r>
              <w:rPr>
                <w:rFonts w:hint="eastAsia" w:eastAsia="宋体" w:cs="Times New Roman"/>
                <w:b w:val="0"/>
                <w:i w:val="0"/>
                <w:iCs w:val="0"/>
                <w:color w:val="000000"/>
                <w:kern w:val="0"/>
                <w:sz w:val="21"/>
                <w:szCs w:val="21"/>
                <w:u w:val="none"/>
                <w:lang w:val="en-US" w:eastAsia="zh-CN" w:bidi="ar"/>
                <w:woUserID w:val="4"/>
              </w:rPr>
              <w:t>建立随访机制，定期了解</w:t>
            </w:r>
            <w:r>
              <w:rPr>
                <w:rFonts w:hint="eastAsia" w:eastAsia="宋体" w:cs="Times New Roman"/>
                <w:b w:val="0"/>
                <w:i w:val="0"/>
                <w:iCs w:val="0"/>
                <w:color w:val="000000"/>
                <w:kern w:val="0"/>
                <w:sz w:val="21"/>
                <w:szCs w:val="21"/>
                <w:u w:val="none"/>
                <w:lang w:val="en-US" w:eastAsia="zh" w:bidi="ar"/>
                <w:woUserID w:val="4"/>
              </w:rPr>
              <w:t>干预效果与安全性</w:t>
            </w:r>
            <w:r>
              <w:rPr>
                <w:rFonts w:hint="eastAsia" w:eastAsia="宋体" w:cs="Times New Roman"/>
                <w:b w:val="0"/>
                <w:i w:val="0"/>
                <w:iCs w:val="0"/>
                <w:color w:val="000000"/>
                <w:kern w:val="0"/>
                <w:sz w:val="21"/>
                <w:szCs w:val="21"/>
                <w:u w:val="none"/>
                <w:lang w:val="en-US" w:eastAsia="zh-CN" w:bidi="ar"/>
                <w:woUserID w:val="4"/>
              </w:rPr>
              <w:t>指标，同步记录膳食与运动干预执行情况及主观健康感受，并做好必要记录，确保记录完整可追溯。</w:t>
            </w:r>
          </w:p>
        </w:tc>
      </w:tr>
      <w:tr w14:paraId="27A1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right w:val="nil"/>
            </w:tcBorders>
            <w:shd w:val="clear" w:color="auto" w:fill="FFFFFF"/>
            <w:vAlign w:val="top"/>
          </w:tcPr>
          <w:p w14:paraId="6A7ECAFD">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bottom w:val="nil"/>
              <w:right w:val="nil"/>
            </w:tcBorders>
            <w:shd w:val="clear" w:color="auto" w:fill="FFFFFF"/>
            <w:vAlign w:val="top"/>
          </w:tcPr>
          <w:p w14:paraId="3EBCF6AB">
            <w:pPr>
              <w:keepNext w:val="0"/>
              <w:keepLines w:val="0"/>
              <w:suppressLineNumbers w:val="0"/>
              <w:spacing w:before="0" w:beforeAutospacing="0" w:after="0" w:afterAutospacing="0"/>
              <w:ind w:left="0" w:leftChars="0" w:right="0" w:firstLine="0" w:firstLineChars="0"/>
              <w:jc w:val="both"/>
              <w:outlineLvl w:val="9"/>
              <w:rPr>
                <w:rFonts w:hint="eastAsia" w:eastAsia="宋体" w:cs="Times New Roman"/>
                <w:b w:val="0"/>
                <w:i w:val="0"/>
                <w:iCs w:val="0"/>
                <w:color w:val="000000"/>
                <w:kern w:val="0"/>
                <w:sz w:val="21"/>
                <w:szCs w:val="21"/>
                <w:u w:val="none"/>
                <w:lang w:val="en-US" w:eastAsia="zh" w:bidi="ar"/>
                <w:woUserID w:val="4"/>
              </w:rPr>
            </w:pPr>
          </w:p>
        </w:tc>
        <w:tc>
          <w:tcPr>
            <w:tcW w:w="2891" w:type="pct"/>
            <w:tcBorders>
              <w:top w:val="nil"/>
              <w:left w:val="nil"/>
              <w:bottom w:val="nil"/>
              <w:right w:val="nil"/>
            </w:tcBorders>
            <w:shd w:val="clear" w:color="auto" w:fill="FFFFFF"/>
            <w:vAlign w:val="top"/>
          </w:tcPr>
          <w:p w14:paraId="2CE57764">
            <w:pPr>
              <w:keepNext w:val="0"/>
              <w:keepLines w:val="0"/>
              <w:widowControl/>
              <w:suppressLineNumbers w:val="0"/>
              <w:spacing w:before="0" w:beforeAutospacing="0" w:after="0" w:afterAutospacing="0"/>
              <w:ind w:left="0" w:right="0"/>
              <w:jc w:val="both"/>
              <w:textAlignment w:val="center"/>
              <w:outlineLvl w:val="9"/>
              <w:rPr>
                <w:rFonts w:hint="eastAsia" w:ascii="宋体" w:hAnsi="宋体" w:eastAsia="宋体" w:cs="宋体"/>
                <w:kern w:val="0"/>
                <w:sz w:val="21"/>
                <w:szCs w:val="21"/>
                <w:lang w:val="en-US" w:eastAsia="zh" w:bidi="ar"/>
                <w:woUserID w:val="4"/>
              </w:rPr>
            </w:pPr>
            <w:r>
              <w:rPr>
                <w:rFonts w:hint="eastAsia" w:eastAsia="宋体" w:cs="Times New Roman"/>
                <w:b w:val="0"/>
                <w:i w:val="0"/>
                <w:iCs w:val="0"/>
                <w:color w:val="000000"/>
                <w:kern w:val="0"/>
                <w:sz w:val="21"/>
                <w:szCs w:val="21"/>
                <w:u w:val="none"/>
                <w:lang w:val="en-US" w:eastAsia="zh" w:bidi="ar"/>
                <w:woUserID w:val="4"/>
              </w:rPr>
              <w:t xml:space="preserve">4.5.2 </w:t>
            </w:r>
            <w:r>
              <w:rPr>
                <w:rFonts w:hint="default" w:eastAsia="宋体" w:cs="Times New Roman"/>
                <w:b w:val="0"/>
                <w:i w:val="0"/>
                <w:iCs w:val="0"/>
                <w:color w:val="000000"/>
                <w:kern w:val="0"/>
                <w:sz w:val="21"/>
                <w:szCs w:val="21"/>
                <w:u w:val="none"/>
                <w:lang w:val="en-US" w:eastAsia="zh-CN" w:bidi="ar"/>
                <w:woUserID w:val="4"/>
              </w:rPr>
              <w:t>基于随访与监测结果，动态调整干预重点、实施频率与支持方式；定期汇总分析干预过程中的共性问题与执行难点，针对性优化方案，实现服务质量持续改进。</w:t>
            </w:r>
          </w:p>
        </w:tc>
      </w:tr>
      <w:tr w14:paraId="54AA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left w:val="nil"/>
              <w:bottom w:val="nil"/>
              <w:right w:val="nil"/>
            </w:tcBorders>
            <w:shd w:val="clear" w:color="auto" w:fill="FFFFFF"/>
            <w:vAlign w:val="top"/>
          </w:tcPr>
          <w:p w14:paraId="703FB395">
            <w:pPr>
              <w:keepNext w:val="0"/>
              <w:keepLines w:val="0"/>
              <w:suppressLineNumbers w:val="0"/>
              <w:spacing w:before="0" w:beforeAutospacing="0" w:after="0" w:afterAutospacing="0"/>
              <w:ind w:left="0" w:leftChars="0" w:right="0" w:firstLine="0" w:firstLineChars="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restart"/>
            <w:tcBorders>
              <w:top w:val="nil"/>
              <w:left w:val="nil"/>
              <w:right w:val="nil"/>
            </w:tcBorders>
            <w:shd w:val="clear" w:color="auto" w:fill="FFFFFF"/>
            <w:vAlign w:val="top"/>
          </w:tcPr>
          <w:p w14:paraId="648E5302">
            <w:pPr>
              <w:keepNext w:val="0"/>
              <w:keepLines w:val="0"/>
              <w:suppressLineNumbers w:val="0"/>
              <w:spacing w:before="0" w:beforeAutospacing="0" w:after="0" w:afterAutospacing="0"/>
              <w:ind w:left="0" w:leftChars="0" w:right="0" w:firstLine="0" w:firstLineChars="0"/>
              <w:jc w:val="both"/>
              <w:outlineLvl w:val="9"/>
              <w:rPr>
                <w:rFonts w:hint="eastAsia" w:ascii="Times New Roman" w:hAnsi="Times New Roman" w:eastAsia="宋体" w:cs="Times New Roman"/>
                <w:b w:val="0"/>
                <w:i w:val="0"/>
                <w:iCs w:val="0"/>
                <w:color w:val="000000"/>
                <w:kern w:val="0"/>
                <w:sz w:val="21"/>
                <w:szCs w:val="21"/>
                <w:u w:val="none"/>
                <w:lang w:val="en-US" w:eastAsia="zh" w:bidi="ar"/>
                <w:woUserID w:val="4"/>
              </w:rPr>
            </w:pPr>
            <w:r>
              <w:rPr>
                <w:rFonts w:hint="eastAsia" w:eastAsia="宋体" w:cs="Times New Roman"/>
                <w:b w:val="0"/>
                <w:i w:val="0"/>
                <w:iCs w:val="0"/>
                <w:color w:val="000000"/>
                <w:kern w:val="0"/>
                <w:sz w:val="21"/>
                <w:szCs w:val="21"/>
                <w:u w:val="none"/>
                <w:lang w:val="en-US" w:eastAsia="zh" w:bidi="ar"/>
                <w:woUserID w:val="4"/>
              </w:rPr>
              <w:t>4</w:t>
            </w:r>
            <w:r>
              <w:rPr>
                <w:rFonts w:hint="default" w:ascii="Times New Roman" w:hAnsi="Times New Roman" w:eastAsia="宋体" w:cs="Times New Roman"/>
                <w:b w:val="0"/>
                <w:i w:val="0"/>
                <w:iCs w:val="0"/>
                <w:color w:val="000000"/>
                <w:kern w:val="0"/>
                <w:sz w:val="21"/>
                <w:szCs w:val="21"/>
                <w:u w:val="none"/>
                <w:lang w:val="en-US" w:eastAsia="zh-CN" w:bidi="ar"/>
                <w:woUserID w:val="4"/>
              </w:rPr>
              <w:t>.</w:t>
            </w:r>
            <w:r>
              <w:rPr>
                <w:rFonts w:hint="eastAsia" w:eastAsia="宋体" w:cs="Times New Roman"/>
                <w:b w:val="0"/>
                <w:i w:val="0"/>
                <w:iCs w:val="0"/>
                <w:color w:val="000000"/>
                <w:kern w:val="0"/>
                <w:sz w:val="21"/>
                <w:szCs w:val="21"/>
                <w:u w:val="none"/>
                <w:lang w:val="en-US" w:eastAsia="zh" w:bidi="ar"/>
                <w:woUserID w:val="4"/>
              </w:rPr>
              <w:t>6</w:t>
            </w:r>
            <w:r>
              <w:rPr>
                <w:rFonts w:hint="default" w:ascii="Times New Roman" w:hAnsi="Times New Roman" w:eastAsia="宋体" w:cs="Times New Roman"/>
                <w:b w:val="0"/>
                <w:i w:val="0"/>
                <w:iCs w:val="0"/>
                <w:color w:val="000000"/>
                <w:kern w:val="0"/>
                <w:sz w:val="21"/>
                <w:szCs w:val="21"/>
                <w:u w:val="none"/>
                <w:lang w:val="en-US" w:eastAsia="zh-CN" w:bidi="ar"/>
                <w:woUserID w:val="4"/>
              </w:rPr>
              <w:t xml:space="preserve"> </w:t>
            </w:r>
            <w:r>
              <w:rPr>
                <w:rFonts w:hint="eastAsia" w:eastAsia="宋体" w:cs="Times New Roman"/>
                <w:b w:val="0"/>
                <w:i w:val="0"/>
                <w:iCs w:val="0"/>
                <w:color w:val="000000"/>
                <w:kern w:val="0"/>
                <w:sz w:val="21"/>
                <w:szCs w:val="21"/>
                <w:u w:val="none"/>
                <w:lang w:val="en-US" w:eastAsia="zh" w:bidi="ar"/>
                <w:woUserID w:val="4"/>
              </w:rPr>
              <w:t>转诊与衔接</w:t>
            </w:r>
          </w:p>
        </w:tc>
        <w:tc>
          <w:tcPr>
            <w:tcW w:w="2891" w:type="pct"/>
            <w:tcBorders>
              <w:top w:val="nil"/>
              <w:left w:val="nil"/>
              <w:bottom w:val="nil"/>
              <w:right w:val="nil"/>
            </w:tcBorders>
            <w:shd w:val="clear" w:color="auto" w:fill="FFFFFF"/>
            <w:vAlign w:val="top"/>
          </w:tcPr>
          <w:p w14:paraId="082BE495">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kern w:val="0"/>
                <w:sz w:val="21"/>
                <w:szCs w:val="21"/>
                <w:u w:val="none"/>
                <w:lang w:val="en-US" w:eastAsia="zh-CN" w:bidi="ar"/>
              </w:rPr>
            </w:pPr>
            <w:r>
              <w:rPr>
                <w:rFonts w:hint="eastAsia" w:eastAsia="宋体" w:cs="Times New Roman"/>
                <w:b w:val="0"/>
                <w:i w:val="0"/>
                <w:iCs w:val="0"/>
                <w:color w:val="000000"/>
                <w:kern w:val="0"/>
                <w:sz w:val="21"/>
                <w:szCs w:val="21"/>
                <w:u w:val="none"/>
                <w:lang w:val="en-US" w:eastAsia="zh" w:bidi="ar"/>
                <w:woUserID w:val="4"/>
              </w:rPr>
              <w:t xml:space="preserve">4.6.1 </w:t>
            </w:r>
            <w:r>
              <w:rPr>
                <w:rFonts w:hint="default" w:eastAsia="宋体" w:cs="Times New Roman"/>
                <w:b w:val="0"/>
                <w:i w:val="0"/>
                <w:iCs w:val="0"/>
                <w:color w:val="000000"/>
                <w:kern w:val="0"/>
                <w:sz w:val="21"/>
                <w:szCs w:val="21"/>
                <w:u w:val="none"/>
                <w:lang w:val="en-US" w:eastAsia="zh-CN" w:bidi="ar"/>
                <w:woUserID w:val="4"/>
              </w:rPr>
              <w:t>对经监测与复评确认存在高风险情况、干预效果不佳、出现临床并发症或无法耐受当前干预方案的老年人，应及时转诊至对应专科医疗机构接受规范诊疗。</w:t>
            </w:r>
          </w:p>
        </w:tc>
      </w:tr>
      <w:tr w14:paraId="7845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4" w:type="pct"/>
            <w:vMerge w:val="continue"/>
            <w:tcBorders>
              <w:top w:val="nil"/>
              <w:left w:val="nil"/>
              <w:bottom w:val="single" w:color="000000" w:sz="12" w:space="0"/>
              <w:right w:val="nil"/>
            </w:tcBorders>
            <w:shd w:val="clear" w:color="auto" w:fill="FFFFFF"/>
            <w:vAlign w:val="top"/>
          </w:tcPr>
          <w:p w14:paraId="3D0E49F4">
            <w:pPr>
              <w:keepNext w:val="0"/>
              <w:keepLines w:val="0"/>
              <w:suppressLineNumbers w:val="0"/>
              <w:spacing w:before="0" w:beforeAutospacing="0" w:after="0" w:afterAutospacing="0"/>
              <w:ind w:left="0" w:right="0"/>
              <w:jc w:val="both"/>
              <w:outlineLvl w:val="9"/>
              <w:rPr>
                <w:rFonts w:hint="default" w:ascii="Times New Roman" w:hAnsi="Times New Roman" w:eastAsia="宋体" w:cs="Times New Roman"/>
                <w:b w:val="0"/>
                <w:i w:val="0"/>
                <w:iCs w:val="0"/>
                <w:color w:val="000000"/>
                <w:sz w:val="21"/>
                <w:szCs w:val="21"/>
                <w:u w:val="none"/>
              </w:rPr>
            </w:pPr>
          </w:p>
        </w:tc>
        <w:tc>
          <w:tcPr>
            <w:tcW w:w="1234" w:type="pct"/>
            <w:vMerge w:val="continue"/>
            <w:tcBorders>
              <w:left w:val="nil"/>
              <w:bottom w:val="single" w:color="000000" w:sz="12" w:space="0"/>
              <w:right w:val="nil"/>
            </w:tcBorders>
            <w:shd w:val="clear" w:color="auto" w:fill="FFFFFF"/>
            <w:vAlign w:val="top"/>
          </w:tcPr>
          <w:p w14:paraId="18584A55">
            <w:pPr>
              <w:keepNext w:val="0"/>
              <w:keepLines w:val="0"/>
              <w:widowControl/>
              <w:suppressLineNumbers w:val="0"/>
              <w:spacing w:before="0" w:beforeAutospacing="0" w:after="0" w:afterAutospacing="0"/>
              <w:ind w:left="0" w:right="0"/>
              <w:jc w:val="both"/>
              <w:textAlignment w:val="center"/>
              <w:outlineLvl w:val="9"/>
              <w:rPr>
                <w:rFonts w:hint="default" w:ascii="Times New Roman" w:hAnsi="Times New Roman" w:eastAsia="宋体" w:cs="Times New Roman"/>
                <w:b w:val="0"/>
                <w:i w:val="0"/>
                <w:iCs w:val="0"/>
                <w:color w:val="000000"/>
                <w:sz w:val="21"/>
                <w:szCs w:val="21"/>
                <w:u w:val="none"/>
              </w:rPr>
            </w:pPr>
          </w:p>
        </w:tc>
        <w:tc>
          <w:tcPr>
            <w:tcW w:w="2891" w:type="pct"/>
            <w:tcBorders>
              <w:top w:val="nil"/>
              <w:left w:val="nil"/>
              <w:bottom w:val="single" w:color="000000" w:sz="12" w:space="0"/>
              <w:right w:val="nil"/>
            </w:tcBorders>
            <w:shd w:val="clear" w:color="auto" w:fill="FFFFFF"/>
            <w:vAlign w:val="top"/>
          </w:tcPr>
          <w:p w14:paraId="3D2228AF">
            <w:pPr>
              <w:keepNext w:val="0"/>
              <w:keepLines w:val="0"/>
              <w:widowControl w:val="0"/>
              <w:suppressLineNumbers w:val="0"/>
              <w:wordWrap w:val="0"/>
              <w:autoSpaceDE w:val="0"/>
              <w:autoSpaceDN w:val="0"/>
              <w:spacing w:before="0" w:beforeAutospacing="0" w:after="0" w:afterAutospacing="0"/>
              <w:ind w:left="0" w:right="0"/>
              <w:jc w:val="both"/>
              <w:rPr>
                <w:rFonts w:hint="eastAsia" w:ascii="Times New Roman" w:hAnsi="Times New Roman" w:eastAsia="宋体" w:cs="Times New Roman"/>
                <w:b w:val="0"/>
                <w:i w:val="0"/>
                <w:iCs w:val="0"/>
                <w:color w:val="000000"/>
                <w:sz w:val="21"/>
                <w:szCs w:val="21"/>
                <w:u w:val="none"/>
                <w:lang w:eastAsia="zh"/>
                <w:woUserID w:val="4"/>
              </w:rPr>
            </w:pPr>
            <w:r>
              <w:rPr>
                <w:rFonts w:hint="eastAsia" w:eastAsia="宋体" w:cs="Times New Roman"/>
                <w:b w:val="0"/>
                <w:i w:val="0"/>
                <w:iCs w:val="0"/>
                <w:color w:val="000000"/>
                <w:kern w:val="0"/>
                <w:sz w:val="21"/>
                <w:szCs w:val="21"/>
                <w:u w:val="none"/>
                <w:lang w:val="en-US" w:eastAsia="zh" w:bidi="ar"/>
                <w:woUserID w:val="4"/>
              </w:rPr>
              <w:t xml:space="preserve">4.6.2 </w:t>
            </w:r>
            <w:r>
              <w:rPr>
                <w:rFonts w:hint="default" w:eastAsia="宋体" w:cs="Times New Roman"/>
                <w:b w:val="0"/>
                <w:i w:val="0"/>
                <w:iCs w:val="0"/>
                <w:color w:val="000000"/>
                <w:kern w:val="0"/>
                <w:sz w:val="21"/>
                <w:szCs w:val="21"/>
                <w:u w:val="none"/>
                <w:lang w:val="en-US" w:eastAsia="zh-CN" w:bidi="ar"/>
                <w:woUserID w:val="4"/>
              </w:rPr>
              <w:t>基层医疗卫生机构、社区康养机构、养老服务机构与临床专科之间应建立常态化信息沟通与服务衔接机制，保障综合干预服务的连续性与规范性</w:t>
            </w:r>
          </w:p>
        </w:tc>
      </w:tr>
    </w:tbl>
    <w:p w14:paraId="2AA47741">
      <w:pPr>
        <w:pStyle w:val="11"/>
        <w:spacing w:line="360" w:lineRule="auto"/>
        <w:ind w:left="0" w:leftChars="0" w:firstLine="0" w:firstLineChars="0"/>
        <w:outlineLvl w:val="9"/>
        <w:rPr>
          <w:rFonts w:ascii="Times New Roman"/>
        </w:rPr>
      </w:pPr>
    </w:p>
    <w:p w14:paraId="0429FCF9">
      <w:pPr>
        <w:pStyle w:val="11"/>
        <w:spacing w:line="360" w:lineRule="auto"/>
        <w:ind w:firstLine="420"/>
        <w:jc w:val="left"/>
        <w:rPr>
          <w:rFonts w:hint="eastAsia" w:ascii="Times New Roman" w:hAnsi="Times New Roman" w:eastAsia="宋体" w:cs="Times New Roman"/>
          <w:kern w:val="0"/>
          <w:sz w:val="21"/>
          <w:szCs w:val="20"/>
          <w:vertAlign w:val="baseline"/>
          <w:lang w:val="en-US" w:eastAsia="zh-CN" w:bidi="ar-SA"/>
        </w:rPr>
      </w:pPr>
    </w:p>
    <w:p w14:paraId="502BF642">
      <w:pPr>
        <w:keepNext w:val="0"/>
        <w:keepLines w:val="0"/>
        <w:pageBreakBefore w:val="0"/>
        <w:widowControl w:val="0"/>
        <w:kinsoku/>
        <w:wordWrap/>
        <w:overflowPunct/>
        <w:topLinePunct w:val="0"/>
        <w:autoSpaceDE/>
        <w:autoSpaceDN/>
        <w:bidi w:val="0"/>
        <w:adjustRightInd/>
        <w:snapToGrid/>
        <w:spacing w:line="660" w:lineRule="exact"/>
        <w:ind w:firstLine="641"/>
        <w:textAlignment w:val="auto"/>
        <w:outlineLvl w:val="0"/>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w:t>
      </w:r>
      <w:r>
        <w:rPr>
          <w:rFonts w:hint="eastAsia" w:ascii="Times New Roman" w:hAnsi="Times New Roman" w:eastAsia="黑体" w:cs="Times New Roman"/>
          <w:color w:val="auto"/>
          <w:sz w:val="32"/>
          <w:szCs w:val="32"/>
        </w:rPr>
        <w:t>、征求意见和采纳情况</w:t>
      </w:r>
      <w:r>
        <w:rPr>
          <w:rFonts w:hint="eastAsia" w:eastAsia="黑体" w:cs="Times New Roman"/>
          <w:color w:val="auto"/>
          <w:sz w:val="32"/>
          <w:szCs w:val="32"/>
          <w:lang w:eastAsia="zh-CN"/>
        </w:rPr>
        <w:t>、</w:t>
      </w:r>
      <w:r>
        <w:rPr>
          <w:rFonts w:hint="eastAsia" w:eastAsia="黑体" w:cs="Times New Roman"/>
          <w:color w:val="auto"/>
          <w:sz w:val="32"/>
          <w:szCs w:val="32"/>
          <w:lang w:val="en-US" w:eastAsia="zh-CN"/>
        </w:rPr>
        <w:t>不采纳的理由</w:t>
      </w:r>
    </w:p>
    <w:p w14:paraId="20E29BBD">
      <w:pPr>
        <w:keepNext w:val="0"/>
        <w:keepLines w:val="0"/>
        <w:pageBreakBefore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color w:val="auto"/>
          <w:szCs w:val="32"/>
          <w:shd w:val="clear" w:color="auto" w:fill="FFFFFF"/>
          <w:lang w:val="en-US" w:eastAsia="zh-CN"/>
        </w:rPr>
      </w:pPr>
    </w:p>
    <w:p w14:paraId="73A13FB5">
      <w:pPr>
        <w:keepNext w:val="0"/>
        <w:keepLines w:val="0"/>
        <w:pageBreakBefore w:val="0"/>
        <w:widowControl w:val="0"/>
        <w:kinsoku/>
        <w:wordWrap/>
        <w:overflowPunct/>
        <w:topLinePunct w:val="0"/>
        <w:autoSpaceDE/>
        <w:autoSpaceDN/>
        <w:bidi w:val="0"/>
        <w:adjustRightInd/>
        <w:snapToGrid/>
        <w:spacing w:line="660" w:lineRule="exact"/>
        <w:ind w:firstLine="641"/>
        <w:textAlignment w:val="auto"/>
        <w:outlineLvl w:val="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六</w:t>
      </w:r>
      <w:r>
        <w:rPr>
          <w:rFonts w:hint="eastAsia" w:ascii="Times New Roman" w:hAnsi="Times New Roman" w:eastAsia="黑体" w:cs="Times New Roman"/>
          <w:color w:val="auto"/>
          <w:sz w:val="32"/>
          <w:szCs w:val="32"/>
        </w:rPr>
        <w:t>、重大意见分歧的处理结果和依据</w:t>
      </w:r>
    </w:p>
    <w:p w14:paraId="34C996E7">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Cs w:val="32"/>
          <w:shd w:val="clear" w:color="auto" w:fill="FFFFFF"/>
        </w:rPr>
      </w:pPr>
    </w:p>
    <w:p w14:paraId="1410CB3E">
      <w:pPr>
        <w:keepNext w:val="0"/>
        <w:keepLines w:val="0"/>
        <w:pageBreakBefore w:val="0"/>
        <w:widowControl w:val="0"/>
        <w:kinsoku/>
        <w:wordWrap/>
        <w:overflowPunct/>
        <w:topLinePunct w:val="0"/>
        <w:autoSpaceDE/>
        <w:autoSpaceDN/>
        <w:bidi w:val="0"/>
        <w:adjustRightInd/>
        <w:snapToGrid/>
        <w:spacing w:line="660" w:lineRule="exact"/>
        <w:ind w:firstLine="641"/>
        <w:textAlignment w:val="auto"/>
        <w:outlineLvl w:val="0"/>
        <w:rPr>
          <w:rFonts w:hint="eastAsia" w:ascii="Times New Roman" w:hAnsi="Times New Roman" w:eastAsia="黑体" w:cs="Times New Roman"/>
          <w:color w:val="auto"/>
          <w:sz w:val="32"/>
          <w:szCs w:val="32"/>
        </w:rPr>
      </w:pPr>
      <w:r>
        <w:rPr>
          <w:rFonts w:hint="eastAsia" w:eastAsia="黑体" w:cs="Times New Roman"/>
          <w:color w:val="auto"/>
          <w:sz w:val="32"/>
          <w:szCs w:val="32"/>
          <w:lang w:val="en-US" w:eastAsia="zh-CN"/>
        </w:rPr>
        <w:t>七</w:t>
      </w:r>
      <w:r>
        <w:rPr>
          <w:rFonts w:hint="eastAsia" w:ascii="Times New Roman" w:hAnsi="Times New Roman" w:eastAsia="黑体" w:cs="Times New Roman"/>
          <w:color w:val="auto"/>
          <w:sz w:val="32"/>
          <w:szCs w:val="32"/>
          <w:lang w:eastAsia="zh-CN"/>
        </w:rPr>
        <w:t>、</w:t>
      </w:r>
      <w:r>
        <w:rPr>
          <w:rFonts w:hint="eastAsia" w:ascii="Times New Roman" w:hAnsi="Times New Roman" w:eastAsia="黑体" w:cs="Times New Roman"/>
          <w:color w:val="auto"/>
          <w:sz w:val="32"/>
          <w:szCs w:val="32"/>
        </w:rPr>
        <w:t>其他应予说明的事项</w:t>
      </w:r>
    </w:p>
    <w:p w14:paraId="6DDFB8EF">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Times New Roman" w:hAnsi="Times New Roman" w:eastAsia="黑体" w:cs="Times New Roman"/>
          <w:color w:val="auto"/>
          <w:sz w:val="32"/>
          <w:szCs w:val="32"/>
          <w:lang w:val="en-US" w:eastAsia="zh-CN"/>
        </w:rPr>
      </w:pPr>
    </w:p>
    <w:p w14:paraId="7EB924BD">
      <w:pPr>
        <w:spacing w:line="360" w:lineRule="auto"/>
        <w:jc w:val="righ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woUserID w:val="1"/>
        </w:rPr>
        <w:t>老年人肌骨健康综合干预指南</w:t>
      </w:r>
      <w:r>
        <w:rPr>
          <w:rFonts w:hint="eastAsia" w:ascii="宋体" w:hAnsi="宋体" w:cs="宋体"/>
          <w:color w:val="auto"/>
          <w:sz w:val="28"/>
          <w:szCs w:val="28"/>
          <w:lang w:val="en-US" w:eastAsia="zh-CN"/>
        </w:rPr>
        <w:t>起草小组</w:t>
      </w:r>
    </w:p>
    <w:p w14:paraId="2E93783A">
      <w:pPr>
        <w:spacing w:line="360" w:lineRule="auto"/>
        <w:jc w:val="right"/>
        <w:rPr>
          <w:rFonts w:hint="default"/>
          <w:color w:val="auto"/>
          <w:lang w:val="en-US" w:eastAsia="zh-CN"/>
        </w:rPr>
      </w:pPr>
      <w:r>
        <w:rPr>
          <w:rFonts w:hint="eastAsia" w:ascii="宋体" w:hAnsi="宋体" w:cs="宋体"/>
          <w:color w:val="auto"/>
          <w:sz w:val="28"/>
          <w:szCs w:val="28"/>
          <w:lang w:val="en-US" w:eastAsia="zh-CN"/>
        </w:rPr>
        <w:t>2026年</w:t>
      </w:r>
      <w:r>
        <w:rPr>
          <w:rFonts w:hint="eastAsia" w:ascii="宋体" w:hAnsi="宋体" w:cs="宋体"/>
          <w:color w:val="auto"/>
          <w:sz w:val="28"/>
          <w:szCs w:val="28"/>
          <w:lang w:val="en-US" w:eastAsia="zh"/>
          <w:woUserID w:val="1"/>
        </w:rPr>
        <w:t>5</w:t>
      </w:r>
      <w:r>
        <w:rPr>
          <w:rFonts w:hint="eastAsia" w:ascii="宋体" w:hAnsi="宋体" w:cs="宋体"/>
          <w:color w:val="auto"/>
          <w:sz w:val="28"/>
          <w:szCs w:val="28"/>
          <w:lang w:val="en-US" w:eastAsia="zh-CN"/>
        </w:rPr>
        <w:t>月</w:t>
      </w:r>
      <w:r>
        <w:rPr>
          <w:rFonts w:hint="eastAsia" w:ascii="宋体" w:hAnsi="宋体" w:cs="宋体"/>
          <w:color w:val="auto"/>
          <w:sz w:val="28"/>
          <w:szCs w:val="28"/>
          <w:lang w:val="en-US" w:eastAsia="zh"/>
          <w:woUserID w:val="1"/>
        </w:rPr>
        <w:t>7</w:t>
      </w:r>
      <w:r>
        <w:rPr>
          <w:rFonts w:hint="eastAsia" w:ascii="宋体" w:hAnsi="宋体" w:cs="宋体"/>
          <w:color w:val="auto"/>
          <w:sz w:val="28"/>
          <w:szCs w:val="28"/>
          <w:lang w:val="en-US" w:eastAsia="zh-CN"/>
        </w:rPr>
        <w:t>日</w:t>
      </w:r>
    </w:p>
    <w:p w14:paraId="3D0477CC">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Times New Roman" w:hAnsi="Times New Roman" w:eastAsia="黑体" w:cs="Times New Roman"/>
          <w:color w:val="auto"/>
          <w:sz w:val="32"/>
          <w:szCs w:val="32"/>
          <w:lang w:val="en-US" w:eastAsia="zh-CN"/>
        </w:rPr>
      </w:pPr>
    </w:p>
    <w:p w14:paraId="3252239E"/>
    <w:sectPr>
      <w:headerReference r:id="rId3" w:type="default"/>
      <w:footerReference r:id="rId4" w:type="default"/>
      <w:pgSz w:w="11906" w:h="16838"/>
      <w:pgMar w:top="1440" w:right="1417" w:bottom="1440"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10610D-5E76-45A8-8D39-E27E367D5B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仿宋"/>
    <w:panose1 w:val="00000000000000000000"/>
    <w:charset w:val="86"/>
    <w:family w:val="script"/>
    <w:pitch w:val="default"/>
    <w:sig w:usb0="00000000" w:usb1="00000000" w:usb2="00000000" w:usb3="00000000" w:csb0="00040000" w:csb1="00000000"/>
    <w:embedRegular r:id="rId2" w:fontKey="{81BED6AC-2A17-45D0-A58B-EF12E932A0B8}"/>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embedRegular r:id="rId3" w:fontKey="{AB8EB70D-2135-4599-8379-1F87A8E6C6A4}"/>
  </w:font>
  <w:font w:name="仿宋_GB2312">
    <w:altName w:val="仿宋"/>
    <w:panose1 w:val="02010609030101010101"/>
    <w:charset w:val="86"/>
    <w:family w:val="modern"/>
    <w:pitch w:val="default"/>
    <w:sig w:usb0="00000000" w:usb1="00000000" w:usb2="00000010" w:usb3="00000000" w:csb0="00040000" w:csb1="00000000"/>
    <w:embedRegular r:id="rId4" w:fontKey="{60EBC956-3067-48D5-AC10-61B16F8664D0}"/>
  </w:font>
  <w:font w:name="楷体_GB2312">
    <w:altName w:val="楷体"/>
    <w:panose1 w:val="02010609030101010101"/>
    <w:charset w:val="86"/>
    <w:family w:val="auto"/>
    <w:pitch w:val="default"/>
    <w:sig w:usb0="00000000" w:usb1="00000000" w:usb2="00000000" w:usb3="00000000" w:csb0="00040000" w:csb1="00000000"/>
    <w:embedRegular r:id="rId5" w:fontKey="{34C5BFE6-F125-4E1B-90AB-DE92564B1AEB}"/>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embedRegular r:id="rId6" w:fontKey="{3409E184-2BD0-4C06-81C9-049A62C1EED0}"/>
  </w:font>
  <w:font w:name="Google Sans">
    <w:altName w:val="Times New Roman"/>
    <w:panose1 w:val="00000000000000000000"/>
    <w:charset w:val="00"/>
    <w:family w:val="auto"/>
    <w:pitch w:val="default"/>
    <w:sig w:usb0="00000000" w:usb1="00000000" w:usb2="00000000" w:usb3="00000000" w:csb0="00000000" w:csb1="00000000"/>
    <w:embedRegular r:id="rId7" w:fontKey="{1D860BE4-F50D-4308-8181-CBFA1CABA183}"/>
  </w:font>
  <w:font w:name="等线">
    <w:panose1 w:val="02010600030101010101"/>
    <w:charset w:val="86"/>
    <w:family w:val="auto"/>
    <w:pitch w:val="default"/>
    <w:sig w:usb0="A00002BF" w:usb1="38CF7CFA" w:usb2="00000016" w:usb3="00000000" w:csb0="0004000F" w:csb1="00000000"/>
    <w:embedRegular r:id="rId8" w:fontKey="{1D971860-0CFC-4935-BE6D-CB44FF8D7867}"/>
  </w:font>
  <w:font w:name="KSOFE44F9426">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2475F">
    <w:pPr>
      <w:pStyle w:val="2"/>
      <w:pBdr>
        <w:top w:val="none" w:color="auto" w:sz="0" w:space="0"/>
        <w:left w:val="none" w:color="auto" w:sz="0" w:space="0"/>
        <w:bottom w:val="none" w:color="auto" w:sz="0" w:space="0"/>
        <w:right w:val="none" w:color="auto" w:sz="0" w:space="0"/>
        <w:between w:val="none" w:color="auto" w:sz="0" w:space="0"/>
      </w:pBdr>
      <w:rPr>
        <w:rFonts w:hint="default" w:eastAsia="方正仿宋"/>
        <w:u w:val="none"/>
        <w:lang w:val="en-US" w:eastAsia="zh-CN"/>
      </w:rPr>
    </w:pPr>
    <w:r>
      <w:rPr>
        <w:rFonts w:hint="default"/>
        <w:u w:val="none"/>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E8985">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JhKX8c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lm&#10;efoANWbdB8xLwzs/4NLMfkBnZj2oaPMX+RCMo7jnq7hySETkR+vVel1hSGBsviA+e3geIqT30luS&#10;jYZGnF4RlZ8+QhpT55Rczfk7bUyZoHH/OBAze1jufewxW2nYDxOhvW/PyKfHwTfU4Z5TYj441DXv&#10;yGzE2djPxjFEfejKEuV6EG6PCZsoveUKI+xUGCdW2E3blVfi8b1kPfxR2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3JhKX8cBAACZAwAADgAAAAAAAAABACAAAAAeAQAAZHJzL2Uyb0RvYy54&#10;bWxQSwUGAAAAAAYABgBZAQAAVwUAAAAA&#10;">
              <v:fill on="f" focussize="0,0"/>
              <v:stroke on="f"/>
              <v:imagedata o:title=""/>
              <o:lock v:ext="edit" aspectratio="f"/>
              <v:textbox inset="0mm,0mm,0mm,0mm" style="mso-fit-shape-to-text:t;">
                <w:txbxContent>
                  <w:p w14:paraId="1E2E898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7666B">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5119A"/>
    <w:rsid w:val="0485119A"/>
    <w:rsid w:val="06CC603E"/>
    <w:rsid w:val="08365E65"/>
    <w:rsid w:val="089A2898"/>
    <w:rsid w:val="091E5277"/>
    <w:rsid w:val="0AF337C6"/>
    <w:rsid w:val="0B565C5A"/>
    <w:rsid w:val="0C012C2E"/>
    <w:rsid w:val="0E8006AC"/>
    <w:rsid w:val="0FAC4C5F"/>
    <w:rsid w:val="0FF8DB9C"/>
    <w:rsid w:val="124B4C03"/>
    <w:rsid w:val="12C07670"/>
    <w:rsid w:val="135B0E75"/>
    <w:rsid w:val="1606652D"/>
    <w:rsid w:val="16C31050"/>
    <w:rsid w:val="189866C8"/>
    <w:rsid w:val="19F53451"/>
    <w:rsid w:val="19FF9AB9"/>
    <w:rsid w:val="1A564145"/>
    <w:rsid w:val="1B067919"/>
    <w:rsid w:val="1D7C68D9"/>
    <w:rsid w:val="1D7F45CA"/>
    <w:rsid w:val="1E566E09"/>
    <w:rsid w:val="1EF075D2"/>
    <w:rsid w:val="1EF503D0"/>
    <w:rsid w:val="20B120D5"/>
    <w:rsid w:val="22284619"/>
    <w:rsid w:val="226329AF"/>
    <w:rsid w:val="23861508"/>
    <w:rsid w:val="27FF8F10"/>
    <w:rsid w:val="2C4604BD"/>
    <w:rsid w:val="2CA73C19"/>
    <w:rsid w:val="30406FD1"/>
    <w:rsid w:val="30953AFA"/>
    <w:rsid w:val="31FB410C"/>
    <w:rsid w:val="31FB7889"/>
    <w:rsid w:val="32DE4748"/>
    <w:rsid w:val="34700FAA"/>
    <w:rsid w:val="370A20E7"/>
    <w:rsid w:val="373F645F"/>
    <w:rsid w:val="37B293F9"/>
    <w:rsid w:val="37F585B9"/>
    <w:rsid w:val="384B18C4"/>
    <w:rsid w:val="385C5D8D"/>
    <w:rsid w:val="39DFC310"/>
    <w:rsid w:val="3B9DC6D4"/>
    <w:rsid w:val="3BBA6300"/>
    <w:rsid w:val="3BF09EAB"/>
    <w:rsid w:val="3BF296DF"/>
    <w:rsid w:val="3D5140C2"/>
    <w:rsid w:val="3EAC5FAC"/>
    <w:rsid w:val="3EAE391C"/>
    <w:rsid w:val="3EBC3E32"/>
    <w:rsid w:val="3EEFB1A4"/>
    <w:rsid w:val="3EF47546"/>
    <w:rsid w:val="3EFEFDC8"/>
    <w:rsid w:val="3FB3532E"/>
    <w:rsid w:val="3FEF7657"/>
    <w:rsid w:val="3FFD3977"/>
    <w:rsid w:val="41AC096A"/>
    <w:rsid w:val="4201676E"/>
    <w:rsid w:val="42497F67"/>
    <w:rsid w:val="451F76A5"/>
    <w:rsid w:val="453D1D6B"/>
    <w:rsid w:val="45C8461A"/>
    <w:rsid w:val="46AA5D18"/>
    <w:rsid w:val="46E43635"/>
    <w:rsid w:val="48802661"/>
    <w:rsid w:val="498D72D3"/>
    <w:rsid w:val="49920446"/>
    <w:rsid w:val="49C017D1"/>
    <w:rsid w:val="4AA307FB"/>
    <w:rsid w:val="4BEFEE8E"/>
    <w:rsid w:val="4BFD2A6B"/>
    <w:rsid w:val="4D963E19"/>
    <w:rsid w:val="4DBF2B1C"/>
    <w:rsid w:val="4E37780E"/>
    <w:rsid w:val="4EE03A01"/>
    <w:rsid w:val="4FEDF6A4"/>
    <w:rsid w:val="50DE180B"/>
    <w:rsid w:val="51F038C0"/>
    <w:rsid w:val="526861E8"/>
    <w:rsid w:val="52F554A8"/>
    <w:rsid w:val="55EAC5FF"/>
    <w:rsid w:val="5661E38E"/>
    <w:rsid w:val="57AE1DBE"/>
    <w:rsid w:val="58F5454D"/>
    <w:rsid w:val="5A981634"/>
    <w:rsid w:val="5ABF7E2F"/>
    <w:rsid w:val="5AFD091A"/>
    <w:rsid w:val="5CE047AB"/>
    <w:rsid w:val="5D0E7303"/>
    <w:rsid w:val="5DF673EC"/>
    <w:rsid w:val="5E76224A"/>
    <w:rsid w:val="5FAF536D"/>
    <w:rsid w:val="5FB63B92"/>
    <w:rsid w:val="5FC39BDD"/>
    <w:rsid w:val="5FFF4DC0"/>
    <w:rsid w:val="5FFFB0E7"/>
    <w:rsid w:val="600A2C1F"/>
    <w:rsid w:val="62BEB243"/>
    <w:rsid w:val="65BF328C"/>
    <w:rsid w:val="66383BFC"/>
    <w:rsid w:val="696B5D91"/>
    <w:rsid w:val="69DF2DDC"/>
    <w:rsid w:val="6BA9EA10"/>
    <w:rsid w:val="6CE58A73"/>
    <w:rsid w:val="6F32335B"/>
    <w:rsid w:val="6F375385"/>
    <w:rsid w:val="6FBBD3AE"/>
    <w:rsid w:val="6FD827A7"/>
    <w:rsid w:val="6FF63825"/>
    <w:rsid w:val="705B5186"/>
    <w:rsid w:val="715B7E8B"/>
    <w:rsid w:val="71775FF0"/>
    <w:rsid w:val="72FF8C54"/>
    <w:rsid w:val="73BC23E0"/>
    <w:rsid w:val="73DE6ED3"/>
    <w:rsid w:val="73F7F86E"/>
    <w:rsid w:val="74561B26"/>
    <w:rsid w:val="74C77563"/>
    <w:rsid w:val="757DE2C2"/>
    <w:rsid w:val="75EEF76F"/>
    <w:rsid w:val="75F18233"/>
    <w:rsid w:val="761A4029"/>
    <w:rsid w:val="767F50FC"/>
    <w:rsid w:val="77463594"/>
    <w:rsid w:val="776F3465"/>
    <w:rsid w:val="778F7107"/>
    <w:rsid w:val="779D1A5F"/>
    <w:rsid w:val="77EF83EC"/>
    <w:rsid w:val="77F1C3B7"/>
    <w:rsid w:val="78083F5D"/>
    <w:rsid w:val="78A7270E"/>
    <w:rsid w:val="78DB1804"/>
    <w:rsid w:val="7ACD0A2E"/>
    <w:rsid w:val="7B065CA4"/>
    <w:rsid w:val="7B537387"/>
    <w:rsid w:val="7B697A59"/>
    <w:rsid w:val="7B77059E"/>
    <w:rsid w:val="7B7FBF78"/>
    <w:rsid w:val="7BFAEB43"/>
    <w:rsid w:val="7BFD2663"/>
    <w:rsid w:val="7D7E6893"/>
    <w:rsid w:val="7DAA2D01"/>
    <w:rsid w:val="7DB60279"/>
    <w:rsid w:val="7DDF7BD5"/>
    <w:rsid w:val="7DFFD614"/>
    <w:rsid w:val="7E8F994B"/>
    <w:rsid w:val="7EA72766"/>
    <w:rsid w:val="7EBC9A6A"/>
    <w:rsid w:val="7EFE2DC6"/>
    <w:rsid w:val="7EFF2E22"/>
    <w:rsid w:val="7EFF8614"/>
    <w:rsid w:val="7F326061"/>
    <w:rsid w:val="7F5405C7"/>
    <w:rsid w:val="7F683F50"/>
    <w:rsid w:val="7F76AC60"/>
    <w:rsid w:val="7F7B3F17"/>
    <w:rsid w:val="7FDFC11F"/>
    <w:rsid w:val="7FEF55E1"/>
    <w:rsid w:val="7FEFFB6B"/>
    <w:rsid w:val="7FF62071"/>
    <w:rsid w:val="7FFDF9BB"/>
    <w:rsid w:val="7FFFFAD5"/>
    <w:rsid w:val="9BD7D681"/>
    <w:rsid w:val="9F2B9AAB"/>
    <w:rsid w:val="9FE76BF2"/>
    <w:rsid w:val="A7B73E48"/>
    <w:rsid w:val="AAF352DF"/>
    <w:rsid w:val="AD68B314"/>
    <w:rsid w:val="ADBF3F9E"/>
    <w:rsid w:val="AEFF449A"/>
    <w:rsid w:val="B2AF413C"/>
    <w:rsid w:val="B4D7A12C"/>
    <w:rsid w:val="B55FE544"/>
    <w:rsid w:val="B5F3288E"/>
    <w:rsid w:val="B97F5EBA"/>
    <w:rsid w:val="BBC93C74"/>
    <w:rsid w:val="BBFB0F24"/>
    <w:rsid w:val="BC8BBEAB"/>
    <w:rsid w:val="BF7F7963"/>
    <w:rsid w:val="BF7F90AB"/>
    <w:rsid w:val="BF9A8C5D"/>
    <w:rsid w:val="BFBD6212"/>
    <w:rsid w:val="BFDFCF82"/>
    <w:rsid w:val="BFFFBD64"/>
    <w:rsid w:val="C77FF0A0"/>
    <w:rsid w:val="CBFBAAA4"/>
    <w:rsid w:val="CFAF5A3C"/>
    <w:rsid w:val="CFE7C18E"/>
    <w:rsid w:val="D39A0F8E"/>
    <w:rsid w:val="D4E236F1"/>
    <w:rsid w:val="D5FBB9F8"/>
    <w:rsid w:val="D6AB703B"/>
    <w:rsid w:val="D7881061"/>
    <w:rsid w:val="D8DBF054"/>
    <w:rsid w:val="DAB7C56E"/>
    <w:rsid w:val="DB7F486B"/>
    <w:rsid w:val="DBFD5CC6"/>
    <w:rsid w:val="DBFFE57A"/>
    <w:rsid w:val="DCFCB4E6"/>
    <w:rsid w:val="DD5F0EA2"/>
    <w:rsid w:val="DD96CA86"/>
    <w:rsid w:val="DDBE5C85"/>
    <w:rsid w:val="DDDE8A13"/>
    <w:rsid w:val="DF9F473E"/>
    <w:rsid w:val="DFC312F8"/>
    <w:rsid w:val="DFFB0B2A"/>
    <w:rsid w:val="DFFE7F18"/>
    <w:rsid w:val="E6EFF81E"/>
    <w:rsid w:val="E6F70154"/>
    <w:rsid w:val="EC5BDA50"/>
    <w:rsid w:val="ECAFAD43"/>
    <w:rsid w:val="ECFF3E91"/>
    <w:rsid w:val="EDBB1BFB"/>
    <w:rsid w:val="EDFA22BE"/>
    <w:rsid w:val="EEBAB75F"/>
    <w:rsid w:val="EF375541"/>
    <w:rsid w:val="EFACB2CC"/>
    <w:rsid w:val="EFDB64B7"/>
    <w:rsid w:val="EFEB6744"/>
    <w:rsid w:val="EFFF7046"/>
    <w:rsid w:val="EFFFAB81"/>
    <w:rsid w:val="F1BFA5C1"/>
    <w:rsid w:val="F27EB837"/>
    <w:rsid w:val="F27FAE1A"/>
    <w:rsid w:val="F3EF58BC"/>
    <w:rsid w:val="F3FB50A2"/>
    <w:rsid w:val="F5327EE6"/>
    <w:rsid w:val="F5F7F488"/>
    <w:rsid w:val="F75DFAB4"/>
    <w:rsid w:val="F7B7CE59"/>
    <w:rsid w:val="F7BF2EA5"/>
    <w:rsid w:val="F7F9FCA7"/>
    <w:rsid w:val="FA7FC4C9"/>
    <w:rsid w:val="FAAF32C4"/>
    <w:rsid w:val="FB7E382D"/>
    <w:rsid w:val="FBDA9F9A"/>
    <w:rsid w:val="FBFF3326"/>
    <w:rsid w:val="FD6F333B"/>
    <w:rsid w:val="FDBE30BF"/>
    <w:rsid w:val="FDDEA6A4"/>
    <w:rsid w:val="FDE75084"/>
    <w:rsid w:val="FE5EF103"/>
    <w:rsid w:val="FEBF1A58"/>
    <w:rsid w:val="FEED5553"/>
    <w:rsid w:val="FEF5508E"/>
    <w:rsid w:val="FF663EC8"/>
    <w:rsid w:val="FF757158"/>
    <w:rsid w:val="FF774740"/>
    <w:rsid w:val="FF7BA2AB"/>
    <w:rsid w:val="FF7E4897"/>
    <w:rsid w:val="FF9FC633"/>
    <w:rsid w:val="FFB5EA1D"/>
    <w:rsid w:val="FFDE987E"/>
    <w:rsid w:val="FFDFACEB"/>
    <w:rsid w:val="FFEF8268"/>
    <w:rsid w:val="FFF30B10"/>
    <w:rsid w:val="FFF539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仿宋" w:hAnsi="仿宋" w:eastAsia="仿宋" w:cs="仿宋"/>
      <w:sz w:val="24"/>
      <w:szCs w:val="24"/>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
    <w:name w:val="font11"/>
    <w:basedOn w:val="7"/>
    <w:qFormat/>
    <w:uiPriority w:val="0"/>
    <w:rPr>
      <w:rFonts w:hint="default" w:ascii="Segoe UI" w:hAnsi="Segoe UI" w:eastAsia="Segoe UI" w:cs="Segoe UI"/>
      <w:color w:val="0F1115"/>
      <w:sz w:val="22"/>
      <w:szCs w:val="22"/>
      <w:u w:val="none"/>
    </w:rPr>
  </w:style>
  <w:style w:type="character" w:customStyle="1" w:styleId="13">
    <w:name w:val="font31"/>
    <w:basedOn w:val="7"/>
    <w:qFormat/>
    <w:uiPriority w:val="0"/>
    <w:rPr>
      <w:rFonts w:hint="eastAsia" w:ascii="宋体" w:hAnsi="宋体" w:eastAsia="宋体" w:cs="宋体"/>
      <w:color w:val="0F1115"/>
      <w:sz w:val="23"/>
      <w:szCs w:val="23"/>
      <w:u w:val="none"/>
    </w:rPr>
  </w:style>
  <w:style w:type="table" w:customStyle="1" w:styleId="14">
    <w:name w:val="TableNormal"/>
    <w:basedOn w:val="5"/>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100" w:type="dxa"/>
        <w:left w:w="100" w:type="dxa"/>
        <w:bottom w:w="100" w:type="dxa"/>
        <w:right w:w="100" w:type="dxa"/>
      </w:tblCellMar>
    </w:tblPr>
  </w:style>
  <w:style w:type="table" w:customStyle="1" w:styleId="15">
    <w:name w:val="_Style 10"/>
    <w:basedOn w:val="14"/>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100" w:type="dxa"/>
        <w:left w:w="100" w:type="dxa"/>
        <w:bottom w:w="100" w:type="dxa"/>
        <w:right w:w="100" w:type="dxa"/>
      </w:tblCellMar>
    </w:tblPr>
  </w:style>
  <w:style w:type="paragraph" w:customStyle="1" w:styleId="16">
    <w:name w:val="段落"/>
    <w:basedOn w:val="1"/>
    <w:qFormat/>
    <w:uiPriority w:val="0"/>
    <w:pPr>
      <w:keepNext w:val="0"/>
      <w:keepLines w:val="0"/>
      <w:widowControl w:val="0"/>
      <w:suppressLineNumbers w:val="0"/>
      <w:wordWrap/>
      <w:autoSpaceDE w:val="0"/>
      <w:autoSpaceDN w:val="0"/>
      <w:spacing w:before="0" w:beforeAutospacing="0" w:after="0" w:afterAutospacing="0"/>
      <w:ind w:left="0" w:right="0" w:firstLine="420" w:firstLineChars="200"/>
      <w:jc w:val="left"/>
    </w:pPr>
    <w:rPr>
      <w:rFonts w:hint="eastAsia" w:ascii="宋体"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4056</Words>
  <Characters>4205</Characters>
  <Lines>1</Lines>
  <Paragraphs>1</Paragraphs>
  <TotalTime>0</TotalTime>
  <ScaleCrop>false</ScaleCrop>
  <LinksUpToDate>false</LinksUpToDate>
  <CharactersWithSpaces>4245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2026-01-12T17:59:00Z</dcterms:created>
  <dc:creator>朱文迪</dc:creator>
  <cp:lastModifiedBy>戴尔戴耳机</cp:lastModifiedBy>
  <dcterms:modified xsi:type="dcterms:W3CDTF">2026-05-07T09:33:19Z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F23DA0817AE948C5AE53FC694A8633FE_43</vt:lpwstr>
  </property>
  <property fmtid="{D5CDD505-2E9C-101B-9397-08002B2CF9AE}" pid="4" name="KSOTemplateDocerSaveRecord">
    <vt:lpwstr>eyJoZGlkIjoiYTVkM2NkNWZjMzg4OWVmNzZiNTUyODEwOTk2ZTNlOTAiLCJ1c2VySWQiOiIxMzAyODI0MDYzIn0=</vt:lpwstr>
  </property>
</Properties>
</file>