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334"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1</w:t>
            </w:r>
            <w:r>
              <w:rPr>
                <w:rFonts w:hint="eastAsia" w:ascii="黑体" w:hAnsi="黑体" w:eastAsia="黑体"/>
                <w:sz w:val="21"/>
                <w:szCs w:val="21"/>
                <w:lang w:val="en-US" w:eastAsia="zh-CN"/>
              </w:rPr>
              <w:t>1.020</w:t>
            </w:r>
            <w:r>
              <w:rPr>
                <w:rFonts w:ascii="黑体" w:hAnsi="黑体" w:eastAsia="黑体"/>
                <w:sz w:val="21"/>
                <w:szCs w:val="21"/>
              </w:rPr>
              <w:fldChar w:fldCharType="end"/>
            </w:r>
            <w:bookmarkEnd w:id="334"/>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C05</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中国民族卫生协会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CNHAW</w:t>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0</w:t>
      </w:r>
      <w:r>
        <w:rPr>
          <w:rFonts w:hint="eastAsia"/>
          <w:lang w:val="en-US" w:eastAsia="zh-CN"/>
        </w:rPr>
        <w:t>019</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026</w:t>
      </w:r>
      <w:r>
        <w:fldChar w:fldCharType="end"/>
      </w:r>
      <w:bookmarkEnd w:id="7"/>
    </w:p>
    <w:p w14:paraId="52A51E9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儿童青少年近视防控干预效果评估指南     </w:t>
      </w:r>
      <w: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Assessing the effectiveness of interventions for myopia prevention and control in children and adolescents </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中国民族卫生协会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4D25C5C">
      <w:pPr>
        <w:pStyle w:val="91"/>
        <w:bidi w:val="0"/>
        <w:rPr>
          <w:rFonts w:hint="eastAsia"/>
          <w:lang w:eastAsia="zh-CN"/>
        </w:rPr>
      </w:pPr>
      <w:bookmarkStart w:id="21" w:name="BookMark1"/>
      <w:bookmarkStart w:id="22" w:name="_Toc14590"/>
      <w:bookmarkStart w:id="23" w:name="_Toc22955"/>
      <w:bookmarkStart w:id="24" w:name="_Toc5703"/>
      <w:r>
        <w:rPr>
          <w:rFonts w:hint="eastAsia"/>
          <w:spacing w:val="320"/>
          <w:lang w:eastAsia="zh-CN"/>
        </w:rPr>
        <w:t>目</w:t>
      </w:r>
      <w:r>
        <w:rPr>
          <w:rFonts w:hint="eastAsia"/>
          <w:lang w:eastAsia="zh-CN"/>
        </w:rPr>
        <w:t>次</w:t>
      </w:r>
    </w:p>
    <w:p w14:paraId="25891A2F">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_Toc14617 </w:instrText>
      </w:r>
      <w:r>
        <w:rPr>
          <w:rFonts w:hint="eastAsia"/>
          <w:spacing w:val="0"/>
          <w:lang w:eastAsia="zh-CN"/>
        </w:rPr>
        <w:fldChar w:fldCharType="separate"/>
      </w:r>
      <w:r>
        <w:rPr>
          <w:rFonts w:hint="eastAsia"/>
          <w:spacing w:val="0"/>
          <w:lang w:eastAsia="zh-CN"/>
        </w:rPr>
        <w:t>前言</w:t>
      </w:r>
      <w:r>
        <w:rPr>
          <w:spacing w:val="0"/>
        </w:rPr>
        <w:tab/>
      </w:r>
      <w:r>
        <w:rPr>
          <w:spacing w:val="0"/>
        </w:rPr>
        <w:fldChar w:fldCharType="begin"/>
      </w:r>
      <w:r>
        <w:rPr>
          <w:spacing w:val="0"/>
        </w:rPr>
        <w:instrText xml:space="preserve"> PAGEREF _Toc14617 \h </w:instrText>
      </w:r>
      <w:r>
        <w:rPr>
          <w:spacing w:val="0"/>
        </w:rPr>
        <w:fldChar w:fldCharType="separate"/>
      </w:r>
      <w:r>
        <w:rPr>
          <w:spacing w:val="0"/>
        </w:rPr>
        <w:t>II</w:t>
      </w:r>
      <w:r>
        <w:rPr>
          <w:spacing w:val="0"/>
        </w:rPr>
        <w:fldChar w:fldCharType="end"/>
      </w:r>
      <w:r>
        <w:rPr>
          <w:rFonts w:hint="eastAsia"/>
          <w:spacing w:val="0"/>
          <w:lang w:eastAsia="zh-CN"/>
        </w:rPr>
        <w:fldChar w:fldCharType="end"/>
      </w:r>
    </w:p>
    <w:p w14:paraId="26BBD47F">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_Toc7964 </w:instrText>
      </w:r>
      <w:r>
        <w:rPr>
          <w:rFonts w:hint="eastAsia"/>
          <w:spacing w:val="0"/>
          <w:lang w:eastAsia="zh-CN"/>
        </w:rPr>
        <w:fldChar w:fldCharType="separate"/>
      </w:r>
      <w:r>
        <w:rPr>
          <w:rFonts w:hint="eastAsia"/>
          <w:spacing w:val="0"/>
          <w:lang w:eastAsia="zh-CN"/>
        </w:rPr>
        <w:t>引言</w:t>
      </w:r>
      <w:r>
        <w:rPr>
          <w:spacing w:val="0"/>
        </w:rPr>
        <w:tab/>
      </w:r>
      <w:r>
        <w:rPr>
          <w:spacing w:val="0"/>
        </w:rPr>
        <w:fldChar w:fldCharType="begin"/>
      </w:r>
      <w:r>
        <w:rPr>
          <w:spacing w:val="0"/>
        </w:rPr>
        <w:instrText xml:space="preserve"> PAGEREF _Toc7964 \h </w:instrText>
      </w:r>
      <w:r>
        <w:rPr>
          <w:spacing w:val="0"/>
        </w:rPr>
        <w:fldChar w:fldCharType="separate"/>
      </w:r>
      <w:r>
        <w:rPr>
          <w:spacing w:val="0"/>
        </w:rPr>
        <w:t>III</w:t>
      </w:r>
      <w:r>
        <w:rPr>
          <w:spacing w:val="0"/>
        </w:rPr>
        <w:fldChar w:fldCharType="end"/>
      </w:r>
      <w:r>
        <w:rPr>
          <w:rFonts w:hint="eastAsia"/>
          <w:spacing w:val="0"/>
          <w:lang w:eastAsia="zh-CN"/>
        </w:rPr>
        <w:fldChar w:fldCharType="end"/>
      </w:r>
    </w:p>
    <w:p w14:paraId="5871EBF4">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_Toc17244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_Toc17244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6CC7292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_Toc14959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_Toc14959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2D348348">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_Toc13745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_Toc13745 \h </w:instrText>
      </w:r>
      <w:r>
        <w:rPr>
          <w:spacing w:val="0"/>
        </w:rPr>
        <w:fldChar w:fldCharType="separate"/>
      </w:r>
      <w:r>
        <w:rPr>
          <w:spacing w:val="0"/>
        </w:rPr>
        <w:t>1</w:t>
      </w:r>
      <w:r>
        <w:rPr>
          <w:spacing w:val="0"/>
        </w:rPr>
        <w:fldChar w:fldCharType="end"/>
      </w:r>
      <w:r>
        <w:rPr>
          <w:rFonts w:hint="eastAsia"/>
          <w:spacing w:val="0"/>
          <w:lang w:eastAsia="zh-CN"/>
        </w:rPr>
        <w:fldChar w:fldCharType="end"/>
      </w:r>
    </w:p>
    <w:p w14:paraId="24E10BDC">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_Toc16046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近视防控措施的评估基本原则和有效性</w:t>
      </w:r>
      <w:r>
        <w:rPr>
          <w:spacing w:val="0"/>
        </w:rPr>
        <w:tab/>
      </w:r>
      <w:r>
        <w:rPr>
          <w:spacing w:val="0"/>
        </w:rPr>
        <w:fldChar w:fldCharType="begin"/>
      </w:r>
      <w:r>
        <w:rPr>
          <w:spacing w:val="0"/>
        </w:rPr>
        <w:instrText xml:space="preserve"> PAGEREF _Toc16046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72F1D4E8">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_Toc7898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安全性评估原则和评估内容</w:t>
      </w:r>
      <w:r>
        <w:rPr>
          <w:spacing w:val="0"/>
        </w:rPr>
        <w:tab/>
      </w:r>
      <w:r>
        <w:rPr>
          <w:spacing w:val="0"/>
        </w:rPr>
        <w:fldChar w:fldCharType="begin"/>
      </w:r>
      <w:r>
        <w:rPr>
          <w:spacing w:val="0"/>
        </w:rPr>
        <w:instrText xml:space="preserve"> PAGEREF _Toc7898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71FDC76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_Toc2715 </w:instrText>
      </w:r>
      <w:r>
        <w:rPr>
          <w:rFonts w:hint="eastAsia"/>
          <w:spacing w:val="0"/>
          <w:lang w:eastAsia="zh-CN"/>
        </w:rPr>
        <w:fldChar w:fldCharType="separate"/>
      </w:r>
      <w:r>
        <w:rPr>
          <w:rFonts w:hint="eastAsia" w:ascii="黑体" w:eastAsia="黑体"/>
          <w:i w:val="0"/>
          <w:spacing w:val="0"/>
        </w:rPr>
        <w:t>6</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儿童青少年近视防控干预措施的实施性、干预过程覆盖与干预质量</w:t>
      </w:r>
      <w:r>
        <w:rPr>
          <w:spacing w:val="0"/>
        </w:rPr>
        <w:tab/>
      </w:r>
      <w:r>
        <w:rPr>
          <w:spacing w:val="0"/>
        </w:rPr>
        <w:fldChar w:fldCharType="begin"/>
      </w:r>
      <w:r>
        <w:rPr>
          <w:spacing w:val="0"/>
        </w:rPr>
        <w:instrText xml:space="preserve"> PAGEREF _Toc2715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5D1A4B7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_Toc27001 </w:instrText>
      </w:r>
      <w:r>
        <w:rPr>
          <w:rFonts w:hint="eastAsia"/>
          <w:spacing w:val="0"/>
          <w:lang w:eastAsia="zh-CN"/>
        </w:rPr>
        <w:fldChar w:fldCharType="separate"/>
      </w:r>
      <w:r>
        <w:rPr>
          <w:rFonts w:hint="eastAsia" w:ascii="黑体" w:eastAsia="黑体"/>
          <w:i w:val="0"/>
          <w:spacing w:val="0"/>
        </w:rPr>
        <w:t>7</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长期效果与可持续性评估</w:t>
      </w:r>
      <w:r>
        <w:rPr>
          <w:spacing w:val="0"/>
        </w:rPr>
        <w:tab/>
      </w:r>
      <w:r>
        <w:rPr>
          <w:spacing w:val="0"/>
        </w:rPr>
        <w:fldChar w:fldCharType="begin"/>
      </w:r>
      <w:r>
        <w:rPr>
          <w:spacing w:val="0"/>
        </w:rPr>
        <w:instrText xml:space="preserve"> PAGEREF _Toc27001 \h </w:instrText>
      </w:r>
      <w:r>
        <w:rPr>
          <w:spacing w:val="0"/>
        </w:rPr>
        <w:fldChar w:fldCharType="separate"/>
      </w:r>
      <w:r>
        <w:rPr>
          <w:spacing w:val="0"/>
        </w:rPr>
        <w:t>7</w:t>
      </w:r>
      <w:r>
        <w:rPr>
          <w:spacing w:val="0"/>
        </w:rPr>
        <w:fldChar w:fldCharType="end"/>
      </w:r>
      <w:r>
        <w:rPr>
          <w:rFonts w:hint="eastAsia"/>
          <w:spacing w:val="0"/>
          <w:lang w:eastAsia="zh-CN"/>
        </w:rPr>
        <w:fldChar w:fldCharType="end"/>
      </w:r>
    </w:p>
    <w:p w14:paraId="1C332D2E">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_Toc20909 </w:instrText>
      </w:r>
      <w:r>
        <w:rPr>
          <w:rFonts w:hint="eastAsia"/>
          <w:spacing w:val="0"/>
          <w:lang w:eastAsia="zh-CN"/>
        </w:rPr>
        <w:fldChar w:fldCharType="separate"/>
      </w:r>
      <w:r>
        <w:rPr>
          <w:rFonts w:hint="eastAsia" w:ascii="黑体" w:eastAsia="黑体"/>
          <w:i w:val="0"/>
          <w:spacing w:val="0"/>
        </w:rPr>
        <w:t>8</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评估流程与方法</w:t>
      </w:r>
      <w:r>
        <w:rPr>
          <w:spacing w:val="0"/>
        </w:rPr>
        <w:tab/>
      </w:r>
      <w:r>
        <w:rPr>
          <w:spacing w:val="0"/>
        </w:rPr>
        <w:fldChar w:fldCharType="begin"/>
      </w:r>
      <w:r>
        <w:rPr>
          <w:spacing w:val="0"/>
        </w:rPr>
        <w:instrText xml:space="preserve"> PAGEREF _Toc20909 \h </w:instrText>
      </w:r>
      <w:r>
        <w:rPr>
          <w:spacing w:val="0"/>
        </w:rPr>
        <w:fldChar w:fldCharType="separate"/>
      </w:r>
      <w:r>
        <w:rPr>
          <w:spacing w:val="0"/>
        </w:rPr>
        <w:t>10</w:t>
      </w:r>
      <w:r>
        <w:rPr>
          <w:spacing w:val="0"/>
        </w:rPr>
        <w:fldChar w:fldCharType="end"/>
      </w:r>
      <w:r>
        <w:rPr>
          <w:rFonts w:hint="eastAsia"/>
          <w:spacing w:val="0"/>
          <w:lang w:eastAsia="zh-CN"/>
        </w:rPr>
        <w:fldChar w:fldCharType="end"/>
      </w:r>
    </w:p>
    <w:p w14:paraId="74E28190">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_Toc2331 </w:instrText>
      </w:r>
      <w:r>
        <w:rPr>
          <w:rFonts w:hint="eastAsia"/>
          <w:spacing w:val="0"/>
          <w:lang w:eastAsia="zh-CN"/>
        </w:rPr>
        <w:fldChar w:fldCharType="separate"/>
      </w:r>
      <w:r>
        <w:rPr>
          <w:rFonts w:hint="eastAsia" w:ascii="黑体" w:eastAsia="黑体"/>
          <w:i w:val="0"/>
          <w:spacing w:val="0"/>
        </w:rPr>
        <w:t>9</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质量控制与改进</w:t>
      </w:r>
      <w:r>
        <w:rPr>
          <w:spacing w:val="0"/>
        </w:rPr>
        <w:tab/>
      </w:r>
      <w:r>
        <w:rPr>
          <w:spacing w:val="0"/>
        </w:rPr>
        <w:fldChar w:fldCharType="begin"/>
      </w:r>
      <w:r>
        <w:rPr>
          <w:spacing w:val="0"/>
        </w:rPr>
        <w:instrText xml:space="preserve"> PAGEREF _Toc2331 \h </w:instrText>
      </w:r>
      <w:r>
        <w:rPr>
          <w:spacing w:val="0"/>
        </w:rPr>
        <w:fldChar w:fldCharType="separate"/>
      </w:r>
      <w:r>
        <w:rPr>
          <w:spacing w:val="0"/>
        </w:rPr>
        <w:t>14</w:t>
      </w:r>
      <w:r>
        <w:rPr>
          <w:spacing w:val="0"/>
        </w:rPr>
        <w:fldChar w:fldCharType="end"/>
      </w:r>
      <w:r>
        <w:rPr>
          <w:rFonts w:hint="eastAsia"/>
          <w:spacing w:val="0"/>
          <w:lang w:eastAsia="zh-CN"/>
        </w:rPr>
        <w:fldChar w:fldCharType="end"/>
      </w:r>
    </w:p>
    <w:p w14:paraId="0C9E9782">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_Toc22372 </w:instrText>
      </w:r>
      <w:r>
        <w:rPr>
          <w:rFonts w:hint="eastAsia"/>
          <w:spacing w:val="0"/>
          <w:lang w:eastAsia="zh-CN"/>
        </w:rPr>
        <w:fldChar w:fldCharType="separate"/>
      </w:r>
      <w:r>
        <w:rPr>
          <w:rFonts w:hint="eastAsia" w:ascii="黑体" w:eastAsia="黑体"/>
          <w:i w:val="0"/>
          <w:spacing w:val="0"/>
        </w:rPr>
        <w:t>10</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附则</w:t>
      </w:r>
      <w:r>
        <w:rPr>
          <w:spacing w:val="0"/>
        </w:rPr>
        <w:tab/>
      </w:r>
      <w:r>
        <w:rPr>
          <w:spacing w:val="0"/>
        </w:rPr>
        <w:fldChar w:fldCharType="begin"/>
      </w:r>
      <w:r>
        <w:rPr>
          <w:spacing w:val="0"/>
        </w:rPr>
        <w:instrText xml:space="preserve"> PAGEREF _Toc22372 \h </w:instrText>
      </w:r>
      <w:r>
        <w:rPr>
          <w:spacing w:val="0"/>
        </w:rPr>
        <w:fldChar w:fldCharType="separate"/>
      </w:r>
      <w:r>
        <w:rPr>
          <w:spacing w:val="0"/>
        </w:rPr>
        <w:t>14</w:t>
      </w:r>
      <w:r>
        <w:rPr>
          <w:spacing w:val="0"/>
        </w:rPr>
        <w:fldChar w:fldCharType="end"/>
      </w:r>
      <w:r>
        <w:rPr>
          <w:rFonts w:hint="eastAsia"/>
          <w:spacing w:val="0"/>
          <w:lang w:eastAsia="zh-CN"/>
        </w:rPr>
        <w:fldChar w:fldCharType="end"/>
      </w:r>
    </w:p>
    <w:p w14:paraId="24BEE519">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_Toc190 </w:instrText>
      </w:r>
      <w:r>
        <w:rPr>
          <w:rFonts w:hint="eastAsia"/>
          <w:spacing w:val="0"/>
          <w:lang w:eastAsia="zh-CN"/>
        </w:rPr>
        <w:fldChar w:fldCharType="separate"/>
      </w:r>
      <w:r>
        <w:rPr>
          <w:rFonts w:hint="eastAsia"/>
          <w:spacing w:val="0"/>
          <w:lang w:eastAsia="zh-CN"/>
        </w:rPr>
        <w:t>参考文献</w:t>
      </w:r>
      <w:r>
        <w:rPr>
          <w:spacing w:val="0"/>
        </w:rPr>
        <w:tab/>
      </w:r>
      <w:r>
        <w:rPr>
          <w:spacing w:val="0"/>
        </w:rPr>
        <w:fldChar w:fldCharType="begin"/>
      </w:r>
      <w:r>
        <w:rPr>
          <w:spacing w:val="0"/>
        </w:rPr>
        <w:instrText xml:space="preserve"> PAGEREF _Toc190 \h </w:instrText>
      </w:r>
      <w:r>
        <w:rPr>
          <w:spacing w:val="0"/>
        </w:rPr>
        <w:fldChar w:fldCharType="separate"/>
      </w:r>
      <w:r>
        <w:rPr>
          <w:spacing w:val="0"/>
        </w:rPr>
        <w:t>16</w:t>
      </w:r>
      <w:r>
        <w:rPr>
          <w:spacing w:val="0"/>
        </w:rPr>
        <w:fldChar w:fldCharType="end"/>
      </w:r>
      <w:r>
        <w:rPr>
          <w:rFonts w:hint="eastAsia"/>
          <w:spacing w:val="0"/>
          <w:lang w:eastAsia="zh-CN"/>
        </w:rPr>
        <w:fldChar w:fldCharType="end"/>
      </w:r>
    </w:p>
    <w:p w14:paraId="42160E27">
      <w:pPr>
        <w:pStyle w:val="91"/>
        <w:bidi w:val="0"/>
        <w:rPr>
          <w:rFonts w:hint="eastAsia"/>
          <w:spacing w:val="0"/>
          <w:lang w:eastAsia="zh-CN"/>
        </w:rPr>
        <w:sectPr>
          <w:headerReference r:id="rId9" w:type="default"/>
          <w:footerReference r:id="rId10" w:type="default"/>
          <w:pgSz w:w="11906" w:h="16838"/>
          <w:pgMar w:top="1928" w:right="1134" w:bottom="1134" w:left="1134" w:header="1418" w:footer="1134" w:gutter="284"/>
          <w:pgNumType w:fmt="upperRoman" w:start="1"/>
          <w:cols w:space="425" w:num="1"/>
          <w:formProt w:val="0"/>
          <w:docGrid w:linePitch="312" w:charSpace="0"/>
        </w:sectPr>
      </w:pPr>
      <w:r>
        <w:rPr>
          <w:rFonts w:hint="eastAsia"/>
          <w:spacing w:val="0"/>
          <w:lang w:eastAsia="zh-CN"/>
        </w:rPr>
        <w:fldChar w:fldCharType="end"/>
      </w:r>
    </w:p>
    <w:bookmarkEnd w:id="21"/>
    <w:p w14:paraId="75B5C2AE">
      <w:pPr>
        <w:pStyle w:val="89"/>
        <w:bidi w:val="0"/>
        <w:spacing w:before="560"/>
        <w:rPr>
          <w:rFonts w:hint="eastAsia"/>
          <w:lang w:eastAsia="zh-CN"/>
        </w:rPr>
      </w:pPr>
      <w:bookmarkStart w:id="25" w:name="_Toc14617"/>
      <w:bookmarkStart w:id="26" w:name="BookMark2"/>
      <w:r>
        <w:rPr>
          <w:rFonts w:hint="eastAsia"/>
          <w:spacing w:val="320"/>
          <w:lang w:eastAsia="zh-CN"/>
        </w:rPr>
        <w:t>前</w:t>
      </w:r>
      <w:r>
        <w:rPr>
          <w:rFonts w:hint="eastAsia"/>
          <w:lang w:eastAsia="zh-CN"/>
        </w:rPr>
        <w:t>言</w:t>
      </w:r>
      <w:bookmarkEnd w:id="22"/>
      <w:bookmarkEnd w:id="23"/>
      <w:bookmarkEnd w:id="24"/>
      <w:bookmarkEnd w:id="25"/>
    </w:p>
    <w:p w14:paraId="565C4FD1">
      <w:pPr>
        <w:pStyle w:val="56"/>
        <w:bidi w:val="0"/>
        <w:rPr>
          <w:rFonts w:hint="eastAsia"/>
          <w:lang w:eastAsia="zh-CN"/>
        </w:rPr>
      </w:pPr>
    </w:p>
    <w:p w14:paraId="6472F024">
      <w:pPr>
        <w:pStyle w:val="56"/>
        <w:bidi w:val="0"/>
        <w:rPr>
          <w:rFonts w:hint="eastAsia"/>
          <w:lang w:eastAsia="zh-CN"/>
        </w:rPr>
      </w:pPr>
      <w:r>
        <w:rPr>
          <w:rFonts w:hint="eastAsia"/>
          <w:lang w:eastAsia="zh-CN"/>
        </w:rPr>
        <w:t>本</w:t>
      </w:r>
      <w:r>
        <w:rPr>
          <w:rFonts w:hint="eastAsia"/>
          <w:lang w:val="en-US" w:eastAsia="zh-CN"/>
        </w:rPr>
        <w:t>文件</w:t>
      </w:r>
      <w:r>
        <w:rPr>
          <w:rFonts w:hint="eastAsia"/>
          <w:lang w:eastAsia="zh-CN"/>
        </w:rPr>
        <w:t>按照《团体标准管理规定》</w:t>
      </w:r>
      <w:r>
        <w:rPr>
          <w:rFonts w:hint="eastAsia"/>
          <w:lang w:val="en-US" w:eastAsia="zh-CN"/>
        </w:rPr>
        <w:t xml:space="preserve"> </w:t>
      </w:r>
      <w:r>
        <w:rPr>
          <w:rFonts w:hint="eastAsia"/>
          <w:lang w:eastAsia="zh-CN"/>
        </w:rPr>
        <w:t>《标准化工作导则 第1部分：标准化文件的结构和起草规则》（GB/T 1.1-2020）的规定起草。</w:t>
      </w:r>
    </w:p>
    <w:p w14:paraId="128A5948">
      <w:pPr>
        <w:pStyle w:val="56"/>
        <w:bidi w:val="0"/>
        <w:rPr>
          <w:rFonts w:hint="eastAsia"/>
          <w:lang w:eastAsia="zh-CN"/>
        </w:rPr>
      </w:pPr>
      <w:r>
        <w:rPr>
          <w:rFonts w:hint="eastAsia"/>
          <w:lang w:eastAsia="zh-CN"/>
        </w:rPr>
        <w:t>本文件的某些内容可能涉及专利。本文件的发布机构不承担识别专利的责任。</w:t>
      </w:r>
    </w:p>
    <w:p w14:paraId="7F0D20D9">
      <w:pPr>
        <w:pStyle w:val="56"/>
        <w:bidi w:val="0"/>
        <w:rPr>
          <w:rFonts w:hint="eastAsia"/>
          <w:lang w:eastAsia="zh-CN"/>
        </w:rPr>
      </w:pPr>
      <w:r>
        <w:rPr>
          <w:rFonts w:hint="eastAsia"/>
          <w:lang w:eastAsia="zh-CN"/>
        </w:rPr>
        <w:t>本文件由</w:t>
      </w:r>
      <w:r>
        <w:rPr>
          <w:rFonts w:hint="eastAsia" w:ascii="Times New Roman"/>
          <w:lang w:val="en-US" w:eastAsia="zh-CN"/>
        </w:rPr>
        <w:t>中国民族卫生协会</w:t>
      </w:r>
      <w:r>
        <w:rPr>
          <w:rFonts w:hint="eastAsia"/>
          <w:lang w:eastAsia="zh-CN"/>
        </w:rPr>
        <w:t>提出</w:t>
      </w:r>
      <w:r>
        <w:rPr>
          <w:rFonts w:hint="eastAsia"/>
          <w:lang w:val="en-US" w:eastAsia="zh-CN"/>
        </w:rPr>
        <w:t>并</w:t>
      </w:r>
      <w:r>
        <w:rPr>
          <w:rFonts w:hint="eastAsia"/>
          <w:lang w:eastAsia="zh-CN"/>
        </w:rPr>
        <w:t>归口。</w:t>
      </w:r>
    </w:p>
    <w:p w14:paraId="2CFFD88E">
      <w:pPr>
        <w:pStyle w:val="230"/>
        <w:ind w:firstLine="420"/>
        <w:rPr>
          <w:rFonts w:hint="eastAsia" w:ascii="Times New Roman" w:eastAsia="宋体"/>
          <w:lang w:eastAsia="zh-CN"/>
        </w:rPr>
      </w:pPr>
      <w:r>
        <w:rPr>
          <w:rFonts w:hint="eastAsia"/>
          <w:lang w:eastAsia="zh-CN"/>
        </w:rPr>
        <w:t>本文件起草单位：</w:t>
      </w:r>
      <w:r>
        <w:rPr>
          <w:rFonts w:hint="eastAsia" w:ascii="Times New Roman"/>
        </w:rPr>
        <w:t>首都医科大学附属北京同仁医院、温州医科大学眼视光学院、四川大学华西医院、浙江大学附属第一医院、天津市眼科医院视光中心</w:t>
      </w:r>
      <w:r>
        <w:rPr>
          <w:rFonts w:hint="eastAsia" w:ascii="Times New Roman"/>
          <w:lang w:eastAsia="zh-CN"/>
        </w:rPr>
        <w:t>、北京儿童医院、西安市人民医院、重庆医科大学附属第二医院、青海省疾控中心、青岛市疾病预防控制中心、沈阳兴齐眼科医院、河北医科大学第一医院、广州市第一人民医院、深圳大学总医院、哈尔滨医科大学附属第一医院、哈尔滨医科大学附属第四医院、厦门大学附属厦门眼科中心、大理白族自治州人民医院、郑州大学第一附属医院、福州东南眼科医院（金山新院）、苏州市眼视光医院、毕节医学高等专科学校、南昌大学附属眼科医院、</w:t>
      </w:r>
      <w:r>
        <w:rPr>
          <w:rFonts w:hint="eastAsia" w:ascii="Times New Roman"/>
          <w:lang w:val="en-US" w:eastAsia="zh-CN"/>
        </w:rPr>
        <w:t>深圳市人民医院 、深圳职业技术大学、江阴市人民医院、</w:t>
      </w:r>
      <w:r>
        <w:rPr>
          <w:rFonts w:hint="eastAsia" w:ascii="Times New Roman"/>
          <w:lang w:eastAsia="zh-CN"/>
        </w:rPr>
        <w:t>南昌大学第一附属医院、青海爱尔眼科医院、潍坊爱尔眼科</w:t>
      </w:r>
      <w:r>
        <w:rPr>
          <w:rFonts w:hint="eastAsia" w:ascii="Times New Roman"/>
          <w:lang w:val="en-US" w:eastAsia="zh-CN"/>
        </w:rPr>
        <w:t>医院、重庆涪陵爱尔眼科医院、宁夏回族自治区人民医院、温州医科大学附属第三医院、新疆维吾尔族自治区人民医院、 阿克苏地区第一人民医院、赣州市人民医院、沈阳市第四人民医院、</w:t>
      </w:r>
      <w:r>
        <w:rPr>
          <w:rFonts w:hint="eastAsia" w:ascii="Times New Roman"/>
          <w:lang w:eastAsia="zh-CN"/>
        </w:rPr>
        <w:t>上海依视路光学有限公司、北京鹰瞳科技发展股份有限公司、广州视景医疗软件有限公司、奥孚基视力矫正 (深圳) 科技有限公司、海南康哲维盛科技有限公司、北京至容标准技术服务有限公司。</w:t>
      </w:r>
    </w:p>
    <w:p w14:paraId="16BAF60F">
      <w:pPr>
        <w:pStyle w:val="56"/>
        <w:bidi w:val="0"/>
        <w:rPr>
          <w:rFonts w:hint="eastAsia"/>
          <w:lang w:eastAsia="zh-CN"/>
        </w:rPr>
      </w:pPr>
    </w:p>
    <w:p w14:paraId="3989BF31">
      <w:pPr>
        <w:pStyle w:val="56"/>
        <w:bidi w:val="0"/>
        <w:rPr>
          <w:rFonts w:hint="eastAsia"/>
          <w:lang w:eastAsia="zh-CN"/>
        </w:rPr>
      </w:pPr>
      <w:r>
        <w:rPr>
          <w:rFonts w:hint="eastAsia"/>
          <w:lang w:eastAsia="zh-CN"/>
        </w:rPr>
        <w:t>本文件主要起草人：</w:t>
      </w:r>
      <w:r>
        <w:rPr>
          <w:rFonts w:hint="eastAsia" w:ascii="Times New Roman"/>
        </w:rPr>
        <w:t>宋红欣、陈洁、金婉卿、刘陇黔、沈晔</w:t>
      </w:r>
      <w:r>
        <w:rPr>
          <w:rFonts w:hint="eastAsia" w:ascii="Times New Roman"/>
          <w:lang w:eastAsia="zh-CN"/>
        </w:rPr>
        <w:t>、李丽华、陈晓琴、余继锋、施维、叶璐、张黎、阿克忠、徐春生、郭雷、姚颖、许寅聪、冷云霞 、蔡莉、张志清、 林丽丽、 陈娜、孙守彬、宋邵娟、 潘美华、谢仁艺、李才锐、袁超峰、赵广愚、杜军辉、杨小凤、廖洪斐</w:t>
      </w:r>
      <w:r>
        <w:rPr>
          <w:rFonts w:hint="eastAsia"/>
          <w:lang w:eastAsia="zh-CN"/>
        </w:rPr>
        <w:t>、</w:t>
      </w:r>
      <w:r>
        <w:rPr>
          <w:rFonts w:hint="eastAsia" w:ascii="Times New Roman"/>
          <w:lang w:eastAsia="zh-CN"/>
        </w:rPr>
        <w:t>胡勃、</w:t>
      </w:r>
      <w:r>
        <w:rPr>
          <w:rFonts w:hint="eastAsia" w:ascii="Times New Roman"/>
          <w:lang w:val="en-US" w:eastAsia="zh-CN"/>
        </w:rPr>
        <w:t>杨明明、邱东荣</w:t>
      </w:r>
      <w:r>
        <w:rPr>
          <w:rFonts w:hint="eastAsia"/>
          <w:lang w:val="en-US" w:eastAsia="zh-CN"/>
        </w:rPr>
        <w:t>、</w:t>
      </w:r>
      <w:r>
        <w:rPr>
          <w:rFonts w:hint="eastAsia" w:ascii="Times New Roman"/>
          <w:lang w:val="en-US" w:eastAsia="zh-CN"/>
        </w:rPr>
        <w:t>王瑛</w:t>
      </w:r>
      <w:r>
        <w:rPr>
          <w:rFonts w:hint="eastAsia"/>
          <w:lang w:val="en-US" w:eastAsia="zh-CN"/>
        </w:rPr>
        <w:t>、徐学东、</w:t>
      </w:r>
      <w:r>
        <w:rPr>
          <w:rFonts w:hint="eastAsia" w:ascii="Times New Roman"/>
          <w:lang w:eastAsia="zh-CN"/>
        </w:rPr>
        <w:t>周荃</w:t>
      </w:r>
      <w:r>
        <w:rPr>
          <w:rFonts w:hint="eastAsia"/>
          <w:lang w:eastAsia="zh-CN"/>
        </w:rPr>
        <w:t>、</w:t>
      </w:r>
      <w:r>
        <w:rPr>
          <w:rFonts w:hint="eastAsia" w:ascii="Times New Roman"/>
          <w:lang w:eastAsia="zh-CN"/>
        </w:rPr>
        <w:t>马晓梅、</w:t>
      </w:r>
      <w:r>
        <w:rPr>
          <w:rFonts w:hint="eastAsia" w:ascii="Times New Roman"/>
          <w:lang w:val="en-US" w:eastAsia="zh-CN"/>
        </w:rPr>
        <w:t>徐文双、孙杨、庄文娟、王强、秦艳莉、张红振、徐哲、许军</w:t>
      </w:r>
      <w:r>
        <w:rPr>
          <w:rFonts w:hint="eastAsia"/>
          <w:lang w:val="en-US" w:eastAsia="zh-CN"/>
        </w:rPr>
        <w:t>、</w:t>
      </w:r>
      <w:r>
        <w:rPr>
          <w:rFonts w:hint="eastAsia" w:ascii="Times New Roman"/>
          <w:lang w:eastAsia="zh-CN"/>
        </w:rPr>
        <w:t>王军惠、袁佐尧、周谟圣、廖沛霖</w:t>
      </w:r>
      <w:r>
        <w:rPr>
          <w:rFonts w:hint="eastAsia"/>
          <w:lang w:eastAsia="zh-CN"/>
        </w:rPr>
        <w:t>。</w:t>
      </w:r>
      <w:r>
        <w:rPr>
          <w:rFonts w:hint="eastAsia" w:ascii="Times New Roman"/>
          <w:lang w:eastAsia="zh-CN"/>
        </w:rPr>
        <w:t xml:space="preserve">  </w:t>
      </w:r>
    </w:p>
    <w:p w14:paraId="61BD2962">
      <w:pPr>
        <w:pStyle w:val="56"/>
        <w:bidi w:val="0"/>
        <w:rPr>
          <w:rFonts w:hint="eastAsia"/>
          <w:lang w:eastAsia="zh-CN"/>
        </w:rPr>
      </w:pPr>
      <w:r>
        <w:rPr>
          <w:rFonts w:hint="eastAsia" w:ascii="Times New Roman"/>
          <w:lang w:eastAsia="zh-CN"/>
        </w:rPr>
        <w:t xml:space="preserve"> </w:t>
      </w:r>
    </w:p>
    <w:p w14:paraId="3E7D4911">
      <w:pPr>
        <w:pStyle w:val="56"/>
        <w:bidi w:val="0"/>
        <w:rPr>
          <w:rFonts w:hint="eastAsia"/>
          <w:lang w:eastAsia="zh-CN"/>
        </w:rPr>
      </w:pPr>
    </w:p>
    <w:p w14:paraId="610218FD">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6"/>
    <w:p w14:paraId="7D115011">
      <w:pPr>
        <w:pStyle w:val="89"/>
        <w:bidi w:val="0"/>
        <w:rPr>
          <w:rFonts w:hint="eastAsia"/>
          <w:lang w:eastAsia="zh-CN"/>
        </w:rPr>
      </w:pPr>
      <w:bookmarkStart w:id="27" w:name="_Toc7964"/>
      <w:bookmarkStart w:id="28" w:name="BookMark3"/>
      <w:r>
        <w:rPr>
          <w:rFonts w:hint="eastAsia"/>
          <w:spacing w:val="320"/>
          <w:lang w:eastAsia="zh-CN"/>
        </w:rPr>
        <w:t>引</w:t>
      </w:r>
      <w:r>
        <w:rPr>
          <w:rFonts w:hint="eastAsia"/>
          <w:lang w:eastAsia="zh-CN"/>
        </w:rPr>
        <w:t>言</w:t>
      </w:r>
      <w:bookmarkEnd w:id="27"/>
    </w:p>
    <w:p w14:paraId="3BDB1CDE">
      <w:pPr>
        <w:pStyle w:val="56"/>
        <w:bidi w:val="0"/>
        <w:rPr>
          <w:rFonts w:hint="eastAsia"/>
          <w:lang w:eastAsia="zh-CN"/>
        </w:rPr>
      </w:pPr>
      <w:r>
        <w:rPr>
          <w:rFonts w:hint="eastAsia"/>
          <w:lang w:eastAsia="zh-CN"/>
        </w:rPr>
        <w:t>近年来，我国儿童青少年近视率居高不下，近视低龄化、重度化趋势明显，已成为影响儿童青少年身心健康的突出公共卫生问题，近视防控工作已纳入国家公共卫生重点工作范畴。当前，儿童青少年近视防控各类干预措施（包括行为干预、光学干预、药物干预等）广泛应用，但不同干预措施的效果评估缺乏统一、规范的标准，存在评估指标不统一、评估方法不规范、结果判定不一致等问题，导致防控效果无法科学量化、干预方案难以精准优化，制约了近视防控工作的规范化、专业化推进。</w:t>
      </w:r>
    </w:p>
    <w:p w14:paraId="7B3D98FE">
      <w:pPr>
        <w:pStyle w:val="56"/>
        <w:bidi w:val="0"/>
        <w:rPr>
          <w:rFonts w:hint="eastAsia"/>
          <w:lang w:eastAsia="zh-CN"/>
        </w:rPr>
      </w:pPr>
      <w:r>
        <w:rPr>
          <w:rFonts w:hint="eastAsia"/>
          <w:lang w:eastAsia="zh-CN"/>
        </w:rPr>
        <w:t>为规范儿童青少年近视防控干预措施效果评估工作，统一评估原则、指标体系、方法流程及判定标准，提升评估工作的科学性、系统性和可操作性，为眼科、眼视光学、中医科、儿科、教育学及公共卫生等相关领域开展近视防控效果评估提供技术支撑，推动近视防控工作提质增效，保障儿童青少年视觉健康，特制定本文件。</w:t>
      </w:r>
    </w:p>
    <w:p w14:paraId="430C7698">
      <w:pPr>
        <w:pStyle w:val="56"/>
        <w:bidi w:val="0"/>
        <w:rPr>
          <w:rFonts w:hint="eastAsia"/>
          <w:lang w:eastAsia="zh-CN"/>
        </w:rPr>
      </w:pPr>
      <w:r>
        <w:rPr>
          <w:rFonts w:hint="eastAsia"/>
          <w:lang w:eastAsia="zh-CN"/>
        </w:rPr>
        <w:t>本文件的制定参考了《药物临床试验质量管理规范》（GCP）、T/CEMA 034-2025《多学科防控近视技术及防控体系建设要求》及相关临床研究成果、流行病学数据，结合我国儿童青少年生长发育特点及近视防控工作实际，经多领域专家论证、征求意见并修改完善，最终形成。</w:t>
      </w:r>
    </w:p>
    <w:p w14:paraId="79CD526F">
      <w:pPr>
        <w:pStyle w:val="56"/>
        <w:bidi w:val="0"/>
        <w:rPr>
          <w:rFonts w:hint="eastAsia"/>
          <w:lang w:eastAsia="zh-CN"/>
        </w:rPr>
      </w:pPr>
      <w:r>
        <w:rPr>
          <w:rFonts w:hint="eastAsia"/>
          <w:lang w:eastAsia="zh-CN"/>
        </w:rPr>
        <w:t>本文件与T/CEMA 034-2025《多学科防控近视技术及防控体系建设要求》、WS/T 662-2020《儿童青少年近视防控指南》相互衔接、互补，前者侧重多学科防控技术与体系建设，后者侧重整体防控指引，本文件聚焦防控干预措施的效果评估，形成“技术-指引-评估”的完整闭环，共同推动儿童青少年近视防控工作规范化开展。</w:t>
      </w:r>
    </w:p>
    <w:p w14:paraId="62E04490">
      <w:pPr>
        <w:pStyle w:val="56"/>
        <w:bidi w:val="0"/>
        <w:rPr>
          <w:rFonts w:hint="eastAsia"/>
          <w:lang w:eastAsia="zh-CN"/>
        </w:rPr>
      </w:pPr>
    </w:p>
    <w:p w14:paraId="207E5084">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8"/>
    <w:p w14:paraId="2DC0DA5A">
      <w:pPr>
        <w:spacing w:line="20" w:lineRule="exact"/>
        <w:jc w:val="center"/>
        <w:rPr>
          <w:rFonts w:hint="eastAsia" w:ascii="黑体" w:hAnsi="黑体" w:eastAsia="黑体"/>
          <w:sz w:val="32"/>
          <w:szCs w:val="32"/>
        </w:rPr>
      </w:pPr>
      <w:bookmarkStart w:id="29"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1D58211E">
          <w:pPr>
            <w:pStyle w:val="177"/>
            <w:bidi w:val="0"/>
            <w:spacing w:before="313" w:beforeLines="100" w:after="687" w:afterLines="220"/>
            <w:rPr>
              <w:rFonts w:hint="eastAsia"/>
            </w:rPr>
          </w:pPr>
          <w:bookmarkStart w:id="30" w:name="NEW_STAND_NAME"/>
          <w:r>
            <w:rPr>
              <w:rFonts w:hint="eastAsia"/>
              <w:lang w:eastAsia="zh-CN"/>
            </w:rPr>
            <w:t>儿童青少年近视防控干预效果评估指南     </w:t>
          </w:r>
        </w:p>
      </w:sdtContent>
    </w:sdt>
    <w:bookmarkEnd w:id="30"/>
    <w:p w14:paraId="58FB4D92">
      <w:pPr>
        <w:pStyle w:val="104"/>
        <w:spacing w:before="240" w:after="240"/>
      </w:pPr>
      <w:bookmarkStart w:id="31" w:name="_Toc97192964"/>
      <w:bookmarkStart w:id="32" w:name="_Toc13115"/>
      <w:bookmarkStart w:id="33" w:name="_Toc6683"/>
      <w:bookmarkStart w:id="34" w:name="_Toc17244"/>
      <w:bookmarkStart w:id="35" w:name="_Toc26718930"/>
      <w:bookmarkStart w:id="36" w:name="_Toc17233333"/>
      <w:bookmarkStart w:id="37" w:name="_Toc26986771"/>
      <w:bookmarkStart w:id="38" w:name="_Toc7602"/>
      <w:bookmarkStart w:id="39" w:name="_Toc24884211"/>
      <w:bookmarkStart w:id="40" w:name="_Toc26648465"/>
      <w:bookmarkStart w:id="41" w:name="_Toc17233325"/>
      <w:bookmarkStart w:id="42" w:name="_Toc26986530"/>
      <w:bookmarkStart w:id="43" w:name="_Toc24884218"/>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14:paraId="1D8A18DE">
      <w:pPr>
        <w:pStyle w:val="56"/>
        <w:rPr>
          <w:rFonts w:hint="eastAsia"/>
        </w:rPr>
      </w:pPr>
      <w:r>
        <w:rPr>
          <w:rFonts w:hint="eastAsia"/>
        </w:rPr>
        <w:t>本</w:t>
      </w:r>
      <w:r>
        <w:rPr>
          <w:rFonts w:hint="eastAsia"/>
          <w:lang w:val="en-US" w:eastAsia="zh-CN"/>
        </w:rPr>
        <w:t>文件</w:t>
      </w:r>
      <w:r>
        <w:rPr>
          <w:rFonts w:hint="eastAsia"/>
        </w:rPr>
        <w:t>规定了儿童青少年近视防控各类干预措施效果评估的基本原则、评估指标体系、评估方法、数据管理、评估流程及报告撰写等要求。</w:t>
      </w:r>
    </w:p>
    <w:p w14:paraId="2A8DD0EB">
      <w:pPr>
        <w:pStyle w:val="56"/>
      </w:pPr>
      <w:r>
        <w:rPr>
          <w:rFonts w:hint="eastAsia"/>
        </w:rPr>
        <w:t>本</w:t>
      </w:r>
      <w:r>
        <w:rPr>
          <w:rFonts w:hint="eastAsia"/>
          <w:lang w:val="en-US" w:eastAsia="zh-CN"/>
        </w:rPr>
        <w:t>文件</w:t>
      </w:r>
      <w:r>
        <w:rPr>
          <w:rFonts w:hint="eastAsia"/>
        </w:rPr>
        <w:t>适用于眼科、眼视光学、中医科、儿科、教育学及公共卫生等相关领域，针对儿童青少年（6~18周岁）近视防控开展的各类干预措施效果评估工作。</w:t>
      </w:r>
    </w:p>
    <w:p w14:paraId="3BDBB36E">
      <w:pPr>
        <w:pStyle w:val="56"/>
        <w:ind w:firstLine="420"/>
        <w:rPr>
          <w:rFonts w:hint="eastAsia" w:eastAsia="宋体"/>
          <w:lang w:eastAsia="zh-CN"/>
        </w:rPr>
      </w:pPr>
      <w:bookmarkStart w:id="44" w:name="_Toc17233326"/>
      <w:bookmarkStart w:id="45" w:name="_Toc26648466"/>
      <w:bookmarkStart w:id="46" w:name="_Toc24884219"/>
      <w:bookmarkStart w:id="47" w:name="_Toc17233334"/>
      <w:bookmarkStart w:id="48" w:name="_Toc24884212"/>
    </w:p>
    <w:p w14:paraId="767F512F">
      <w:pPr>
        <w:pStyle w:val="104"/>
        <w:spacing w:before="240" w:after="240"/>
      </w:pPr>
      <w:bookmarkStart w:id="49" w:name="_Toc26986772"/>
      <w:bookmarkStart w:id="50" w:name="_Toc26986531"/>
      <w:bookmarkStart w:id="51" w:name="_Toc2357"/>
      <w:bookmarkStart w:id="52" w:name="_Toc12153"/>
      <w:bookmarkStart w:id="53" w:name="_Toc14959"/>
      <w:bookmarkStart w:id="54" w:name="_Toc97192965"/>
      <w:bookmarkStart w:id="55" w:name="_Toc26718931"/>
      <w:bookmarkStart w:id="56" w:name="_Toc20312"/>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p>
    <w:p w14:paraId="3062D5E0">
      <w:pPr>
        <w:pStyle w:val="56"/>
        <w:ind w:firstLine="420"/>
        <w:rPr>
          <w:rFonts w:hint="eastAsia"/>
        </w:rPr>
      </w:pPr>
      <w:r>
        <w:rPr>
          <w:rFonts w:hint="eastAsia"/>
        </w:rPr>
        <w:t>下列文件中的内容通过文中的规范性引用而构成本</w:t>
      </w:r>
      <w:r>
        <w:rPr>
          <w:rFonts w:hint="eastAsia"/>
          <w:lang w:val="en-US" w:eastAsia="zh-CN"/>
        </w:rPr>
        <w:t>文件</w:t>
      </w:r>
      <w:r>
        <w:rPr>
          <w:rFonts w:hint="eastAsia"/>
        </w:rPr>
        <w:t>必不可少的条款。其中，注日期的引用文件，仅该日期对应的版本适用于本</w:t>
      </w:r>
      <w:r>
        <w:rPr>
          <w:rFonts w:hint="eastAsia"/>
          <w:lang w:val="en-US" w:eastAsia="zh-CN"/>
        </w:rPr>
        <w:t>文件</w:t>
      </w:r>
      <w:r>
        <w:rPr>
          <w:rFonts w:hint="eastAsia"/>
        </w:rPr>
        <w:t>；不注日期的引用文件，其最新版本（包括所有的修改单）适用于</w:t>
      </w:r>
      <w:r>
        <w:rPr>
          <w:rFonts w:hint="eastAsia"/>
          <w:lang w:eastAsia="zh-CN"/>
        </w:rPr>
        <w:t>本文件</w:t>
      </w:r>
      <w:r>
        <w:rPr>
          <w:rFonts w:hint="eastAsia"/>
        </w:rPr>
        <w:t>。</w:t>
      </w:r>
    </w:p>
    <w:p w14:paraId="0D128C60">
      <w:pPr>
        <w:pStyle w:val="56"/>
        <w:ind w:firstLine="420"/>
        <w:rPr>
          <w:rFonts w:hint="eastAsia"/>
        </w:rPr>
      </w:pPr>
      <w:r>
        <w:rPr>
          <w:rFonts w:hint="eastAsia"/>
        </w:rPr>
        <w:t>1.T/CEMA 034-2025 多学科防控近视技术及防控体系建设要求（中国医疗器械行业协会，2025年）</w:t>
      </w:r>
    </w:p>
    <w:p w14:paraId="26006B5D">
      <w:pPr>
        <w:pStyle w:val="56"/>
        <w:ind w:firstLine="420"/>
        <w:rPr>
          <w:rFonts w:hint="eastAsia"/>
        </w:rPr>
      </w:pPr>
      <w:r>
        <w:rPr>
          <w:rFonts w:hint="eastAsia"/>
        </w:rPr>
        <w:t>2.GB/T 1.1-2020 标准化工作导则 第1部分：标准化文件的结构和起草规则（国家标准化管理委员会、国家市场监督管理总局，2020年）</w:t>
      </w:r>
    </w:p>
    <w:p w14:paraId="5E309E52">
      <w:pPr>
        <w:pStyle w:val="56"/>
        <w:ind w:firstLine="420"/>
        <w:rPr>
          <w:rFonts w:hint="eastAsia"/>
        </w:rPr>
      </w:pPr>
      <w:r>
        <w:rPr>
          <w:rFonts w:hint="eastAsia"/>
        </w:rPr>
        <w:t>3.药物临床试验质量管理规范（国家药品监督管理局，2020年修订）</w:t>
      </w:r>
    </w:p>
    <w:p w14:paraId="27AED155">
      <w:pPr>
        <w:pStyle w:val="56"/>
        <w:ind w:firstLine="420"/>
        <w:rPr>
          <w:rFonts w:hint="eastAsia"/>
        </w:rPr>
      </w:pPr>
      <w:r>
        <w:rPr>
          <w:rFonts w:hint="eastAsia"/>
        </w:rPr>
        <w:t>4.GB 50033-2013 建筑采光设计标准（中华人民共和国住房和城乡建设部、中华人民共和国国家质量监督检验检疫总局，2013年）</w:t>
      </w:r>
    </w:p>
    <w:p w14:paraId="09002C6B">
      <w:pPr>
        <w:pStyle w:val="56"/>
        <w:ind w:firstLine="420"/>
        <w:rPr>
          <w:rFonts w:hint="eastAsia"/>
        </w:rPr>
      </w:pPr>
      <w:r>
        <w:rPr>
          <w:rFonts w:hint="eastAsia"/>
        </w:rPr>
        <w:t>5.GB 50034-2013 建筑照明设计标准（中华人民共和国住房和城乡建设部、中华人民共和国国家质量监督检验检疫总局，2013年）</w:t>
      </w:r>
    </w:p>
    <w:p w14:paraId="2E89F895">
      <w:pPr>
        <w:pStyle w:val="56"/>
        <w:ind w:firstLine="420"/>
        <w:rPr>
          <w:rFonts w:hint="eastAsia"/>
        </w:rPr>
      </w:pPr>
      <w:r>
        <w:rPr>
          <w:rFonts w:hint="eastAsia"/>
        </w:rPr>
        <w:t>6.WS/T 662-2020 儿童青少年近视防控指南（国家卫生健康委员会，2020年）</w:t>
      </w:r>
    </w:p>
    <w:p w14:paraId="4503D5C7">
      <w:pPr>
        <w:pStyle w:val="56"/>
        <w:ind w:firstLine="420"/>
        <w:rPr>
          <w:rFonts w:hint="eastAsia"/>
        </w:rPr>
      </w:pPr>
      <w:r>
        <w:rPr>
          <w:rFonts w:hint="eastAsia"/>
        </w:rPr>
        <w:t>7.GB/T 39222-2020 儿童青少年近视筛查与诊断（国家标准化管理委员会、国家市场监督管理总局，2020年）</w:t>
      </w:r>
    </w:p>
    <w:p w14:paraId="7B248599">
      <w:pPr>
        <w:pStyle w:val="56"/>
        <w:ind w:firstLine="420"/>
        <w:rPr>
          <w:rFonts w:hint="eastAsia"/>
        </w:rPr>
      </w:pPr>
      <w:r>
        <w:rPr>
          <w:rFonts w:hint="eastAsia"/>
        </w:rPr>
        <w:t>8.YY/T 0606.1-2011 眼科仪器 第1部分：裂隙灯显微镜（国家药品监督管理局，2011年）</w:t>
      </w:r>
    </w:p>
    <w:p w14:paraId="0D5A6A32">
      <w:pPr>
        <w:pStyle w:val="56"/>
        <w:ind w:firstLine="420"/>
      </w:pPr>
      <w:r>
        <w:rPr>
          <w:rFonts w:hint="eastAsia"/>
        </w:rPr>
        <w:t>9.YY/T 0734.1-2009 眼科仪器 光学生物测量仪 第1部分：眼轴长度测量仪（国家药品监督管理局，2009年）</w:t>
      </w:r>
    </w:p>
    <w:p w14:paraId="60A8A5DA">
      <w:pPr>
        <w:pStyle w:val="56"/>
        <w:ind w:firstLine="420"/>
        <w:rPr>
          <w:rFonts w:hint="eastAsia" w:eastAsia="宋体"/>
          <w:lang w:eastAsia="zh-CN"/>
        </w:rPr>
      </w:pPr>
    </w:p>
    <w:p w14:paraId="40EF840C">
      <w:pPr>
        <w:pStyle w:val="104"/>
        <w:spacing w:before="240" w:after="240"/>
      </w:pPr>
      <w:bookmarkStart w:id="57" w:name="_Toc14613"/>
      <w:bookmarkStart w:id="58" w:name="_Toc9278"/>
      <w:bookmarkStart w:id="59" w:name="_Toc12858"/>
      <w:bookmarkStart w:id="60" w:name="_Toc13745"/>
      <w:bookmarkStart w:id="61" w:name="_Toc97192966"/>
      <w:r>
        <w:rPr>
          <w:rFonts w:hint="eastAsia"/>
          <w:szCs w:val="21"/>
        </w:rPr>
        <w:t>术语和定义</w:t>
      </w:r>
      <w:bookmarkEnd w:id="57"/>
      <w:bookmarkEnd w:id="58"/>
      <w:bookmarkEnd w:id="59"/>
      <w:bookmarkEnd w:id="60"/>
      <w:bookmarkEnd w:id="61"/>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723387E">
          <w:pPr>
            <w:pStyle w:val="56"/>
            <w:ind w:firstLine="420"/>
          </w:pPr>
          <w:bookmarkStart w:id="62" w:name="_Toc26986532"/>
          <w:bookmarkEnd w:id="62"/>
          <w:r>
            <w:rPr>
              <w:rFonts w:hint="eastAsia"/>
            </w:rPr>
            <w:t>下列术语和定义适用于本</w:t>
          </w:r>
          <w:r>
            <w:rPr>
              <w:rFonts w:hint="eastAsia"/>
              <w:lang w:val="en-US" w:eastAsia="zh-CN"/>
            </w:rPr>
            <w:t>文件</w:t>
          </w:r>
          <w:r>
            <w:rPr>
              <w:rFonts w:hint="eastAsia"/>
            </w:rPr>
            <w:t>。</w:t>
          </w:r>
        </w:p>
      </w:sdtContent>
    </w:sdt>
    <w:p w14:paraId="4D3B27B1">
      <w:pPr>
        <w:pStyle w:val="105"/>
        <w:bidi w:val="0"/>
      </w:pPr>
      <w:bookmarkStart w:id="63" w:name="_Toc15508"/>
      <w:bookmarkStart w:id="64" w:name="_Toc11038"/>
      <w:bookmarkStart w:id="65" w:name="_Toc7383"/>
      <w:r>
        <w:rPr>
          <w:rFonts w:hint="eastAsia"/>
        </w:rPr>
        <w:t>儿童（children）</w:t>
      </w:r>
      <w:bookmarkEnd w:id="63"/>
      <w:bookmarkEnd w:id="64"/>
      <w:bookmarkEnd w:id="65"/>
    </w:p>
    <w:p w14:paraId="7388C892">
      <w:pPr>
        <w:pStyle w:val="56"/>
        <w:rPr>
          <w:rFonts w:hint="eastAsia"/>
        </w:rPr>
      </w:pPr>
      <w:r>
        <w:rPr>
          <w:rFonts w:hint="eastAsia"/>
        </w:rPr>
        <w:t>指年龄在6周岁及以上、12周岁以下（含12周岁）的未成年人，该阶段为远视储备消耗关键期，也是近视防控的重点干预阶段，需建立完善的屈光发育档案，定期开展视力筛查与监测。</w:t>
      </w:r>
    </w:p>
    <w:p w14:paraId="74B009B1">
      <w:pPr>
        <w:pStyle w:val="105"/>
        <w:bidi w:val="0"/>
        <w:rPr>
          <w:rFonts w:hint="eastAsia"/>
        </w:rPr>
      </w:pPr>
      <w:bookmarkStart w:id="66" w:name="_Toc14436"/>
      <w:bookmarkStart w:id="67" w:name="_Toc9331"/>
      <w:bookmarkStart w:id="68" w:name="_Toc28878"/>
      <w:r>
        <w:rPr>
          <w:rFonts w:hint="eastAsia"/>
        </w:rPr>
        <w:t>青少年（adolescents）</w:t>
      </w:r>
      <w:bookmarkEnd w:id="66"/>
      <w:bookmarkEnd w:id="67"/>
      <w:bookmarkEnd w:id="68"/>
    </w:p>
    <w:p w14:paraId="052E0733">
      <w:pPr>
        <w:pStyle w:val="56"/>
        <w:rPr>
          <w:rFonts w:hint="eastAsia"/>
        </w:rPr>
      </w:pPr>
      <w:r>
        <w:rPr>
          <w:rFonts w:hint="eastAsia"/>
        </w:rPr>
        <w:t>指年龄在6周岁及以上、12周岁以下（含12周岁）的未成年人，该阶段为远视储备消耗关键期，也是近视防控的重点干预阶段，需建立完善的屈光发育档案，定期开展视力筛查与监测。</w:t>
      </w:r>
    </w:p>
    <w:p w14:paraId="1F14347B">
      <w:pPr>
        <w:pStyle w:val="105"/>
        <w:bidi w:val="0"/>
        <w:rPr>
          <w:rFonts w:hint="eastAsia"/>
        </w:rPr>
      </w:pPr>
      <w:bookmarkStart w:id="69" w:name="_Toc3282"/>
      <w:bookmarkStart w:id="70" w:name="_Toc30939"/>
      <w:bookmarkStart w:id="71" w:name="_Toc21501"/>
      <w:r>
        <w:rPr>
          <w:rFonts w:hint="eastAsia"/>
        </w:rPr>
        <w:t>未近视儿童（non-myopic children）</w:t>
      </w:r>
      <w:bookmarkEnd w:id="69"/>
      <w:bookmarkEnd w:id="70"/>
      <w:bookmarkEnd w:id="71"/>
    </w:p>
    <w:p w14:paraId="506E1125">
      <w:pPr>
        <w:pStyle w:val="56"/>
        <w:rPr>
          <w:rFonts w:hint="eastAsia"/>
        </w:rPr>
      </w:pPr>
      <w:r>
        <w:rPr>
          <w:rFonts w:hint="eastAsia"/>
        </w:rPr>
        <w:t>指未达到近视前期标准的儿童及近视前期儿童，均属于近视防控的重点预防人群。</w:t>
      </w:r>
    </w:p>
    <w:p w14:paraId="050A7F6E">
      <w:pPr>
        <w:pStyle w:val="65"/>
        <w:bidi w:val="0"/>
        <w:rPr>
          <w:rFonts w:hint="eastAsia"/>
        </w:rPr>
      </w:pPr>
      <w:bookmarkStart w:id="72" w:name="_Toc23861"/>
      <w:bookmarkStart w:id="73" w:name="_Toc29986"/>
      <w:r>
        <w:rPr>
          <w:rFonts w:hint="eastAsia"/>
        </w:rPr>
        <w:t>未达到近视前期标准的儿童</w:t>
      </w:r>
      <w:bookmarkEnd w:id="72"/>
      <w:bookmarkEnd w:id="73"/>
    </w:p>
    <w:p w14:paraId="6AB0643A">
      <w:pPr>
        <w:pStyle w:val="56"/>
        <w:rPr>
          <w:rFonts w:hint="eastAsia"/>
        </w:rPr>
      </w:pPr>
      <w:r>
        <w:rPr>
          <w:rFonts w:hint="eastAsia"/>
        </w:rPr>
        <w:t>尚未被诊断为近视前期的儿童，处于眼部生物学基线参数采集的关键时期，应定期开展屈光筛查，测量眼轴长度，建立屈光发育档案，尽早识别具有近视倾向的儿童。[参照T/CEMA 034-2025 多学科防控近视技术及防控体系建设要求]</w:t>
      </w:r>
    </w:p>
    <w:p w14:paraId="3706D95E">
      <w:pPr>
        <w:pStyle w:val="65"/>
        <w:bidi w:val="0"/>
        <w:rPr>
          <w:rFonts w:hint="eastAsia"/>
        </w:rPr>
      </w:pPr>
      <w:bookmarkStart w:id="74" w:name="_Toc15000"/>
      <w:bookmarkStart w:id="75" w:name="_Toc14805"/>
      <w:r>
        <w:rPr>
          <w:rFonts w:hint="eastAsia"/>
        </w:rPr>
        <w:t>近视前期儿童</w:t>
      </w:r>
      <w:bookmarkEnd w:id="74"/>
      <w:bookmarkEnd w:id="75"/>
    </w:p>
    <w:p w14:paraId="608E60CF">
      <w:pPr>
        <w:pStyle w:val="56"/>
        <w:rPr>
          <w:rFonts w:hint="eastAsia"/>
        </w:rPr>
      </w:pPr>
      <w:r>
        <w:rPr>
          <w:rFonts w:hint="eastAsia"/>
        </w:rPr>
        <w:t>通过睫状肌麻痹验光检测，远视储备量小于或等于同年龄段儿童远视储备量下限（6岁为+0.75 D，7~8岁为+0.50 D，9~10岁为+0.25 D），且等效球镜度数（Spherical Equivalent, SE）≤+0.75D且＞-0.50D，结合基线屈光不正度数、年龄及其他可量化风险因素，存在极高近视发展风险，需实施预防干预措施的儿童。[参照T/CEMA 034-2025 多学科防控近视技术及防控体系建设要求]</w:t>
      </w:r>
    </w:p>
    <w:p w14:paraId="701A810B">
      <w:pPr>
        <w:pStyle w:val="105"/>
        <w:bidi w:val="0"/>
        <w:rPr>
          <w:rFonts w:hint="eastAsia"/>
        </w:rPr>
      </w:pPr>
      <w:bookmarkStart w:id="76" w:name="_Toc10125"/>
      <w:bookmarkStart w:id="77" w:name="_Toc17225"/>
      <w:bookmarkStart w:id="78" w:name="_Toc20109"/>
      <w:r>
        <w:rPr>
          <w:rFonts w:hint="eastAsia"/>
        </w:rPr>
        <w:t>近视儿童青少年（myopic children and adolescents）</w:t>
      </w:r>
      <w:bookmarkEnd w:id="76"/>
      <w:bookmarkEnd w:id="77"/>
      <w:bookmarkEnd w:id="78"/>
    </w:p>
    <w:p w14:paraId="3C318F28">
      <w:pPr>
        <w:pStyle w:val="56"/>
        <w:rPr>
          <w:rFonts w:hint="eastAsia"/>
        </w:rPr>
      </w:pPr>
      <w:r>
        <w:rPr>
          <w:rFonts w:hint="eastAsia"/>
        </w:rPr>
        <w:t>分为非进展性近视儿童青少年与进展性近视儿童青少年：非进展性近视儿童青少年指近视进展量≤0.50D/a、眼轴长度增长量≤0.20mm/a；进展性近视儿童青少年指近视进展量＞0.50D/a、眼轴长度增长量＞0.20mm/a。[参照T/CEMA 034-2025 多学科防控近视技术及防控体系建设要求]</w:t>
      </w:r>
    </w:p>
    <w:p w14:paraId="77FD910E">
      <w:pPr>
        <w:pStyle w:val="105"/>
        <w:bidi w:val="0"/>
        <w:rPr>
          <w:rFonts w:hint="eastAsia"/>
        </w:rPr>
      </w:pPr>
      <w:bookmarkStart w:id="79" w:name="_Toc17947"/>
      <w:bookmarkStart w:id="80" w:name="_Toc20061"/>
      <w:bookmarkStart w:id="81" w:name="_Toc28933"/>
      <w:r>
        <w:rPr>
          <w:rFonts w:hint="eastAsia"/>
        </w:rPr>
        <w:t>近视防控干预措施（interventions for myopia prevention and control）</w:t>
      </w:r>
      <w:bookmarkEnd w:id="79"/>
      <w:bookmarkEnd w:id="80"/>
      <w:bookmarkEnd w:id="81"/>
    </w:p>
    <w:p w14:paraId="5736C3A1">
      <w:pPr>
        <w:pStyle w:val="56"/>
        <w:rPr>
          <w:rFonts w:hint="eastAsia"/>
        </w:rPr>
      </w:pPr>
      <w:r>
        <w:rPr>
          <w:rFonts w:hint="eastAsia"/>
        </w:rPr>
        <w:t>用于预防或延缓儿童青少年近视发生与进展的各类干预措施、方法及手段，主要包括行为干预、光学干预、药物干预及视觉训练等。[参照T/CEMA 034-2025 多学科防控近视技术及防控体系建设要求]</w:t>
      </w:r>
    </w:p>
    <w:p w14:paraId="500D672A">
      <w:pPr>
        <w:pStyle w:val="65"/>
        <w:bidi w:val="0"/>
        <w:rPr>
          <w:rFonts w:hint="eastAsia"/>
        </w:rPr>
      </w:pPr>
      <w:bookmarkStart w:id="82" w:name="_Toc24496"/>
      <w:bookmarkStart w:id="83" w:name="_Toc10406"/>
      <w:r>
        <w:rPr>
          <w:rFonts w:hint="eastAsia"/>
        </w:rPr>
        <w:t>行为干预（behavioral interventions）</w:t>
      </w:r>
      <w:bookmarkEnd w:id="82"/>
      <w:bookmarkEnd w:id="83"/>
    </w:p>
    <w:p w14:paraId="1EAA86DF">
      <w:pPr>
        <w:pStyle w:val="56"/>
        <w:rPr>
          <w:rFonts w:hint="eastAsia"/>
        </w:rPr>
      </w:pPr>
    </w:p>
    <w:p w14:paraId="716E9D0C">
      <w:pPr>
        <w:pStyle w:val="56"/>
        <w:ind w:firstLine="420"/>
        <w:rPr>
          <w:rFonts w:hint="eastAsia"/>
        </w:rPr>
      </w:pPr>
      <w:r>
        <w:rPr>
          <w:rFonts w:hint="eastAsia"/>
        </w:rPr>
        <w:t>通过改变儿童青少年日常生活及用眼习惯，减少近视发生或延缓其进展的干预方式。主要通过健康教育，指导儿童青少年及其监护人养成良好用眼习惯、增加户外活动时间、控制近距离用眼时长等，实现近视预防或近视度数控制目标。[参照T/CEMA 034-2025 多学科防控近视技术及防控体系建设要求]</w:t>
      </w:r>
    </w:p>
    <w:p w14:paraId="16A8B9A3">
      <w:pPr>
        <w:pStyle w:val="65"/>
        <w:bidi w:val="0"/>
        <w:rPr>
          <w:rFonts w:hint="eastAsia"/>
        </w:rPr>
      </w:pPr>
      <w:bookmarkStart w:id="84" w:name="_Toc22880"/>
      <w:bookmarkStart w:id="85" w:name="_Toc15088"/>
      <w:r>
        <w:rPr>
          <w:rFonts w:hint="eastAsia"/>
        </w:rPr>
        <w:t>光学干预（optical interventions）</w:t>
      </w:r>
      <w:bookmarkEnd w:id="84"/>
      <w:bookmarkEnd w:id="85"/>
    </w:p>
    <w:p w14:paraId="59DD86DD">
      <w:pPr>
        <w:pStyle w:val="56"/>
        <w:rPr>
          <w:rFonts w:hint="eastAsia"/>
        </w:rPr>
      </w:pPr>
      <w:r>
        <w:rPr>
          <w:rFonts w:hint="eastAsia"/>
        </w:rPr>
        <w:t>通过佩戴框架眼镜、接触镜或特殊设计镜片矫正屈光不正，进而减缓近视进展的干预方式，包括近视防控框架眼镜、角膜塑形镜、离焦软镜等。[参照T/CEMA 034-2025 多学科防控近视技术及防控体系建设要求]</w:t>
      </w:r>
    </w:p>
    <w:p w14:paraId="3E6A82C3">
      <w:pPr>
        <w:pStyle w:val="65"/>
        <w:bidi w:val="0"/>
        <w:rPr>
          <w:rFonts w:hint="eastAsia"/>
        </w:rPr>
      </w:pPr>
      <w:bookmarkStart w:id="86" w:name="_Toc26250"/>
      <w:bookmarkStart w:id="87" w:name="_Toc9602"/>
      <w:r>
        <w:rPr>
          <w:rFonts w:hint="eastAsia"/>
        </w:rPr>
        <w:t>药物干预（pharmacological interventions）</w:t>
      </w:r>
      <w:bookmarkEnd w:id="86"/>
      <w:bookmarkEnd w:id="87"/>
    </w:p>
    <w:p w14:paraId="30291669">
      <w:pPr>
        <w:pStyle w:val="56"/>
        <w:rPr>
          <w:rFonts w:hint="eastAsia"/>
        </w:rPr>
      </w:pPr>
      <w:r>
        <w:rPr>
          <w:rFonts w:hint="eastAsia"/>
        </w:rPr>
        <w:t>通过使用特定药物减缓近视进展的干预方式，适用于近视进展较快的儿童青少年。目前临床常用低浓度阿托品滴眼液，常用浓度范围为0.01%至0.05%，使用需严格遵循临床规范。[参照T/CEMA 034-2025 多学科防控近视技术及防控体系建设要求</w:t>
      </w:r>
    </w:p>
    <w:p w14:paraId="4F7D2BE1">
      <w:pPr>
        <w:pStyle w:val="65"/>
        <w:bidi w:val="0"/>
        <w:rPr>
          <w:rFonts w:hint="eastAsia"/>
        </w:rPr>
      </w:pPr>
      <w:bookmarkStart w:id="88" w:name="_Toc21479"/>
      <w:bookmarkStart w:id="89" w:name="_Toc1739"/>
      <w:r>
        <w:rPr>
          <w:rFonts w:hint="eastAsia"/>
        </w:rPr>
        <w:t>视觉训练（vision training）</w:t>
      </w:r>
      <w:bookmarkEnd w:id="88"/>
      <w:bookmarkEnd w:id="89"/>
    </w:p>
    <w:p w14:paraId="7E5D5EB4">
      <w:pPr>
        <w:pStyle w:val="56"/>
        <w:rPr>
          <w:rFonts w:hint="eastAsia"/>
        </w:rPr>
      </w:pPr>
      <w:r>
        <w:rPr>
          <w:rFonts w:hint="eastAsia"/>
        </w:rPr>
        <w:t>通过调节训练等方式，改善眼部调节功能、协调性及眼部肌肉能力，从而延缓近视加深的干预方式，需在专业人员指导下开展。[参照T/CEMA 034-2025 多学科防控近视技术及防控体系建设要求]</w:t>
      </w:r>
    </w:p>
    <w:p w14:paraId="02A25D1F">
      <w:pPr>
        <w:pStyle w:val="105"/>
        <w:bidi w:val="0"/>
        <w:rPr>
          <w:rFonts w:hint="eastAsia"/>
        </w:rPr>
      </w:pPr>
      <w:bookmarkStart w:id="90" w:name="_Toc18203"/>
      <w:bookmarkStart w:id="91" w:name="_Toc2582"/>
      <w:bookmarkStart w:id="92" w:name="_Toc27514"/>
      <w:r>
        <w:rPr>
          <w:rFonts w:hint="eastAsia"/>
        </w:rPr>
        <w:t>眼轴长度增长量（axial length growth）</w:t>
      </w:r>
      <w:bookmarkEnd w:id="90"/>
      <w:bookmarkEnd w:id="91"/>
      <w:bookmarkEnd w:id="92"/>
    </w:p>
    <w:p w14:paraId="6A68BF42">
      <w:pPr>
        <w:pStyle w:val="56"/>
        <w:rPr>
          <w:rFonts w:hint="eastAsia"/>
        </w:rPr>
      </w:pPr>
      <w:r>
        <w:rPr>
          <w:rFonts w:hint="eastAsia"/>
        </w:rPr>
        <w:t>单位时间内儿童青少年眼轴长度的增加数值，通常以每年毫米（mm/a）为单位，是评估近视防控效果的核心生物学指标，可反映眼球解剖结构变化，具有测量精度高、重复性好的特点。[参照T/CEMA 034-2025 多学科防控近视技术及防控体系建设要求]</w:t>
      </w:r>
    </w:p>
    <w:p w14:paraId="008005BD">
      <w:pPr>
        <w:pStyle w:val="105"/>
        <w:bidi w:val="0"/>
        <w:rPr>
          <w:rFonts w:hint="eastAsia"/>
        </w:rPr>
      </w:pPr>
      <w:bookmarkStart w:id="93" w:name="_Toc22605"/>
      <w:bookmarkStart w:id="94" w:name="_Toc22279"/>
      <w:bookmarkStart w:id="95" w:name="_Toc22308"/>
      <w:r>
        <w:rPr>
          <w:rFonts w:hint="eastAsia"/>
        </w:rPr>
        <w:t>轴率比（Axial Length/Corneal Radius, AL/CR）</w:t>
      </w:r>
      <w:bookmarkEnd w:id="93"/>
      <w:bookmarkEnd w:id="94"/>
      <w:bookmarkEnd w:id="95"/>
    </w:p>
    <w:p w14:paraId="4B4A0E96">
      <w:pPr>
        <w:pStyle w:val="56"/>
        <w:rPr>
          <w:rFonts w:hint="eastAsia"/>
        </w:rPr>
      </w:pPr>
      <w:r>
        <w:rPr>
          <w:rFonts w:hint="eastAsia"/>
        </w:rPr>
        <w:t>眼轴长度（AL）与角膜曲率半径（CR）的比值，是预测近视控制效果的重要指标，其敏感性高于单纯眼轴长度，可辅助评估近视进展风险。[参照相关临床研究及T/CEMA 034-2025 多学科防控近视技术及防控体系建设要求]</w:t>
      </w:r>
    </w:p>
    <w:p w14:paraId="04DCDC97">
      <w:pPr>
        <w:pStyle w:val="105"/>
        <w:bidi w:val="0"/>
        <w:rPr>
          <w:rFonts w:hint="eastAsia"/>
        </w:rPr>
      </w:pPr>
      <w:bookmarkStart w:id="96" w:name="_Toc29309"/>
      <w:bookmarkStart w:id="97" w:name="_Toc18879"/>
      <w:bookmarkStart w:id="98" w:name="_Toc6698"/>
      <w:r>
        <w:rPr>
          <w:rFonts w:hint="eastAsia"/>
        </w:rPr>
        <w:t>不良事件（adverse event, AE）</w:t>
      </w:r>
      <w:bookmarkEnd w:id="96"/>
      <w:bookmarkEnd w:id="97"/>
      <w:bookmarkEnd w:id="98"/>
    </w:p>
    <w:p w14:paraId="034D22DA">
      <w:pPr>
        <w:pStyle w:val="56"/>
        <w:rPr>
          <w:rFonts w:hint="eastAsia"/>
        </w:rPr>
      </w:pPr>
      <w:r>
        <w:rPr>
          <w:rFonts w:hint="eastAsia"/>
        </w:rPr>
        <w:t>儿童青少年在近视防控干预过程中发生的各类不利医学事件，无论与干预措施是否存在关联，均判定为不良事件。其严重程度分级、判定标准及处理原则，参照《药物临床试验质量管理规范》（GCP）相关标准执行。</w:t>
      </w:r>
    </w:p>
    <w:p w14:paraId="7580359A">
      <w:pPr>
        <w:pStyle w:val="104"/>
        <w:bidi w:val="0"/>
        <w:rPr>
          <w:rFonts w:hint="eastAsia"/>
        </w:rPr>
      </w:pPr>
      <w:bookmarkStart w:id="99" w:name="_Toc20489"/>
      <w:bookmarkStart w:id="100" w:name="_Toc16046"/>
      <w:bookmarkStart w:id="101" w:name="_Toc14775"/>
      <w:bookmarkStart w:id="102" w:name="_Toc2793"/>
      <w:r>
        <w:rPr>
          <w:rFonts w:hint="eastAsia"/>
        </w:rPr>
        <w:t>近视防控措施的评估基本原则和有效性</w:t>
      </w:r>
      <w:bookmarkEnd w:id="99"/>
      <w:bookmarkEnd w:id="100"/>
      <w:bookmarkEnd w:id="101"/>
      <w:bookmarkEnd w:id="102"/>
    </w:p>
    <w:p w14:paraId="67E7473E">
      <w:pPr>
        <w:pStyle w:val="105"/>
        <w:bidi w:val="0"/>
        <w:rPr>
          <w:rFonts w:hint="eastAsia"/>
        </w:rPr>
      </w:pPr>
      <w:bookmarkStart w:id="103" w:name="_Toc3881"/>
      <w:bookmarkStart w:id="104" w:name="_Toc12993"/>
      <w:bookmarkStart w:id="105" w:name="_Toc11170"/>
      <w:r>
        <w:rPr>
          <w:rFonts w:hint="eastAsia"/>
        </w:rPr>
        <w:t>评估基本原则</w:t>
      </w:r>
      <w:bookmarkEnd w:id="103"/>
      <w:bookmarkEnd w:id="104"/>
      <w:bookmarkEnd w:id="105"/>
    </w:p>
    <w:p w14:paraId="6783980C">
      <w:pPr>
        <w:pStyle w:val="65"/>
        <w:bidi w:val="0"/>
        <w:rPr>
          <w:rFonts w:hint="eastAsia"/>
        </w:rPr>
      </w:pPr>
      <w:bookmarkStart w:id="106" w:name="_Toc22902"/>
      <w:bookmarkStart w:id="107" w:name="_Toc12323"/>
      <w:r>
        <w:rPr>
          <w:rFonts w:hint="eastAsia"/>
        </w:rPr>
        <w:t>生物学核心指标优先原则</w:t>
      </w:r>
      <w:bookmarkEnd w:id="106"/>
      <w:bookmarkEnd w:id="107"/>
    </w:p>
    <w:p w14:paraId="1B2935AF">
      <w:pPr>
        <w:pStyle w:val="56"/>
        <w:rPr>
          <w:rFonts w:hint="eastAsia"/>
        </w:rPr>
      </w:pPr>
      <w:r>
        <w:rPr>
          <w:rFonts w:hint="eastAsia"/>
        </w:rPr>
        <w:t>评估以客观、可量化的生物学指标为核心依据，核心指标为眼轴长度和等效球镜度数。其中，眼轴长度作为近视增长最直接、最稳定的解剖学参数，具有测量精度高、重复性好的优势，是评估防控措施效果的首选核心客观指标；等效球镜度数为功能性指标，需在眼部调节放松状态下检测，睫状肌麻痹状态可排除调节干扰，保障检测结果准确性。</w:t>
      </w:r>
    </w:p>
    <w:p w14:paraId="66513388">
      <w:pPr>
        <w:pStyle w:val="65"/>
        <w:bidi w:val="0"/>
        <w:rPr>
          <w:rFonts w:hint="eastAsia"/>
        </w:rPr>
      </w:pPr>
      <w:bookmarkStart w:id="108" w:name="_Toc30005"/>
      <w:bookmarkStart w:id="109" w:name="_Toc30190"/>
      <w:r>
        <w:rPr>
          <w:rFonts w:hint="eastAsia"/>
        </w:rPr>
        <w:t>持续动态监测原则</w:t>
      </w:r>
      <w:bookmarkEnd w:id="108"/>
      <w:bookmarkEnd w:id="109"/>
    </w:p>
    <w:p w14:paraId="32A277E3">
      <w:pPr>
        <w:pStyle w:val="56"/>
        <w:rPr>
          <w:rFonts w:hint="eastAsia"/>
        </w:rPr>
      </w:pPr>
      <w:r>
        <w:rPr>
          <w:rFonts w:hint="eastAsia"/>
        </w:rPr>
        <w:t>近视进展为连续动态过程，受个体生长发育、环境等多种因素影响，需建立个体化纵向动态观察体系。以时间为核心维度，设定常态化随访周期（推荐3~6个月），长期连续评估以12个月为基础周期，持续检测屈光度变化、眼轴长度变化及年化眼轴长度增长量分布百分位数值等，规避单次检测的局限性，全面反映近视进展趋势。</w:t>
      </w:r>
    </w:p>
    <w:p w14:paraId="17FDDE81">
      <w:pPr>
        <w:pStyle w:val="65"/>
        <w:bidi w:val="0"/>
        <w:rPr>
          <w:rFonts w:hint="eastAsia"/>
        </w:rPr>
      </w:pPr>
      <w:bookmarkStart w:id="110" w:name="_Toc23149"/>
      <w:bookmarkStart w:id="111" w:name="_Toc14128"/>
      <w:r>
        <w:rPr>
          <w:rFonts w:hint="eastAsia"/>
        </w:rPr>
        <w:t>近视防控评估建档原则</w:t>
      </w:r>
      <w:bookmarkEnd w:id="110"/>
      <w:bookmarkEnd w:id="111"/>
    </w:p>
    <w:p w14:paraId="61297E1A">
      <w:pPr>
        <w:pStyle w:val="94"/>
        <w:bidi w:val="0"/>
        <w:rPr>
          <w:rFonts w:hint="eastAsia"/>
        </w:rPr>
      </w:pPr>
      <w:bookmarkStart w:id="112" w:name="_Toc5660"/>
      <w:r>
        <w:rPr>
          <w:rFonts w:hint="eastAsia"/>
        </w:rPr>
        <w:t>自身对照分析原则</w:t>
      </w:r>
      <w:bookmarkEnd w:id="112"/>
    </w:p>
    <w:p w14:paraId="0AD8CECD">
      <w:pPr>
        <w:pStyle w:val="56"/>
        <w:rPr>
          <w:rFonts w:hint="eastAsia"/>
        </w:rPr>
      </w:pPr>
      <w:r>
        <w:rPr>
          <w:rFonts w:hint="eastAsia"/>
        </w:rPr>
        <w:t>在个体近视防控档案中，以时间为横轴、个体基线数据为原点，绘制眼轴长度和等效球镜度数动态变化曲线。基于至少两次间隔6个月以上的测量数据，推算个体眼轴长度、屈光度的年化增长量，通过干预前后进展速率的对照分析，明确干预措施的实际效果。</w:t>
      </w:r>
    </w:p>
    <w:p w14:paraId="04768E6F">
      <w:pPr>
        <w:pStyle w:val="94"/>
        <w:bidi w:val="0"/>
        <w:rPr>
          <w:rFonts w:hint="eastAsia"/>
        </w:rPr>
      </w:pPr>
      <w:bookmarkStart w:id="113" w:name="_Toc7474"/>
      <w:r>
        <w:rPr>
          <w:rFonts w:hint="eastAsia"/>
        </w:rPr>
        <w:t>群体对照评估原则</w:t>
      </w:r>
      <w:bookmarkEnd w:id="113"/>
    </w:p>
    <w:p w14:paraId="2DD7605D">
      <w:pPr>
        <w:pStyle w:val="56"/>
        <w:rPr>
          <w:rFonts w:hint="eastAsia"/>
        </w:rPr>
      </w:pPr>
      <w:r>
        <w:rPr>
          <w:rFonts w:hint="eastAsia"/>
        </w:rPr>
        <w:t>基于同年龄、同种族、相似基线条件（如初始屈光状态、眼轴长度、遗传背景等）人群的近视自然进展流行病学数据，与干预群体进行对比分析，预测个体近视进展速率，为个体化近视防控措施的调整与优化提供参考依据。</w:t>
      </w:r>
    </w:p>
    <w:p w14:paraId="6626DF43">
      <w:pPr>
        <w:pStyle w:val="65"/>
        <w:bidi w:val="0"/>
        <w:rPr>
          <w:rFonts w:hint="eastAsia"/>
        </w:rPr>
      </w:pPr>
      <w:bookmarkStart w:id="114" w:name="_Toc14483"/>
      <w:bookmarkStart w:id="115" w:name="_Toc18474"/>
      <w:r>
        <w:rPr>
          <w:rFonts w:hint="eastAsia"/>
        </w:rPr>
        <w:t>多维度联合评估原则</w:t>
      </w:r>
      <w:bookmarkEnd w:id="114"/>
      <w:bookmarkEnd w:id="115"/>
    </w:p>
    <w:p w14:paraId="1FBDFC5D">
      <w:pPr>
        <w:pStyle w:val="56"/>
        <w:rPr>
          <w:rFonts w:hint="eastAsia"/>
        </w:rPr>
      </w:pPr>
    </w:p>
    <w:p w14:paraId="1F914D15">
      <w:pPr>
        <w:pStyle w:val="56"/>
        <w:bidi w:val="0"/>
        <w:rPr>
          <w:rFonts w:hint="eastAsia"/>
        </w:rPr>
      </w:pPr>
      <w:r>
        <w:rPr>
          <w:rFonts w:hint="eastAsia"/>
        </w:rPr>
        <w:t>近视由遗传、用眼习惯、环境等多因素共同作用引发，需实施多维度联合评估。可结合年龄、初始近视度数、初始眼轴长度、近视进展速度、角膜曲率、轴率比、遗传背景、行为特征（如近距离用眼时长、户外活动时长、眼镜配戴依从性等）等多方面因素开展综合分析；可借助人工智能技术辅助数据分析与解读，提升评估的科学性与准确性，全面评估近视防控效果。</w:t>
      </w:r>
    </w:p>
    <w:p w14:paraId="3C6A8D62">
      <w:pPr>
        <w:pStyle w:val="105"/>
        <w:bidi w:val="0"/>
        <w:rPr>
          <w:rFonts w:hint="eastAsia"/>
        </w:rPr>
      </w:pPr>
      <w:bookmarkStart w:id="116" w:name="_Toc16371"/>
      <w:bookmarkStart w:id="117" w:name="_Toc14007"/>
      <w:bookmarkStart w:id="118" w:name="_Toc1246"/>
      <w:r>
        <w:rPr>
          <w:rFonts w:hint="eastAsia"/>
        </w:rPr>
        <w:t>评估有效性内容</w:t>
      </w:r>
      <w:bookmarkEnd w:id="116"/>
      <w:bookmarkEnd w:id="117"/>
      <w:bookmarkEnd w:id="118"/>
    </w:p>
    <w:p w14:paraId="6CE860C9">
      <w:pPr>
        <w:pStyle w:val="65"/>
        <w:bidi w:val="0"/>
        <w:rPr>
          <w:rFonts w:hint="eastAsia"/>
        </w:rPr>
      </w:pPr>
      <w:bookmarkStart w:id="119" w:name="_Toc21486"/>
      <w:bookmarkStart w:id="120" w:name="_Toc6905"/>
      <w:r>
        <w:rPr>
          <w:rFonts w:hint="eastAsia"/>
        </w:rPr>
        <w:t>眼轴长度增长量</w:t>
      </w:r>
      <w:bookmarkEnd w:id="119"/>
      <w:bookmarkEnd w:id="120"/>
    </w:p>
    <w:p w14:paraId="75ACCD30">
      <w:pPr>
        <w:pStyle w:val="56"/>
        <w:rPr>
          <w:rFonts w:hint="eastAsia"/>
        </w:rPr>
      </w:pPr>
      <w:r>
        <w:rPr>
          <w:rFonts w:hint="eastAsia"/>
        </w:rPr>
        <w:t>儿童青少年近视防控有效性评估以眼轴长度增长量为核心指标，以年为单位进行量化评估。根据循证医学依据，</w:t>
      </w:r>
      <w:r>
        <w:rPr>
          <w:rFonts w:hint="eastAsia"/>
          <w:lang w:eastAsia="zh-CN"/>
        </w:rPr>
        <w:t>本文件</w:t>
      </w:r>
      <w:r>
        <w:rPr>
          <w:rFonts w:hint="eastAsia"/>
        </w:rPr>
        <w:t>推荐6~10岁儿童青少年眼轴长度安全增长范围界值为＜0.20 mm/a；＜6岁儿童安全增长范围应高于此界值，10岁以上儿童青少年安全年增长范围应低于此界值。结合眼轴长度增长情况，将有效性分为四级：</w:t>
      </w:r>
    </w:p>
    <w:p w14:paraId="66078310">
      <w:pPr>
        <w:pStyle w:val="56"/>
        <w:rPr>
          <w:rFonts w:hint="eastAsia"/>
        </w:rPr>
      </w:pPr>
      <w:r>
        <w:rPr>
          <w:rFonts w:hint="eastAsia"/>
        </w:rPr>
        <w:t>•一级（非进展效果）：眼轴长度增长量≤0.20 mm/a；</w:t>
      </w:r>
    </w:p>
    <w:p w14:paraId="160B59A1">
      <w:pPr>
        <w:pStyle w:val="56"/>
        <w:rPr>
          <w:rFonts w:hint="eastAsia"/>
        </w:rPr>
      </w:pPr>
      <w:r>
        <w:rPr>
          <w:rFonts w:hint="eastAsia"/>
        </w:rPr>
        <w:t>•二级（轻度近视进展）：眼轴长度增长量＞0.20 mm/a且≤0.30 mm/a；</w:t>
      </w:r>
    </w:p>
    <w:p w14:paraId="7D7CB550">
      <w:pPr>
        <w:pStyle w:val="56"/>
        <w:rPr>
          <w:rFonts w:hint="eastAsia"/>
        </w:rPr>
      </w:pPr>
      <w:r>
        <w:rPr>
          <w:rFonts w:hint="eastAsia"/>
        </w:rPr>
        <w:t>•三级（中度近视进展）：眼轴长度增长量＞0.30 mm/a且≤0.40 mm/a；</w:t>
      </w:r>
    </w:p>
    <w:p w14:paraId="523A864C">
      <w:pPr>
        <w:pStyle w:val="56"/>
        <w:rPr>
          <w:rFonts w:hint="eastAsia"/>
        </w:rPr>
      </w:pPr>
      <w:r>
        <w:rPr>
          <w:rFonts w:hint="eastAsia"/>
        </w:rPr>
        <w:t>•四级（快速近视进展）：眼轴长度增长量＞0.40 mm/a。</w:t>
      </w:r>
    </w:p>
    <w:p w14:paraId="08CC0F2D">
      <w:pPr>
        <w:pStyle w:val="56"/>
        <w:rPr>
          <w:rFonts w:hint="eastAsia"/>
        </w:rPr>
      </w:pPr>
      <w:r>
        <w:rPr>
          <w:rFonts w:hint="eastAsia"/>
        </w:rPr>
        <w:t>结合个体年龄及近视防控效果，可调整近视防控措施，必要时采用加强型或联合型近视防控方案。</w:t>
      </w:r>
    </w:p>
    <w:p w14:paraId="002D078D">
      <w:pPr>
        <w:pStyle w:val="65"/>
        <w:bidi w:val="0"/>
        <w:rPr>
          <w:rFonts w:hint="eastAsia"/>
        </w:rPr>
      </w:pPr>
      <w:bookmarkStart w:id="121" w:name="_Toc32104"/>
      <w:bookmarkStart w:id="122" w:name="_Toc20772"/>
      <w:r>
        <w:rPr>
          <w:rFonts w:hint="eastAsia"/>
        </w:rPr>
        <w:t>屈光度增长量</w:t>
      </w:r>
      <w:bookmarkEnd w:id="121"/>
      <w:bookmarkEnd w:id="122"/>
    </w:p>
    <w:p w14:paraId="30B51ECD">
      <w:pPr>
        <w:pStyle w:val="56"/>
        <w:rPr>
          <w:rFonts w:hint="eastAsia"/>
        </w:rPr>
      </w:pPr>
      <w:r>
        <w:rPr>
          <w:rFonts w:hint="eastAsia"/>
        </w:rPr>
        <w:t>以屈光度增长量为辅助核心指标，</w:t>
      </w:r>
      <w:r>
        <w:rPr>
          <w:rFonts w:hint="eastAsia"/>
          <w:lang w:eastAsia="zh-CN"/>
        </w:rPr>
        <w:t>本文件</w:t>
      </w:r>
      <w:r>
        <w:rPr>
          <w:rFonts w:hint="eastAsia"/>
        </w:rPr>
        <w:t>推荐0.50 D/a作为近视防控效果评估的临界值，将有效性分为两级：</w:t>
      </w:r>
    </w:p>
    <w:p w14:paraId="7998CBBC">
      <w:pPr>
        <w:pStyle w:val="56"/>
        <w:rPr>
          <w:rFonts w:hint="eastAsia"/>
        </w:rPr>
      </w:pPr>
      <w:r>
        <w:rPr>
          <w:rFonts w:hint="eastAsia"/>
        </w:rPr>
        <w:t>•一级（控制效果良好）：屈光度增长量≤0.50 D/a；</w:t>
      </w:r>
    </w:p>
    <w:p w14:paraId="4D3C4233">
      <w:pPr>
        <w:pStyle w:val="56"/>
        <w:rPr>
          <w:rFonts w:hint="eastAsia"/>
        </w:rPr>
      </w:pPr>
      <w:r>
        <w:rPr>
          <w:rFonts w:hint="eastAsia"/>
        </w:rPr>
        <w:t>•二级（控制效果不佳）：屈光度增长量＞0.50 D/a。</w:t>
      </w:r>
    </w:p>
    <w:p w14:paraId="56ED11CF">
      <w:pPr>
        <w:pStyle w:val="56"/>
        <w:rPr>
          <w:rFonts w:hint="eastAsia"/>
        </w:rPr>
      </w:pPr>
      <w:r>
        <w:rPr>
          <w:rFonts w:hint="eastAsia"/>
        </w:rPr>
        <w:t>其中，屈光度增长量≥0.75 D/a属于控制效果极差，临床建议立即强化防控措施或采用联合防控方案。</w:t>
      </w:r>
    </w:p>
    <w:p w14:paraId="0EF58ACB">
      <w:pPr>
        <w:pStyle w:val="65"/>
        <w:bidi w:val="0"/>
        <w:rPr>
          <w:rFonts w:hint="eastAsia"/>
        </w:rPr>
      </w:pPr>
      <w:bookmarkStart w:id="123" w:name="_Toc27815"/>
      <w:bookmarkStart w:id="124" w:name="_Toc26311"/>
      <w:r>
        <w:rPr>
          <w:rFonts w:hint="eastAsia"/>
        </w:rPr>
        <w:t>轴率比（AL/CR）</w:t>
      </w:r>
      <w:bookmarkEnd w:id="123"/>
      <w:bookmarkEnd w:id="124"/>
    </w:p>
    <w:p w14:paraId="72AE24DC">
      <w:pPr>
        <w:pStyle w:val="56"/>
        <w:rPr>
          <w:rFonts w:hint="eastAsia"/>
        </w:rPr>
      </w:pPr>
      <w:r>
        <w:rPr>
          <w:rFonts w:hint="eastAsia"/>
        </w:rPr>
        <w:t>轴率比（Axial Length/Corneal Radius, AL/CR）对近视控制效果的预测敏感性高于单纯眼轴长度。综合相关研究显示，AL/CR每增加0.1个单位，近视屈光度变化增加0.88D~1.276D。根据循证医学依据，本</w:t>
      </w:r>
      <w:r>
        <w:rPr>
          <w:rFonts w:hint="eastAsia"/>
          <w:lang w:val="en-US" w:eastAsia="zh-CN"/>
        </w:rPr>
        <w:t>文件</w:t>
      </w:r>
      <w:r>
        <w:rPr>
          <w:rFonts w:hint="eastAsia"/>
        </w:rPr>
        <w:t>以年化AL/CR增长量为评估指标，将有效性分为两级：</w:t>
      </w:r>
    </w:p>
    <w:p w14:paraId="52CA875F">
      <w:pPr>
        <w:pStyle w:val="56"/>
        <w:rPr>
          <w:rFonts w:hint="eastAsia"/>
        </w:rPr>
      </w:pPr>
      <w:r>
        <w:rPr>
          <w:rFonts w:hint="eastAsia"/>
        </w:rPr>
        <w:t>•一级（控制效果良好）：AL/CR增长量≤0.05/a；</w:t>
      </w:r>
    </w:p>
    <w:p w14:paraId="5D6B26DC">
      <w:pPr>
        <w:pStyle w:val="56"/>
        <w:rPr>
          <w:rFonts w:hint="eastAsia"/>
        </w:rPr>
      </w:pPr>
      <w:r>
        <w:rPr>
          <w:rFonts w:hint="eastAsia"/>
        </w:rPr>
        <w:t>•二级（控制效果不佳）：AL/CR增长量＞0.05/a。</w:t>
      </w:r>
    </w:p>
    <w:p w14:paraId="5961800E">
      <w:pPr>
        <w:pStyle w:val="105"/>
        <w:bidi w:val="0"/>
        <w:rPr>
          <w:rFonts w:hint="eastAsia"/>
        </w:rPr>
      </w:pPr>
      <w:bookmarkStart w:id="125" w:name="_Toc27547"/>
      <w:bookmarkStart w:id="126" w:name="_Toc18976"/>
      <w:bookmarkStart w:id="127" w:name="_Toc30483"/>
      <w:r>
        <w:rPr>
          <w:rFonts w:hint="eastAsia"/>
        </w:rPr>
        <w:t>不同近视防控措施的有效性</w:t>
      </w:r>
      <w:bookmarkEnd w:id="125"/>
      <w:bookmarkEnd w:id="126"/>
      <w:bookmarkEnd w:id="127"/>
    </w:p>
    <w:p w14:paraId="7712E074">
      <w:pPr>
        <w:pStyle w:val="65"/>
        <w:bidi w:val="0"/>
        <w:rPr>
          <w:rFonts w:hint="eastAsia"/>
        </w:rPr>
      </w:pPr>
      <w:bookmarkStart w:id="128" w:name="_Toc9636"/>
      <w:bookmarkStart w:id="129" w:name="_Toc6517"/>
      <w:r>
        <w:rPr>
          <w:rFonts w:hint="eastAsia"/>
        </w:rPr>
        <w:t>近视防控框架眼镜</w:t>
      </w:r>
      <w:bookmarkEnd w:id="128"/>
      <w:bookmarkEnd w:id="129"/>
    </w:p>
    <w:p w14:paraId="3C086F15">
      <w:pPr>
        <w:pStyle w:val="56"/>
        <w:rPr>
          <w:rFonts w:hint="eastAsia"/>
        </w:rPr>
      </w:pPr>
      <w:r>
        <w:rPr>
          <w:rFonts w:hint="eastAsia"/>
        </w:rPr>
        <w:t>周边微结构设计防控眼镜是目前临床常用的光学干预手段，主要技术包括多焦点正向光学离焦框架眼镜、高度非球面微透镜框架眼镜、同心环带柱镜设计框架眼镜和点扩散技术眼镜等。各类设计镜片的总体近视控制有效率为21.1%~74%，眼轴年增长量为0.13~0.26mm，屈光度年增长量为0.15~0.56D。</w:t>
      </w:r>
    </w:p>
    <w:p w14:paraId="5C7CC6DB">
      <w:pPr>
        <w:pStyle w:val="65"/>
        <w:bidi w:val="0"/>
        <w:rPr>
          <w:rFonts w:hint="eastAsia"/>
        </w:rPr>
      </w:pPr>
      <w:bookmarkStart w:id="130" w:name="_Toc28037"/>
      <w:bookmarkStart w:id="131" w:name="_Toc29239"/>
      <w:r>
        <w:rPr>
          <w:rFonts w:hint="eastAsia"/>
        </w:rPr>
        <w:t>角膜塑形镜及离焦软镜</w:t>
      </w:r>
      <w:bookmarkEnd w:id="130"/>
      <w:bookmarkEnd w:id="131"/>
    </w:p>
    <w:p w14:paraId="59CFA3DA">
      <w:pPr>
        <w:pStyle w:val="56"/>
        <w:rPr>
          <w:rFonts w:hint="eastAsia"/>
        </w:rPr>
      </w:pPr>
      <w:r>
        <w:rPr>
          <w:rFonts w:hint="eastAsia"/>
        </w:rPr>
        <w:t>4.3.2.1 角膜塑形镜（OK镜）：近视控制率为24.4%~76.9%，眼轴年增长量为0.06~0.42mm；</w:t>
      </w:r>
    </w:p>
    <w:p w14:paraId="6B7E19BE">
      <w:pPr>
        <w:pStyle w:val="56"/>
        <w:rPr>
          <w:rFonts w:hint="eastAsia"/>
        </w:rPr>
      </w:pPr>
      <w:r>
        <w:rPr>
          <w:rFonts w:hint="eastAsia"/>
        </w:rPr>
        <w:t>4.3.2.2 离焦软镜：各类离焦软镜的近视控制率为10.5%~50.9%，眼轴年增长量为0.11~0.34mm，屈光度年增长量为0.2~0.70D。</w:t>
      </w:r>
    </w:p>
    <w:p w14:paraId="1B5388F3">
      <w:pPr>
        <w:pStyle w:val="65"/>
        <w:bidi w:val="0"/>
        <w:rPr>
          <w:rFonts w:hint="eastAsia"/>
        </w:rPr>
      </w:pPr>
      <w:bookmarkStart w:id="132" w:name="_Toc22966"/>
      <w:bookmarkStart w:id="133" w:name="_Toc1365"/>
      <w:r>
        <w:rPr>
          <w:rFonts w:hint="eastAsia"/>
        </w:rPr>
        <w:t>低浓度阿托品滴眼液</w:t>
      </w:r>
      <w:bookmarkEnd w:id="132"/>
      <w:bookmarkEnd w:id="133"/>
    </w:p>
    <w:p w14:paraId="1A9763F0">
      <w:pPr>
        <w:pStyle w:val="56"/>
        <w:rPr>
          <w:rFonts w:hint="eastAsia"/>
        </w:rPr>
      </w:pPr>
      <w:r>
        <w:rPr>
          <w:rFonts w:hint="eastAsia"/>
        </w:rPr>
        <w:t>不同浓度阿托品滴眼液的近视控制效果存在差异，具体如下：0.01%阿托品滴眼液近视控制率平均为45%，0.02%阿托品滴眼液近视控制率平均为61%，0.04%阿托品滴眼液近视控制率平均为78%。各类浓度滴眼液的总体眼轴年增长量平均为0.18~0.32mm，等效球镜度数年增长量平均为0.20~0.49D。</w:t>
      </w:r>
    </w:p>
    <w:p w14:paraId="72DC0DE7">
      <w:pPr>
        <w:pStyle w:val="65"/>
        <w:bidi w:val="0"/>
        <w:rPr>
          <w:rFonts w:hint="eastAsia"/>
        </w:rPr>
      </w:pPr>
      <w:bookmarkStart w:id="134" w:name="_Toc28928"/>
      <w:bookmarkStart w:id="135" w:name="_Toc17370"/>
      <w:r>
        <w:rPr>
          <w:rFonts w:hint="eastAsia"/>
        </w:rPr>
        <w:t>低浓度阿托品联合光学控制</w:t>
      </w:r>
      <w:bookmarkEnd w:id="134"/>
      <w:bookmarkEnd w:id="135"/>
    </w:p>
    <w:p w14:paraId="4260FC69">
      <w:pPr>
        <w:pStyle w:val="56"/>
        <w:rPr>
          <w:rFonts w:hint="eastAsia"/>
        </w:rPr>
      </w:pPr>
      <w:r>
        <w:rPr>
          <w:rFonts w:hint="eastAsia"/>
        </w:rPr>
        <w:t>4.3.4.1 0.01%阿托品联合角膜塑形镜：眼轴年增长量为0.10~0.31mm，控制效果优于单独使用角膜塑形镜；</w:t>
      </w:r>
    </w:p>
    <w:p w14:paraId="3E11B491">
      <w:pPr>
        <w:pStyle w:val="56"/>
        <w:rPr>
          <w:rFonts w:hint="eastAsia"/>
        </w:rPr>
      </w:pPr>
      <w:r>
        <w:rPr>
          <w:rFonts w:hint="eastAsia"/>
        </w:rPr>
        <w:t>4.3.4.2 新型离焦镜片联合0.01%阿托品：眼轴年增长量为0.09~0.28mm，等效球镜度数年增长量为0.15~0.49D，短期近视控制效果优于单一离焦眼镜或单一0.01%阿托品干预。</w:t>
      </w:r>
    </w:p>
    <w:p w14:paraId="54A4F2D5">
      <w:pPr>
        <w:pStyle w:val="104"/>
        <w:bidi w:val="0"/>
        <w:rPr>
          <w:rFonts w:hint="eastAsia"/>
        </w:rPr>
      </w:pPr>
      <w:bookmarkStart w:id="136" w:name="_Toc440"/>
      <w:bookmarkStart w:id="137" w:name="_Toc20572"/>
      <w:bookmarkStart w:id="138" w:name="_Toc7898"/>
      <w:bookmarkStart w:id="139" w:name="_Toc11694"/>
      <w:r>
        <w:rPr>
          <w:rFonts w:hint="eastAsia"/>
        </w:rPr>
        <w:t>安全性评估原则和评估内容</w:t>
      </w:r>
      <w:bookmarkEnd w:id="136"/>
      <w:bookmarkEnd w:id="137"/>
      <w:bookmarkEnd w:id="138"/>
      <w:bookmarkEnd w:id="139"/>
    </w:p>
    <w:p w14:paraId="1A47C42A">
      <w:pPr>
        <w:pStyle w:val="105"/>
        <w:bidi w:val="0"/>
        <w:rPr>
          <w:rFonts w:hint="eastAsia"/>
        </w:rPr>
      </w:pPr>
      <w:bookmarkStart w:id="140" w:name="_Toc22558"/>
      <w:bookmarkStart w:id="141" w:name="_Toc13942"/>
      <w:bookmarkStart w:id="142" w:name="_Toc30893"/>
      <w:r>
        <w:rPr>
          <w:rFonts w:hint="eastAsia"/>
        </w:rPr>
        <w:t>安全性评估原则</w:t>
      </w:r>
      <w:bookmarkEnd w:id="140"/>
      <w:bookmarkEnd w:id="141"/>
      <w:bookmarkEnd w:id="142"/>
    </w:p>
    <w:p w14:paraId="7295416E">
      <w:pPr>
        <w:pStyle w:val="56"/>
        <w:rPr>
          <w:rFonts w:hint="eastAsia"/>
        </w:rPr>
      </w:pPr>
      <w:r>
        <w:rPr>
          <w:rFonts w:hint="eastAsia"/>
        </w:rPr>
        <w:t>•5.1.1 全程性原则：安全性评估应贯穿近视防控干预全过程，涵盖基线评估、随访评估及终点评估各阶段，确保及时发现潜在安全隐患。</w:t>
      </w:r>
    </w:p>
    <w:p w14:paraId="47717334">
      <w:pPr>
        <w:pStyle w:val="56"/>
        <w:rPr>
          <w:rFonts w:hint="eastAsia"/>
        </w:rPr>
      </w:pPr>
      <w:r>
        <w:rPr>
          <w:rFonts w:hint="eastAsia"/>
        </w:rPr>
        <w:t>•5.1.2 优先性原则：评估结果中，安全性问题优先于有效性评估，当存在明确安全隐患时，应立即调整或终止干预措施，保障儿童青少年身心健康。</w:t>
      </w:r>
    </w:p>
    <w:p w14:paraId="449A898D">
      <w:pPr>
        <w:pStyle w:val="56"/>
        <w:rPr>
          <w:rFonts w:hint="eastAsia"/>
        </w:rPr>
      </w:pPr>
      <w:r>
        <w:rPr>
          <w:rFonts w:hint="eastAsia"/>
        </w:rPr>
        <w:t>•5.1.3 必要性原则：安全性评估结果是判断干预措施适用性、可持续性的必要依据，作为干预方案调整、优化的核心参考。</w:t>
      </w:r>
    </w:p>
    <w:p w14:paraId="4C0BC3DF">
      <w:pPr>
        <w:pStyle w:val="105"/>
        <w:bidi w:val="0"/>
        <w:rPr>
          <w:rFonts w:hint="eastAsia"/>
        </w:rPr>
      </w:pPr>
      <w:bookmarkStart w:id="143" w:name="_Toc22903"/>
      <w:bookmarkStart w:id="144" w:name="_Toc20944"/>
      <w:bookmarkStart w:id="145" w:name="_Toc26762"/>
      <w:r>
        <w:rPr>
          <w:rFonts w:hint="eastAsia"/>
        </w:rPr>
        <w:t>安全性评估内容</w:t>
      </w:r>
      <w:bookmarkEnd w:id="143"/>
      <w:bookmarkEnd w:id="144"/>
      <w:bookmarkEnd w:id="145"/>
    </w:p>
    <w:p w14:paraId="0B131011">
      <w:pPr>
        <w:pStyle w:val="65"/>
        <w:bidi w:val="0"/>
        <w:rPr>
          <w:rFonts w:hint="eastAsia"/>
        </w:rPr>
      </w:pPr>
      <w:bookmarkStart w:id="146" w:name="_Toc13471"/>
      <w:bookmarkStart w:id="147" w:name="_Toc23896"/>
      <w:r>
        <w:rPr>
          <w:rFonts w:hint="eastAsia"/>
        </w:rPr>
        <w:t>眼部健康</w:t>
      </w:r>
      <w:bookmarkEnd w:id="146"/>
      <w:bookmarkEnd w:id="147"/>
    </w:p>
    <w:p w14:paraId="1B3D0887">
      <w:pPr>
        <w:pStyle w:val="56"/>
        <w:rPr>
          <w:rFonts w:hint="eastAsia"/>
        </w:rPr>
      </w:pPr>
      <w:r>
        <w:rPr>
          <w:rFonts w:hint="eastAsia"/>
        </w:rPr>
        <w:t>重点关注干预措施对眼部健康状态的影响，评估内容至少应包括泪膜（泪膜破裂时间、泪河高度、睑板腺功能等）、眼前节（角膜、结膜、前房等）及眼底（视盘、黄斑区及周边视网膜等），排查眼部炎症、损伤等异常情况。</w:t>
      </w:r>
    </w:p>
    <w:p w14:paraId="4E63FF6D">
      <w:pPr>
        <w:pStyle w:val="65"/>
        <w:bidi w:val="0"/>
        <w:rPr>
          <w:rFonts w:hint="eastAsia"/>
        </w:rPr>
      </w:pPr>
      <w:bookmarkStart w:id="148" w:name="_Toc17178"/>
      <w:bookmarkStart w:id="149" w:name="_Toc15108"/>
      <w:r>
        <w:rPr>
          <w:rFonts w:hint="eastAsia"/>
        </w:rPr>
        <w:t>视觉功能</w:t>
      </w:r>
      <w:bookmarkEnd w:id="148"/>
      <w:bookmarkEnd w:id="149"/>
    </w:p>
    <w:p w14:paraId="05913FF9">
      <w:pPr>
        <w:pStyle w:val="56"/>
        <w:rPr>
          <w:rFonts w:hint="eastAsia"/>
        </w:rPr>
      </w:pPr>
      <w:r>
        <w:rPr>
          <w:rFonts w:hint="eastAsia"/>
        </w:rPr>
        <w:t>评估内容包括最佳矫正视力及各项视觉功能，具体涵盖调节功能、集合功能、融像功能及立体视觉等，确保干预措施不会对视觉功能造成不良影响。</w:t>
      </w:r>
    </w:p>
    <w:p w14:paraId="7EFD6598">
      <w:pPr>
        <w:pStyle w:val="65"/>
        <w:bidi w:val="0"/>
        <w:rPr>
          <w:rFonts w:hint="eastAsia"/>
        </w:rPr>
      </w:pPr>
      <w:bookmarkStart w:id="150" w:name="_Toc32727"/>
      <w:bookmarkStart w:id="151" w:name="_Toc20785"/>
      <w:r>
        <w:rPr>
          <w:rFonts w:hint="eastAsia"/>
        </w:rPr>
        <w:t>全身健康</w:t>
      </w:r>
      <w:bookmarkEnd w:id="150"/>
      <w:bookmarkEnd w:id="151"/>
    </w:p>
    <w:p w14:paraId="17E8F7AA">
      <w:pPr>
        <w:pStyle w:val="56"/>
        <w:rPr>
          <w:rFonts w:hint="eastAsia"/>
        </w:rPr>
      </w:pPr>
      <w:r>
        <w:rPr>
          <w:rFonts w:hint="eastAsia"/>
        </w:rPr>
        <w:t>关注干预期间儿童青少年是否出现全身不适症状，包括头痛、头晕、恶心、乏力等；若干预措施涉及药物干预（如低浓度阿托品滴眼液），需同步监测潜在全身药物反应，如口干、面部潮红、心率变化及过敏反应等，及时处置异常情况。</w:t>
      </w:r>
    </w:p>
    <w:p w14:paraId="2F8EEC8F">
      <w:pPr>
        <w:pStyle w:val="65"/>
        <w:bidi w:val="0"/>
        <w:rPr>
          <w:rFonts w:hint="eastAsia"/>
        </w:rPr>
      </w:pPr>
      <w:bookmarkStart w:id="152" w:name="_Toc8590"/>
      <w:bookmarkStart w:id="153" w:name="_Toc8068"/>
      <w:r>
        <w:rPr>
          <w:rFonts w:hint="eastAsia"/>
        </w:rPr>
        <w:t>不良事件监测与管理原则</w:t>
      </w:r>
      <w:bookmarkEnd w:id="152"/>
      <w:bookmarkEnd w:id="153"/>
    </w:p>
    <w:p w14:paraId="16CC0099">
      <w:pPr>
        <w:pStyle w:val="56"/>
        <w:rPr>
          <w:rFonts w:hint="eastAsia"/>
        </w:rPr>
      </w:pPr>
      <w:r>
        <w:rPr>
          <w:rFonts w:hint="eastAsia"/>
        </w:rPr>
        <w:t>对儿童青少年在近视防控干预期间发生的所有不良事件进行持续、系统监测。不良事件的严重程度分级、判定标准及处理原则，均参照《药物临床试验质量管理规范》（GCP）相关标准执行。</w:t>
      </w:r>
    </w:p>
    <w:p w14:paraId="5AA51D33">
      <w:pPr>
        <w:pStyle w:val="56"/>
        <w:rPr>
          <w:rFonts w:hint="eastAsia"/>
        </w:rPr>
      </w:pPr>
      <w:r>
        <w:rPr>
          <w:rFonts w:hint="eastAsia"/>
        </w:rPr>
        <w:t>发生不良事件时，应及时评估其严重程度及与干预措施的相关性，并根据临床情况采取相应处理措施：轻度不良事件可继续观察或给予对症处理；中度不良事件可视情况调整或暂停干预；严重不良事件应立即终止干预并采取必要医疗处理，同时及时告知被干预者及其监护人，做好记录并上报相关部门。</w:t>
      </w:r>
    </w:p>
    <w:p w14:paraId="788EC5EC">
      <w:pPr>
        <w:pStyle w:val="104"/>
        <w:bidi w:val="0"/>
        <w:rPr>
          <w:rFonts w:hint="eastAsia"/>
        </w:rPr>
      </w:pPr>
      <w:bookmarkStart w:id="154" w:name="_Toc17227"/>
      <w:bookmarkStart w:id="155" w:name="_Toc26296"/>
      <w:bookmarkStart w:id="156" w:name="_Toc2715"/>
      <w:bookmarkStart w:id="157" w:name="_Toc29016"/>
      <w:r>
        <w:rPr>
          <w:rFonts w:hint="eastAsia"/>
        </w:rPr>
        <w:t>儿童青少年近视防控干预措施的实施性、干预过程覆盖与干预质量</w:t>
      </w:r>
      <w:bookmarkEnd w:id="154"/>
      <w:bookmarkEnd w:id="155"/>
      <w:bookmarkEnd w:id="156"/>
      <w:bookmarkEnd w:id="157"/>
    </w:p>
    <w:p w14:paraId="7919C9D9">
      <w:pPr>
        <w:pStyle w:val="105"/>
        <w:bidi w:val="0"/>
        <w:rPr>
          <w:rFonts w:hint="eastAsia"/>
        </w:rPr>
      </w:pPr>
      <w:bookmarkStart w:id="158" w:name="_Toc26309"/>
      <w:bookmarkStart w:id="159" w:name="_Toc795"/>
      <w:bookmarkStart w:id="160" w:name="_Toc15419"/>
      <w:r>
        <w:rPr>
          <w:rFonts w:hint="eastAsia"/>
        </w:rPr>
        <w:t>干预措施的实施性</w:t>
      </w:r>
      <w:bookmarkEnd w:id="158"/>
      <w:bookmarkEnd w:id="159"/>
      <w:bookmarkEnd w:id="160"/>
    </w:p>
    <w:p w14:paraId="056F48D7">
      <w:pPr>
        <w:pStyle w:val="65"/>
        <w:bidi w:val="0"/>
        <w:rPr>
          <w:rFonts w:hint="eastAsia"/>
        </w:rPr>
      </w:pPr>
      <w:r>
        <w:rPr>
          <w:rFonts w:hint="eastAsia"/>
        </w:rPr>
        <w:t xml:space="preserve"> </w:t>
      </w:r>
      <w:bookmarkStart w:id="161" w:name="_Toc26499"/>
      <w:bookmarkStart w:id="162" w:name="_Toc24853"/>
      <w:r>
        <w:rPr>
          <w:rFonts w:hint="eastAsia"/>
        </w:rPr>
        <w:t>学校方</w:t>
      </w:r>
      <w:bookmarkEnd w:id="161"/>
      <w:bookmarkEnd w:id="162"/>
    </w:p>
    <w:p w14:paraId="07B63686">
      <w:pPr>
        <w:pStyle w:val="56"/>
        <w:rPr>
          <w:rFonts w:hint="eastAsia"/>
        </w:rPr>
      </w:pPr>
      <w:r>
        <w:rPr>
          <w:rFonts w:hint="eastAsia"/>
        </w:rPr>
        <w:t>将近视防控要求从指导性规范转化为强制性要求，将户外活动纳入学校日常教学计划，具体措施如下：</w:t>
      </w:r>
    </w:p>
    <w:p w14:paraId="0F7533B1">
      <w:pPr>
        <w:pStyle w:val="56"/>
        <w:rPr>
          <w:rFonts w:hint="eastAsia"/>
        </w:rPr>
      </w:pPr>
      <w:r>
        <w:rPr>
          <w:rFonts w:hint="eastAsia"/>
        </w:rPr>
        <w:t>•a）设定强制户外活动时间，开设固定户外微课堂，要求学生课间离开教室，保障每日校内户外活动时长达标；</w:t>
      </w:r>
    </w:p>
    <w:p w14:paraId="055D361D">
      <w:pPr>
        <w:pStyle w:val="56"/>
        <w:rPr>
          <w:rFonts w:hint="eastAsia"/>
        </w:rPr>
      </w:pPr>
      <w:r>
        <w:rPr>
          <w:rFonts w:hint="eastAsia"/>
        </w:rPr>
        <w:t>•b）开展物理环境改造，在教室靠窗区域设置“无作业观景区”，引导学生课间远眺放松；对走廊进行绿植化改造，引导学生自然向外观察，缓解视疲劳；</w:t>
      </w:r>
    </w:p>
    <w:p w14:paraId="754E3E7E">
      <w:pPr>
        <w:pStyle w:val="56"/>
        <w:rPr>
          <w:rFonts w:hint="eastAsia"/>
        </w:rPr>
      </w:pPr>
      <w:r>
        <w:rPr>
          <w:rFonts w:hint="eastAsia"/>
        </w:rPr>
        <w:t>•c）严格按照国家标准，调整课桌椅高度及教室采光照明参数，优化用眼环境；</w:t>
      </w:r>
    </w:p>
    <w:p w14:paraId="3B1B1422">
      <w:pPr>
        <w:pStyle w:val="56"/>
        <w:rPr>
          <w:rFonts w:hint="eastAsia"/>
        </w:rPr>
      </w:pPr>
      <w:r>
        <w:rPr>
          <w:rFonts w:hint="eastAsia"/>
        </w:rPr>
        <w:t>•d）建立考评约束机制，将班级近视率与班主任绩效、评优评先直接挂钩，压实防控责任。</w:t>
      </w:r>
    </w:p>
    <w:p w14:paraId="5F81DA54">
      <w:pPr>
        <w:pStyle w:val="65"/>
        <w:bidi w:val="0"/>
        <w:rPr>
          <w:rFonts w:hint="eastAsia"/>
        </w:rPr>
      </w:pPr>
      <w:bookmarkStart w:id="163" w:name="_Toc20588"/>
      <w:bookmarkStart w:id="164" w:name="_Toc22004"/>
      <w:r>
        <w:rPr>
          <w:rFonts w:hint="eastAsia"/>
        </w:rPr>
        <w:t>家庭方</w:t>
      </w:r>
      <w:bookmarkEnd w:id="163"/>
      <w:bookmarkEnd w:id="164"/>
    </w:p>
    <w:p w14:paraId="73007668">
      <w:pPr>
        <w:pStyle w:val="56"/>
        <w:rPr>
          <w:rFonts w:hint="eastAsia"/>
        </w:rPr>
      </w:pPr>
      <w:r>
        <w:rPr>
          <w:rFonts w:hint="eastAsia"/>
        </w:rPr>
        <w:t>破解“家长知情但未落实”的防控难题，引导家长履行家庭防控主体责任，具体措施如下：</w:t>
      </w:r>
    </w:p>
    <w:p w14:paraId="4A8A4BB5">
      <w:pPr>
        <w:pStyle w:val="56"/>
        <w:rPr>
          <w:rFonts w:hint="eastAsia"/>
        </w:rPr>
      </w:pPr>
      <w:r>
        <w:rPr>
          <w:rFonts w:hint="eastAsia"/>
        </w:rPr>
        <w:t>•a）提供可操作的家庭防控方案，推广“20-20-20规则”（用眼20分钟，远眺20英尺（约6米）外物体20秒），家庭场景可简化为“每完成1章阅读，在阳台远眺1分钟”；</w:t>
      </w:r>
    </w:p>
    <w:p w14:paraId="465F3F0C">
      <w:pPr>
        <w:pStyle w:val="56"/>
        <w:rPr>
          <w:rFonts w:hint="eastAsia"/>
        </w:rPr>
      </w:pPr>
      <w:r>
        <w:rPr>
          <w:rFonts w:hint="eastAsia"/>
        </w:rPr>
        <w:t>•b）开展健康宣教，纠正家长错误认知，如“护眼灯可替代户外活动”“近视仅需戴眼镜矫正，无需预防”等；</w:t>
      </w:r>
    </w:p>
    <w:p w14:paraId="43CE1A61">
      <w:pPr>
        <w:pStyle w:val="56"/>
        <w:rPr>
          <w:rFonts w:hint="eastAsia"/>
        </w:rPr>
      </w:pPr>
      <w:r>
        <w:rPr>
          <w:rFonts w:hint="eastAsia"/>
        </w:rPr>
        <w:t>•c）科学规划家庭户外活动，明确“每日户外活动不少于2小时或每周累计不少于10小时”的目标，督促儿童青少年持续落实。</w:t>
      </w:r>
    </w:p>
    <w:p w14:paraId="1FA57211">
      <w:pPr>
        <w:pStyle w:val="65"/>
        <w:bidi w:val="0"/>
        <w:rPr>
          <w:rFonts w:hint="eastAsia"/>
        </w:rPr>
      </w:pPr>
      <w:bookmarkStart w:id="165" w:name="_Toc15996"/>
      <w:bookmarkStart w:id="166" w:name="_Toc25114"/>
      <w:r>
        <w:rPr>
          <w:rFonts w:hint="eastAsia"/>
        </w:rPr>
        <w:t>学生方</w:t>
      </w:r>
      <w:bookmarkEnd w:id="165"/>
      <w:bookmarkEnd w:id="166"/>
    </w:p>
    <w:p w14:paraId="291C190B">
      <w:pPr>
        <w:pStyle w:val="56"/>
        <w:rPr>
          <w:rFonts w:hint="eastAsia"/>
        </w:rPr>
      </w:pPr>
      <w:r>
        <w:rPr>
          <w:rFonts w:hint="eastAsia"/>
        </w:rPr>
        <w:t>引导儿童青少年从“被动接受约束”转变为“主动配合防控”，结合低龄儿童认知特点，强化即时反馈，具体措施如下：</w:t>
      </w:r>
    </w:p>
    <w:p w14:paraId="62AC1CE0">
      <w:pPr>
        <w:pStyle w:val="56"/>
        <w:rPr>
          <w:rFonts w:hint="eastAsia"/>
        </w:rPr>
      </w:pPr>
      <w:r>
        <w:rPr>
          <w:rFonts w:hint="eastAsia"/>
        </w:rPr>
        <w:t>•a）采用游戏化方式引导，为儿童青少年配备测光手环或智能台灯，通过积累“户外积分”“正确坐姿时长”等，兑换周末出游特权或小奖品，提升参与积极性；</w:t>
      </w:r>
    </w:p>
    <w:p w14:paraId="770D6B18">
      <w:pPr>
        <w:pStyle w:val="56"/>
        <w:rPr>
          <w:rFonts w:hint="eastAsia"/>
        </w:rPr>
      </w:pPr>
      <w:r>
        <w:rPr>
          <w:rFonts w:hint="eastAsia"/>
        </w:rPr>
        <w:t>•b）发挥同伴协同效应，组建“护眼小组”，鼓励多个家庭联合开展户外活动，提升防控措施的可持续性。</w:t>
      </w:r>
    </w:p>
    <w:p w14:paraId="1A202456">
      <w:pPr>
        <w:pStyle w:val="65"/>
        <w:bidi w:val="0"/>
        <w:rPr>
          <w:rFonts w:hint="eastAsia"/>
        </w:rPr>
      </w:pPr>
      <w:bookmarkStart w:id="167" w:name="_Toc31549"/>
      <w:bookmarkStart w:id="168" w:name="_Toc30702"/>
      <w:r>
        <w:rPr>
          <w:rFonts w:hint="eastAsia"/>
        </w:rPr>
        <w:t>医疗方</w:t>
      </w:r>
      <w:bookmarkEnd w:id="167"/>
      <w:bookmarkEnd w:id="168"/>
    </w:p>
    <w:p w14:paraId="0FA74152">
      <w:pPr>
        <w:pStyle w:val="56"/>
        <w:rPr>
          <w:rFonts w:hint="eastAsia"/>
        </w:rPr>
      </w:pPr>
      <w:r>
        <w:rPr>
          <w:rFonts w:hint="eastAsia"/>
        </w:rPr>
        <w:t>推动近视筛查与干预无缝衔接，提升防控专业性，具体措施如下：</w:t>
      </w:r>
    </w:p>
    <w:p w14:paraId="65D7711E">
      <w:pPr>
        <w:pStyle w:val="56"/>
        <w:rPr>
          <w:rFonts w:hint="eastAsia"/>
        </w:rPr>
      </w:pPr>
      <w:r>
        <w:rPr>
          <w:rFonts w:hint="eastAsia"/>
        </w:rPr>
        <w:t>•a）实现预警精准触达，在视力筛查报告中附加个性化干预路径，明确告知家长及儿童青少年具体防控措施；</w:t>
      </w:r>
    </w:p>
    <w:p w14:paraId="2B9328BA">
      <w:pPr>
        <w:pStyle w:val="56"/>
        <w:rPr>
          <w:rFonts w:hint="eastAsia"/>
        </w:rPr>
      </w:pPr>
      <w:r>
        <w:rPr>
          <w:rFonts w:hint="eastAsia"/>
        </w:rPr>
        <w:t>•b）赋予校医转诊建议权，提升校医近视防控专业能力，确保筛查异常者及时转诊至专业眼科机构诊疗。</w:t>
      </w:r>
    </w:p>
    <w:p w14:paraId="13DD90FA">
      <w:pPr>
        <w:pStyle w:val="105"/>
        <w:bidi w:val="0"/>
        <w:rPr>
          <w:rFonts w:hint="eastAsia"/>
        </w:rPr>
      </w:pPr>
      <w:bookmarkStart w:id="169" w:name="_Toc1420"/>
      <w:bookmarkStart w:id="170" w:name="_Toc9330"/>
      <w:bookmarkStart w:id="171" w:name="_Toc16024"/>
      <w:r>
        <w:rPr>
          <w:rFonts w:hint="eastAsia"/>
        </w:rPr>
        <w:t>干预过程覆盖</w:t>
      </w:r>
      <w:bookmarkEnd w:id="169"/>
      <w:bookmarkEnd w:id="170"/>
      <w:bookmarkEnd w:id="171"/>
    </w:p>
    <w:p w14:paraId="0A402250">
      <w:pPr>
        <w:pStyle w:val="65"/>
        <w:bidi w:val="0"/>
        <w:rPr>
          <w:rFonts w:hint="eastAsia"/>
        </w:rPr>
      </w:pPr>
      <w:bookmarkStart w:id="172" w:name="_Toc7265"/>
      <w:bookmarkStart w:id="173" w:name="_Toc13711"/>
      <w:r>
        <w:rPr>
          <w:rFonts w:hint="eastAsia"/>
        </w:rPr>
        <w:t>人群覆盖</w:t>
      </w:r>
      <w:bookmarkEnd w:id="172"/>
      <w:bookmarkEnd w:id="173"/>
    </w:p>
    <w:p w14:paraId="6E7D0546">
      <w:pPr>
        <w:pStyle w:val="56"/>
        <w:rPr>
          <w:rFonts w:hint="eastAsia"/>
        </w:rPr>
      </w:pPr>
      <w:r>
        <w:rPr>
          <w:rFonts w:hint="eastAsia"/>
        </w:rPr>
        <w:t>从“已近视检出者”延伸至“远视储备不足者”，构建全人群防控体系：不仅针对已近视儿童青少年开展干预，控制度数增长；同时针对远视储备不足但未近视的高危人群，提前实施预防措施，延缓近视发生。</w:t>
      </w:r>
    </w:p>
    <w:p w14:paraId="6B4CFF0D">
      <w:pPr>
        <w:pStyle w:val="65"/>
        <w:bidi w:val="0"/>
        <w:rPr>
          <w:rFonts w:hint="eastAsia"/>
        </w:rPr>
      </w:pPr>
      <w:bookmarkStart w:id="174" w:name="_Toc3438"/>
      <w:bookmarkStart w:id="175" w:name="_Toc2145"/>
      <w:r>
        <w:rPr>
          <w:rFonts w:hint="eastAsia"/>
        </w:rPr>
        <w:t>空间覆盖</w:t>
      </w:r>
      <w:bookmarkEnd w:id="174"/>
      <w:bookmarkEnd w:id="175"/>
    </w:p>
    <w:p w14:paraId="53CF2A15">
      <w:pPr>
        <w:pStyle w:val="56"/>
        <w:rPr>
          <w:rFonts w:hint="eastAsia"/>
        </w:rPr>
      </w:pPr>
      <w:r>
        <w:rPr>
          <w:rFonts w:hint="eastAsia"/>
        </w:rPr>
        <w:t>从“校内”延伸至“校外”，实现家-校-社区协同防控：布置“户外家庭作业”（如户外寻宝、植物观察等），引导家庭参与防控；由社区托管点承接寒暑假户外活动模块，填补校外防控监管空白，确保防控无死角。</w:t>
      </w:r>
    </w:p>
    <w:p w14:paraId="69DAA66B">
      <w:pPr>
        <w:pStyle w:val="65"/>
        <w:bidi w:val="0"/>
        <w:rPr>
          <w:rFonts w:hint="eastAsia"/>
        </w:rPr>
      </w:pPr>
      <w:bookmarkStart w:id="176" w:name="_Toc21819"/>
      <w:bookmarkStart w:id="177" w:name="_Toc24332"/>
      <w:r>
        <w:rPr>
          <w:rFonts w:hint="eastAsia"/>
        </w:rPr>
        <w:t>流程覆盖</w:t>
      </w:r>
      <w:bookmarkEnd w:id="176"/>
      <w:bookmarkEnd w:id="177"/>
    </w:p>
    <w:p w14:paraId="371C6AC6">
      <w:pPr>
        <w:pStyle w:val="56"/>
        <w:rPr>
          <w:rFonts w:hint="eastAsia"/>
        </w:rPr>
      </w:pPr>
      <w:r>
        <w:rPr>
          <w:rFonts w:hint="eastAsia"/>
        </w:rPr>
        <w:t>从“筛查”延伸至“复诊”，形成闭环防控：将复诊率纳入防控考核指标；学校联合社区医院，对筛查异常者进行电话随访或校内复查，将“告知家长”升级为“确认家长已落实防控措施”，确保干预措施落地见效。</w:t>
      </w:r>
    </w:p>
    <w:p w14:paraId="6A6BB079">
      <w:pPr>
        <w:pStyle w:val="65"/>
        <w:bidi w:val="0"/>
        <w:rPr>
          <w:rFonts w:hint="eastAsia"/>
        </w:rPr>
      </w:pPr>
      <w:bookmarkStart w:id="178" w:name="_Toc18069"/>
      <w:bookmarkStart w:id="179" w:name="_Toc15972"/>
      <w:r>
        <w:rPr>
          <w:rFonts w:hint="eastAsia"/>
        </w:rPr>
        <w:t>专业覆盖</w:t>
      </w:r>
      <w:bookmarkEnd w:id="178"/>
      <w:bookmarkEnd w:id="179"/>
    </w:p>
    <w:p w14:paraId="09AD096B">
      <w:pPr>
        <w:pStyle w:val="56"/>
        <w:rPr>
          <w:rFonts w:hint="eastAsia"/>
        </w:rPr>
      </w:pPr>
      <w:r>
        <w:rPr>
          <w:rFonts w:hint="eastAsia"/>
        </w:rPr>
        <w:t>从“眼保健”延伸至“行为干预”，实现跨专业协同：由体育教师主导户外活动设计，提升活动趣味性与科学性；由心理教师或班主任主导家庭沟通，引导家长重视防控工作；由眼视光专业人员主导筛查诊断与干预方案制定，各司其职、协同发力。</w:t>
      </w:r>
    </w:p>
    <w:p w14:paraId="6034363B">
      <w:pPr>
        <w:pStyle w:val="65"/>
        <w:bidi w:val="0"/>
        <w:rPr>
          <w:rFonts w:hint="eastAsia"/>
        </w:rPr>
      </w:pPr>
      <w:bookmarkStart w:id="180" w:name="_Toc647"/>
      <w:bookmarkStart w:id="181" w:name="_Toc19691"/>
      <w:r>
        <w:rPr>
          <w:rFonts w:hint="eastAsia"/>
        </w:rPr>
        <w:t>数字覆盖</w:t>
      </w:r>
      <w:bookmarkEnd w:id="180"/>
      <w:bookmarkEnd w:id="181"/>
    </w:p>
    <w:p w14:paraId="52687E1F">
      <w:pPr>
        <w:pStyle w:val="56"/>
        <w:rPr>
          <w:rFonts w:hint="eastAsia"/>
        </w:rPr>
      </w:pPr>
      <w:r>
        <w:rPr>
          <w:rFonts w:hint="eastAsia"/>
        </w:rPr>
        <w:t>从“纸质档案”延伸至“动态预警”，构建数字化防控体系：建立电子屈光发育档案，实现“人随档走”，依托学籍系统，确保档案随学生升学流转；系统自动识别年近视进展超过-0.50D的快速进展者，发出红色预警，提醒及时调整干预措施。</w:t>
      </w:r>
    </w:p>
    <w:p w14:paraId="1B111C22">
      <w:pPr>
        <w:pStyle w:val="65"/>
        <w:bidi w:val="0"/>
        <w:rPr>
          <w:rFonts w:hint="eastAsia"/>
        </w:rPr>
      </w:pPr>
      <w:bookmarkStart w:id="182" w:name="_Toc6010"/>
      <w:bookmarkStart w:id="183" w:name="_Toc24639"/>
      <w:r>
        <w:rPr>
          <w:rFonts w:hint="eastAsia"/>
        </w:rPr>
        <w:t>特殊人群覆盖</w:t>
      </w:r>
      <w:bookmarkEnd w:id="182"/>
      <w:bookmarkEnd w:id="183"/>
    </w:p>
    <w:p w14:paraId="03D51B1E">
      <w:pPr>
        <w:pStyle w:val="56"/>
        <w:rPr>
          <w:rFonts w:hint="eastAsia"/>
        </w:rPr>
      </w:pPr>
      <w:r>
        <w:rPr>
          <w:rFonts w:hint="eastAsia"/>
        </w:rPr>
        <w:t>重点覆盖低龄儿童和农村地区儿童青少年两大特殊人群，针对性开展防控工作：</w:t>
      </w:r>
    </w:p>
    <w:p w14:paraId="250A09CD">
      <w:pPr>
        <w:pStyle w:val="56"/>
        <w:rPr>
          <w:rFonts w:hint="eastAsia"/>
        </w:rPr>
      </w:pPr>
      <w:r>
        <w:rPr>
          <w:rFonts w:hint="eastAsia"/>
        </w:rPr>
        <w:t>•a）低龄儿童：幼儿园阶段是远视储备消耗较快的关键时期，需强化家长重视程度，实现早期筛查与干预无缝衔接，延缓远视储备消耗；</w:t>
      </w:r>
    </w:p>
    <w:p w14:paraId="7175869F">
      <w:pPr>
        <w:pStyle w:val="56"/>
        <w:rPr>
          <w:rFonts w:hint="eastAsia"/>
        </w:rPr>
      </w:pPr>
      <w:r>
        <w:rPr>
          <w:rFonts w:hint="eastAsia"/>
        </w:rPr>
        <w:t>•b）农村地区：农村近视防控存在“硬件先行、人力滞后”的问题，校医配置不足，主要依赖巡回医疗队，缺乏常态化防控支持，需加强农村地区防控人力配置与技术指导。</w:t>
      </w:r>
    </w:p>
    <w:p w14:paraId="7D6F4204">
      <w:pPr>
        <w:pStyle w:val="105"/>
        <w:bidi w:val="0"/>
        <w:rPr>
          <w:rFonts w:hint="eastAsia"/>
        </w:rPr>
      </w:pPr>
      <w:bookmarkStart w:id="184" w:name="_Toc21176"/>
      <w:bookmarkStart w:id="185" w:name="_Toc23803"/>
      <w:bookmarkStart w:id="186" w:name="_Toc9562"/>
      <w:r>
        <w:rPr>
          <w:rFonts w:hint="eastAsia"/>
        </w:rPr>
        <w:t>干预质量</w:t>
      </w:r>
      <w:bookmarkEnd w:id="184"/>
      <w:bookmarkEnd w:id="185"/>
      <w:bookmarkEnd w:id="186"/>
    </w:p>
    <w:p w14:paraId="03470A75">
      <w:pPr>
        <w:pStyle w:val="65"/>
        <w:bidi w:val="0"/>
        <w:rPr>
          <w:rFonts w:hint="eastAsia"/>
        </w:rPr>
      </w:pPr>
      <w:bookmarkStart w:id="187" w:name="_Toc31323"/>
      <w:bookmarkStart w:id="188" w:name="_Toc9055"/>
      <w:r>
        <w:rPr>
          <w:rFonts w:hint="eastAsia"/>
        </w:rPr>
        <w:t>学校方的质量</w:t>
      </w:r>
      <w:bookmarkEnd w:id="187"/>
      <w:bookmarkEnd w:id="188"/>
    </w:p>
    <w:p w14:paraId="3E5195E9">
      <w:pPr>
        <w:pStyle w:val="56"/>
        <w:rPr>
          <w:rFonts w:hint="eastAsia"/>
        </w:rPr>
      </w:pPr>
      <w:r>
        <w:rPr>
          <w:rFonts w:hint="eastAsia"/>
        </w:rPr>
        <w:t>建立简化、标准化的激励与监督机制，明确学校近视防控各项措施的操作规范，加强监督检查，确保干预措施标准化落地，杜绝形式化执行。</w:t>
      </w:r>
    </w:p>
    <w:p w14:paraId="2A14C15C">
      <w:pPr>
        <w:pStyle w:val="65"/>
        <w:bidi w:val="0"/>
        <w:rPr>
          <w:rFonts w:hint="eastAsia"/>
        </w:rPr>
      </w:pPr>
      <w:bookmarkStart w:id="189" w:name="_Toc24493"/>
      <w:bookmarkStart w:id="190" w:name="_Toc14587"/>
      <w:r>
        <w:rPr>
          <w:rFonts w:hint="eastAsia"/>
        </w:rPr>
        <w:t>家庭方的执行力度</w:t>
      </w:r>
      <w:bookmarkEnd w:id="189"/>
      <w:bookmarkEnd w:id="190"/>
    </w:p>
    <w:p w14:paraId="02D4FFDD">
      <w:pPr>
        <w:pStyle w:val="56"/>
        <w:rPr>
          <w:rFonts w:hint="eastAsia"/>
        </w:rPr>
      </w:pPr>
      <w:r>
        <w:rPr>
          <w:rFonts w:hint="eastAsia"/>
        </w:rPr>
        <w:t>部分家长存在“重治疗、轻预防”的认知误区，在采用医疗干预措施后，忽视户外活动、用眼习惯等低成本、高成效的防控手段，需通过健康宣教提升家长防控意识，强化家庭防控执行力度。</w:t>
      </w:r>
    </w:p>
    <w:p w14:paraId="0CE2B465">
      <w:pPr>
        <w:pStyle w:val="65"/>
        <w:bidi w:val="0"/>
        <w:rPr>
          <w:rFonts w:hint="eastAsia"/>
        </w:rPr>
      </w:pPr>
      <w:bookmarkStart w:id="191" w:name="_Toc1135"/>
      <w:bookmarkStart w:id="192" w:name="_Toc16324"/>
      <w:r>
        <w:rPr>
          <w:rFonts w:hint="eastAsia"/>
        </w:rPr>
        <w:t>医疗卫生方的技术同质化</w:t>
      </w:r>
      <w:bookmarkEnd w:id="191"/>
      <w:bookmarkEnd w:id="192"/>
    </w:p>
    <w:p w14:paraId="14D1BB80">
      <w:pPr>
        <w:pStyle w:val="56"/>
        <w:rPr>
          <w:rFonts w:hint="eastAsia"/>
        </w:rPr>
      </w:pPr>
      <w:r>
        <w:rPr>
          <w:rFonts w:hint="eastAsia"/>
        </w:rPr>
        <w:t>部分近视防控产品（如低浓度阿托品滴眼液、近视防控框架眼镜）存在过度医疗化倾向，缺乏个性化处方标准，需规范医疗干预行为，提升医疗卫生机构近视防控技术同质化水平，确保干预方案科学、合理。</w:t>
      </w:r>
    </w:p>
    <w:p w14:paraId="65C2E25F">
      <w:pPr>
        <w:pStyle w:val="104"/>
        <w:bidi w:val="0"/>
        <w:rPr>
          <w:rFonts w:hint="eastAsia"/>
        </w:rPr>
      </w:pPr>
      <w:bookmarkStart w:id="193" w:name="_Toc27001"/>
      <w:bookmarkStart w:id="194" w:name="_Toc20949"/>
      <w:bookmarkStart w:id="195" w:name="_Toc22057"/>
      <w:bookmarkStart w:id="196" w:name="_Toc21576"/>
      <w:r>
        <w:rPr>
          <w:rFonts w:hint="eastAsia"/>
        </w:rPr>
        <w:t>长期效果与可持续性评估</w:t>
      </w:r>
      <w:bookmarkEnd w:id="193"/>
      <w:bookmarkEnd w:id="194"/>
      <w:bookmarkEnd w:id="195"/>
      <w:bookmarkEnd w:id="196"/>
    </w:p>
    <w:p w14:paraId="572BC8B0">
      <w:pPr>
        <w:pStyle w:val="105"/>
        <w:bidi w:val="0"/>
        <w:rPr>
          <w:rFonts w:hint="eastAsia"/>
        </w:rPr>
      </w:pPr>
      <w:bookmarkStart w:id="197" w:name="_Toc26877"/>
      <w:bookmarkStart w:id="198" w:name="_Toc13715"/>
      <w:bookmarkStart w:id="199" w:name="_Toc19945"/>
      <w:r>
        <w:rPr>
          <w:rFonts w:hint="eastAsia"/>
        </w:rPr>
        <w:t>评估方法</w:t>
      </w:r>
      <w:bookmarkEnd w:id="197"/>
      <w:bookmarkEnd w:id="198"/>
      <w:bookmarkEnd w:id="199"/>
    </w:p>
    <w:p w14:paraId="6465481E">
      <w:pPr>
        <w:pStyle w:val="65"/>
        <w:bidi w:val="0"/>
        <w:rPr>
          <w:rFonts w:hint="eastAsia"/>
        </w:rPr>
      </w:pPr>
      <w:bookmarkStart w:id="200" w:name="_Toc10461"/>
      <w:bookmarkStart w:id="201" w:name="_Toc22796"/>
      <w:r>
        <w:rPr>
          <w:rFonts w:hint="eastAsia"/>
        </w:rPr>
        <w:t>长期有效性评估</w:t>
      </w:r>
      <w:bookmarkEnd w:id="200"/>
      <w:bookmarkEnd w:id="201"/>
    </w:p>
    <w:p w14:paraId="2D86B0FB">
      <w:pPr>
        <w:pStyle w:val="56"/>
        <w:rPr>
          <w:rFonts w:hint="eastAsia"/>
        </w:rPr>
      </w:pPr>
      <w:r>
        <w:rPr>
          <w:rFonts w:hint="eastAsia"/>
        </w:rPr>
        <w:t>评价儿童青少年近视防控干预措施的长期有效性时，研究设计应符合以下要求：</w:t>
      </w:r>
    </w:p>
    <w:p w14:paraId="5A29857A">
      <w:pPr>
        <w:pStyle w:val="56"/>
        <w:rPr>
          <w:rFonts w:hint="eastAsia"/>
        </w:rPr>
      </w:pPr>
      <w:r>
        <w:rPr>
          <w:rFonts w:hint="eastAsia"/>
        </w:rPr>
        <w:t>•a）采用随机对照试验或前瞻性队列研究设计，随访时长≥24个月，理想状态下延伸至青春期眼轴自然增长趋于平稳阶段（13~15岁）；</w:t>
      </w:r>
    </w:p>
    <w:p w14:paraId="11F50AFE">
      <w:pPr>
        <w:pStyle w:val="56"/>
        <w:rPr>
          <w:rFonts w:hint="eastAsia"/>
        </w:rPr>
      </w:pPr>
      <w:r>
        <w:rPr>
          <w:rFonts w:hint="eastAsia"/>
        </w:rPr>
        <w:t>•b）以等效球镜度数年变化量（D/a）和眼轴年增长量（mm/a）为核心结局指标，其中眼轴年增长量受调节干扰小，为国际近视研究学会（IMI）推荐的首要评估指标；</w:t>
      </w:r>
    </w:p>
    <w:p w14:paraId="2C70DEB9">
      <w:pPr>
        <w:pStyle w:val="56"/>
        <w:rPr>
          <w:rFonts w:hint="eastAsia"/>
        </w:rPr>
      </w:pPr>
      <w:r>
        <w:rPr>
          <w:rFonts w:hint="eastAsia"/>
        </w:rPr>
        <w:t>•c）设置同期单光镜片或非活动性对照组，校正年龄相关的生理性近视进展，确保评估结果准确。</w:t>
      </w:r>
    </w:p>
    <w:p w14:paraId="3AED2500">
      <w:pPr>
        <w:pStyle w:val="65"/>
        <w:bidi w:val="0"/>
        <w:rPr>
          <w:rFonts w:hint="eastAsia"/>
        </w:rPr>
      </w:pPr>
      <w:bookmarkStart w:id="202" w:name="_Toc11372"/>
      <w:bookmarkStart w:id="203" w:name="_Toc14060"/>
      <w:r>
        <w:rPr>
          <w:rFonts w:hint="eastAsia"/>
        </w:rPr>
        <w:t>长期稳定性评估</w:t>
      </w:r>
      <w:bookmarkEnd w:id="202"/>
      <w:bookmarkEnd w:id="203"/>
    </w:p>
    <w:p w14:paraId="257E8E64">
      <w:pPr>
        <w:pStyle w:val="56"/>
        <w:rPr>
          <w:rFonts w:hint="eastAsia"/>
        </w:rPr>
      </w:pPr>
      <w:r>
        <w:rPr>
          <w:rFonts w:hint="eastAsia"/>
        </w:rPr>
        <w:t>长期稳定性评估的核心目标是判断干预措施终止后是否存在“反弹效应”，即终止干预后，眼轴长度增长或屈光度进展速度是否高于同龄对照组水平。本</w:t>
      </w:r>
      <w:r>
        <w:rPr>
          <w:rFonts w:hint="eastAsia"/>
          <w:lang w:val="en-US" w:eastAsia="zh-CN"/>
        </w:rPr>
        <w:t>文件</w:t>
      </w:r>
      <w:r>
        <w:rPr>
          <w:rFonts w:hint="eastAsia"/>
        </w:rPr>
        <w:t>推荐评估标准如下：</w:t>
      </w:r>
    </w:p>
    <w:p w14:paraId="630A26C1">
      <w:pPr>
        <w:pStyle w:val="56"/>
        <w:rPr>
          <w:rFonts w:hint="eastAsia"/>
        </w:rPr>
      </w:pPr>
      <w:r>
        <w:rPr>
          <w:rFonts w:hint="eastAsia"/>
        </w:rPr>
        <w:t>干预措施终止后，持续随访3~5年，至少完成12个月随访观察，随访内容与干预期保持一致；将停药（或终止干预）后年变化率，与治疗期年变化率、同龄未治疗对照人群或基于大样本构建的虚拟生长模型进行对比。需明确区分“反弹性加速”与“回归至年龄期望值”的本质差异：前者提示病理生理学逆转效应，后者仅表明治疗未改变眼球自然生长轨迹，不属于反弹效应。</w:t>
      </w:r>
    </w:p>
    <w:p w14:paraId="03249B31">
      <w:pPr>
        <w:pStyle w:val="65"/>
        <w:bidi w:val="0"/>
        <w:rPr>
          <w:rFonts w:hint="eastAsia"/>
        </w:rPr>
      </w:pPr>
      <w:bookmarkStart w:id="204" w:name="_Toc24745"/>
      <w:bookmarkStart w:id="205" w:name="_Toc23589"/>
      <w:r>
        <w:rPr>
          <w:rFonts w:hint="eastAsia"/>
        </w:rPr>
        <w:t>长期安全性</w:t>
      </w:r>
      <w:bookmarkEnd w:id="204"/>
      <w:bookmarkEnd w:id="205"/>
    </w:p>
    <w:p w14:paraId="6295132D">
      <w:pPr>
        <w:pStyle w:val="56"/>
        <w:rPr>
          <w:rFonts w:hint="eastAsia"/>
        </w:rPr>
      </w:pPr>
      <w:r>
        <w:rPr>
          <w:rFonts w:hint="eastAsia"/>
        </w:rPr>
        <w:t>长期安全性评估需重点关注干预措施是否增加眼部相关风险，具体包括角膜规则性、角膜内皮数量、角膜厚度、房角开放程度及功能、晶状体厚度和调节功能、瞳孔功能、视网膜脉络膜血流改变等，长期随访过程中需定期检测，及时发现潜在安全风险。</w:t>
      </w:r>
    </w:p>
    <w:p w14:paraId="5599217C">
      <w:pPr>
        <w:pStyle w:val="65"/>
        <w:bidi w:val="0"/>
        <w:rPr>
          <w:rFonts w:hint="eastAsia"/>
        </w:rPr>
      </w:pPr>
      <w:bookmarkStart w:id="206" w:name="_Toc16799"/>
      <w:bookmarkStart w:id="207" w:name="_Toc14812"/>
      <w:r>
        <w:rPr>
          <w:rFonts w:hint="eastAsia"/>
        </w:rPr>
        <w:t>证据分级</w:t>
      </w:r>
      <w:bookmarkEnd w:id="206"/>
      <w:bookmarkEnd w:id="207"/>
    </w:p>
    <w:p w14:paraId="548D01AD">
      <w:pPr>
        <w:pStyle w:val="56"/>
        <w:rPr>
          <w:rFonts w:hint="eastAsia"/>
        </w:rPr>
      </w:pPr>
      <w:r>
        <w:rPr>
          <w:rFonts w:hint="eastAsia"/>
        </w:rPr>
        <w:t>本</w:t>
      </w:r>
      <w:r>
        <w:rPr>
          <w:rFonts w:hint="eastAsia"/>
          <w:lang w:val="en-US" w:eastAsia="zh-CN"/>
        </w:rPr>
        <w:t>文件</w:t>
      </w:r>
      <w:r>
        <w:rPr>
          <w:rFonts w:hint="eastAsia"/>
        </w:rPr>
        <w:t>采纳GRADE方法，结合干预技术成熟度进行证据分级。对于成熟干预技术，仅纳入以眼轴长度为终点指标、样本量合理、偏倚风险低的随机对照试验（RCT）；对于新兴干预技术，同时报告早期疗效数据与证据缺口，为后续研究提供方向。</w:t>
      </w:r>
    </w:p>
    <w:p w14:paraId="3B63209F">
      <w:pPr>
        <w:pStyle w:val="105"/>
        <w:bidi w:val="0"/>
        <w:rPr>
          <w:rFonts w:hint="eastAsia"/>
        </w:rPr>
      </w:pPr>
      <w:bookmarkStart w:id="208" w:name="_Toc13928"/>
      <w:bookmarkStart w:id="209" w:name="_Toc9064"/>
      <w:bookmarkStart w:id="210" w:name="_Toc23232"/>
      <w:r>
        <w:rPr>
          <w:rFonts w:hint="eastAsia"/>
        </w:rPr>
        <w:t>常用干预方法长期有效性与稳定性评价</w:t>
      </w:r>
      <w:bookmarkEnd w:id="208"/>
      <w:bookmarkEnd w:id="209"/>
      <w:bookmarkEnd w:id="210"/>
    </w:p>
    <w:p w14:paraId="7CA2B1E0">
      <w:pPr>
        <w:pStyle w:val="65"/>
        <w:bidi w:val="0"/>
        <w:rPr>
          <w:rFonts w:hint="eastAsia"/>
        </w:rPr>
      </w:pPr>
      <w:bookmarkStart w:id="211" w:name="_Toc9067"/>
      <w:bookmarkStart w:id="212" w:name="_Toc7934"/>
      <w:r>
        <w:rPr>
          <w:rFonts w:hint="eastAsia"/>
        </w:rPr>
        <w:t>框架眼镜：高非球微透镜设计</w:t>
      </w:r>
      <w:bookmarkEnd w:id="211"/>
      <w:bookmarkEnd w:id="212"/>
    </w:p>
    <w:p w14:paraId="298BBBCD">
      <w:pPr>
        <w:pStyle w:val="56"/>
        <w:rPr>
          <w:rFonts w:hint="eastAsia"/>
        </w:rPr>
      </w:pPr>
      <w:r>
        <w:rPr>
          <w:rFonts w:hint="eastAsia"/>
        </w:rPr>
        <w:t>高非球微透镜框架眼镜是目前长期证据最充分的近视防控光学产品。温州医科大学附属眼视光医院开展的前瞻性随机双盲对照试验，将8~13岁近视儿童随机分配至高非球微透镜框架镜组或单光镜组，初始观察期2年，延长随访至6年。结果显示：连续6年配戴高非球微透镜镜片者，近视进展平均为1.50 D（单光镜组为3.50 D），眼轴增长平均为0.76 mm（单光镜组为1.57 mm）；6年累积延缓近视进展1.95 D，延缓眼轴增长0.81 mm，且未发现角膜散光显著增加。2年数据与6年数据对比显示，疗效呈持续性累积，无效应衰减，证实其长期疗效稳定、安全性良好。</w:t>
      </w:r>
    </w:p>
    <w:p w14:paraId="067C0857">
      <w:pPr>
        <w:pStyle w:val="65"/>
        <w:bidi w:val="0"/>
        <w:rPr>
          <w:rFonts w:hint="eastAsia"/>
        </w:rPr>
      </w:pPr>
      <w:bookmarkStart w:id="213" w:name="_Toc9884"/>
      <w:bookmarkStart w:id="214" w:name="_Toc31503"/>
      <w:r>
        <w:rPr>
          <w:rFonts w:hint="eastAsia"/>
        </w:rPr>
        <w:t>多焦软性接触镜</w:t>
      </w:r>
      <w:bookmarkEnd w:id="213"/>
      <w:bookmarkEnd w:id="214"/>
    </w:p>
    <w:p w14:paraId="18CDBE06">
      <w:pPr>
        <w:pStyle w:val="56"/>
        <w:rPr>
          <w:rFonts w:hint="eastAsia"/>
        </w:rPr>
      </w:pPr>
      <w:r>
        <w:rPr>
          <w:rFonts w:hint="eastAsia"/>
        </w:rPr>
        <w:t>相关研究显示，11~17岁青少年配戴2年高附加（+2.50 D）或多焦软镜后，换用单光软镜继续观察1年，对比眼轴长度与屈光度变化情况：高附加和多焦软性接触镜组眼轴年增长量增加0.03 mm/a（95%CI: 0.01~0.05），屈光度年进展增加-0.17 D/a（95%CI: -0.22至-0.12）。该增速与同龄未治疗人群的自然进展速率相当，不属于反弹性加速，表明多焦软性接触镜具有良好的长期控制效果。</w:t>
      </w:r>
    </w:p>
    <w:p w14:paraId="633FFFA2">
      <w:pPr>
        <w:pStyle w:val="65"/>
        <w:bidi w:val="0"/>
        <w:rPr>
          <w:rFonts w:hint="eastAsia"/>
        </w:rPr>
      </w:pPr>
      <w:bookmarkStart w:id="215" w:name="_Toc18705"/>
      <w:bookmarkStart w:id="216" w:name="_Toc1061"/>
      <w:r>
        <w:rPr>
          <w:rFonts w:hint="eastAsia"/>
        </w:rPr>
        <w:t>角膜塑形镜</w:t>
      </w:r>
      <w:bookmarkEnd w:id="215"/>
      <w:bookmarkEnd w:id="216"/>
    </w:p>
    <w:p w14:paraId="7BAFA8BA">
      <w:pPr>
        <w:pStyle w:val="56"/>
        <w:rPr>
          <w:rFonts w:hint="eastAsia"/>
        </w:rPr>
      </w:pPr>
      <w:r>
        <w:rPr>
          <w:rFonts w:hint="eastAsia"/>
        </w:rPr>
        <w:t>长期疗效研究显示，角膜塑形镜在干预12个月时，可延缓眼轴增长0.15 mm；随访≥24个月，眼轴年增长量维持于0.19 mm，疗效可持续36个月，具备中长期持续防控效果，优化镜片设计可进一步提升控制效能。目前，角膜塑形镜终止干预后的反弹风险，尚待高质量随机对照试验验证。</w:t>
      </w:r>
    </w:p>
    <w:p w14:paraId="0274EBAC">
      <w:pPr>
        <w:pStyle w:val="65"/>
        <w:bidi w:val="0"/>
        <w:rPr>
          <w:rFonts w:hint="eastAsia"/>
        </w:rPr>
      </w:pPr>
      <w:bookmarkStart w:id="217" w:name="_Toc32120"/>
      <w:bookmarkStart w:id="218" w:name="_Toc2572"/>
      <w:r>
        <w:rPr>
          <w:rFonts w:hint="eastAsia"/>
        </w:rPr>
        <w:t>药物干预：低浓度阿托品（0.01%）</w:t>
      </w:r>
      <w:bookmarkEnd w:id="217"/>
      <w:bookmarkEnd w:id="218"/>
    </w:p>
    <w:p w14:paraId="6D5CFC61">
      <w:pPr>
        <w:pStyle w:val="56"/>
        <w:rPr>
          <w:rFonts w:hint="eastAsia"/>
        </w:rPr>
      </w:pPr>
      <w:r>
        <w:rPr>
          <w:rFonts w:hint="eastAsia"/>
        </w:rPr>
        <w:t>0.01%阿托品滴眼液的长期疗效数据显示，1年可延缓眼轴增长0.08 mm，2年可延缓眼轴增长0.12 mm。该浓度阿托品的获益风险比最优，但长期用药的必要性与停药方案需个体化制定，同时需关注长期用药可能引发的干眼症、过敏反应及药物蓄积等潜在风险。</w:t>
      </w:r>
    </w:p>
    <w:p w14:paraId="4B9D4158">
      <w:pPr>
        <w:pStyle w:val="65"/>
        <w:bidi w:val="0"/>
        <w:rPr>
          <w:rFonts w:hint="eastAsia"/>
        </w:rPr>
      </w:pPr>
      <w:bookmarkStart w:id="219" w:name="_Toc30178"/>
      <w:bookmarkStart w:id="220" w:name="_Toc24912"/>
      <w:r>
        <w:rPr>
          <w:rFonts w:hint="eastAsia"/>
        </w:rPr>
        <w:t>联合干预：角膜塑形镜联合0.01%阿托品</w:t>
      </w:r>
      <w:bookmarkEnd w:id="219"/>
      <w:bookmarkEnd w:id="220"/>
    </w:p>
    <w:p w14:paraId="465F460A">
      <w:pPr>
        <w:pStyle w:val="56"/>
        <w:rPr>
          <w:rFonts w:hint="eastAsia"/>
        </w:rPr>
      </w:pPr>
      <w:r>
        <w:rPr>
          <w:rFonts w:hint="eastAsia"/>
        </w:rPr>
        <w:t>相关研究显示，角膜塑形镜联合0.01%阿托品干预，2年随访结果表明，联合治疗较单用角膜塑形镜可额外延缓眼轴增长0.12 mm，其长期维持策略仍需进一步研究验证。</w:t>
      </w:r>
    </w:p>
    <w:p w14:paraId="6F659902">
      <w:pPr>
        <w:pStyle w:val="65"/>
        <w:bidi w:val="0"/>
        <w:rPr>
          <w:rFonts w:hint="eastAsia"/>
        </w:rPr>
      </w:pPr>
      <w:bookmarkStart w:id="221" w:name="_Toc20723"/>
      <w:bookmarkStart w:id="222" w:name="_Toc31566"/>
      <w:r>
        <w:rPr>
          <w:rFonts w:hint="eastAsia"/>
        </w:rPr>
        <w:t>新兴干预技术：点扩散光学技术镜片</w:t>
      </w:r>
      <w:bookmarkEnd w:id="221"/>
      <w:bookmarkEnd w:id="222"/>
    </w:p>
    <w:p w14:paraId="4A7C81A6">
      <w:pPr>
        <w:pStyle w:val="56"/>
        <w:rPr>
          <w:rFonts w:hint="eastAsia"/>
        </w:rPr>
      </w:pPr>
      <w:r>
        <w:rPr>
          <w:rFonts w:hint="eastAsia"/>
        </w:rPr>
        <w:t>点扩散光学技术镜片基于视网膜对比度理论，一项4年随访研究显示其近视控制效应持续存在，但长期安全性仍需多中心研究提供更可靠的证据支持。</w:t>
      </w:r>
    </w:p>
    <w:p w14:paraId="7BCA0BD6">
      <w:pPr>
        <w:pStyle w:val="105"/>
        <w:bidi w:val="0"/>
        <w:rPr>
          <w:rFonts w:hint="eastAsia"/>
        </w:rPr>
      </w:pPr>
      <w:bookmarkStart w:id="223" w:name="_Toc13168"/>
      <w:bookmarkStart w:id="224" w:name="_Toc9020"/>
      <w:bookmarkStart w:id="225" w:name="_Toc32228"/>
      <w:r>
        <w:rPr>
          <w:rFonts w:hint="eastAsia"/>
        </w:rPr>
        <w:t>有效性稳定性的相关因素</w:t>
      </w:r>
      <w:bookmarkEnd w:id="223"/>
      <w:bookmarkEnd w:id="224"/>
      <w:bookmarkEnd w:id="225"/>
    </w:p>
    <w:p w14:paraId="72CF5BEC">
      <w:pPr>
        <w:pStyle w:val="65"/>
        <w:bidi w:val="0"/>
        <w:rPr>
          <w:rFonts w:hint="eastAsia"/>
        </w:rPr>
      </w:pPr>
      <w:bookmarkStart w:id="226" w:name="_Toc13478"/>
      <w:bookmarkStart w:id="227" w:name="_Toc12446"/>
      <w:r>
        <w:rPr>
          <w:rFonts w:hint="eastAsia"/>
        </w:rPr>
        <w:t>一般规定</w:t>
      </w:r>
      <w:bookmarkEnd w:id="226"/>
      <w:bookmarkEnd w:id="227"/>
    </w:p>
    <w:p w14:paraId="6B140EA5">
      <w:pPr>
        <w:pStyle w:val="56"/>
        <w:rPr>
          <w:rFonts w:hint="eastAsia"/>
        </w:rPr>
      </w:pPr>
      <w:r>
        <w:rPr>
          <w:rFonts w:hint="eastAsia"/>
        </w:rPr>
        <w:t>本条款适用于药物、功能性眼镜、角膜接触镜、行为干预、环境改造等各类儿童青少年近视防控措施的相关性评估。评估核心为各类防控措施间的相互关联特征，同时补充分析单一防控措施实施与近视防控核心效果的关联程度；评估应结合定量统计学分析与定性实操场景分析方法，明确各类相关性的分析维度与判定依据，为本</w:t>
      </w:r>
      <w:r>
        <w:rPr>
          <w:rFonts w:hint="eastAsia"/>
          <w:lang w:val="en-US" w:eastAsia="zh-CN"/>
        </w:rPr>
        <w:t>文件</w:t>
      </w:r>
      <w:r>
        <w:rPr>
          <w:rFonts w:hint="eastAsia"/>
        </w:rPr>
        <w:t>防控方案优化提供支撑。</w:t>
      </w:r>
    </w:p>
    <w:p w14:paraId="49A6BC5C">
      <w:pPr>
        <w:pStyle w:val="65"/>
        <w:bidi w:val="0"/>
        <w:rPr>
          <w:rFonts w:hint="eastAsia"/>
        </w:rPr>
      </w:pPr>
      <w:bookmarkStart w:id="228" w:name="_Toc12214"/>
      <w:bookmarkStart w:id="229" w:name="_Toc1088"/>
      <w:r>
        <w:rPr>
          <w:rFonts w:hint="eastAsia"/>
        </w:rPr>
        <w:t>药物防控措施相关性评估</w:t>
      </w:r>
      <w:bookmarkEnd w:id="228"/>
      <w:bookmarkEnd w:id="229"/>
    </w:p>
    <w:p w14:paraId="52B74E6E">
      <w:pPr>
        <w:pStyle w:val="94"/>
        <w:bidi w:val="0"/>
        <w:rPr>
          <w:rFonts w:hint="eastAsia"/>
        </w:rPr>
      </w:pPr>
      <w:bookmarkStart w:id="230" w:name="_Toc27520"/>
      <w:r>
        <w:rPr>
          <w:rFonts w:hint="eastAsia"/>
        </w:rPr>
        <w:t>与其他防控措施的相关性</w:t>
      </w:r>
      <w:bookmarkEnd w:id="230"/>
    </w:p>
    <w:p w14:paraId="5407DC0B">
      <w:pPr>
        <w:pStyle w:val="56"/>
        <w:rPr>
          <w:rFonts w:hint="eastAsia"/>
        </w:rPr>
      </w:pPr>
      <w:r>
        <w:rPr>
          <w:rFonts w:hint="eastAsia"/>
        </w:rPr>
        <w:t>现有研究表明，药物防控与功能性离焦镜、角膜接触镜联合实施时，药物作用机制与光学防控原理具有良好适配性。可进一步评估用药剂量、疗程与光学防控镜片佩戴时长、验配参数之间的联动影响，优化联合干预方案。</w:t>
      </w:r>
    </w:p>
    <w:p w14:paraId="74425F28">
      <w:pPr>
        <w:pStyle w:val="56"/>
        <w:rPr>
          <w:rFonts w:hint="eastAsia"/>
        </w:rPr>
      </w:pPr>
      <w:r>
        <w:rPr>
          <w:rFonts w:hint="eastAsia"/>
        </w:rPr>
        <w:t>在药物防控与行为干预的相关性方面，重点明确户外活动、读写习惯等措施对药物防控效果的辅助强化作用；在药物防控与环境改造的相关性方面，评估光照强度、视距等环境指标达标情况对药物防控作用效率的支撑性关联，构建全方位、多维度的近视综合防控体系。</w:t>
      </w:r>
    </w:p>
    <w:p w14:paraId="7DB1FB11">
      <w:pPr>
        <w:pStyle w:val="94"/>
        <w:bidi w:val="0"/>
        <w:rPr>
          <w:rFonts w:hint="eastAsia"/>
        </w:rPr>
      </w:pPr>
      <w:bookmarkStart w:id="231" w:name="_Toc24197"/>
      <w:r>
        <w:rPr>
          <w:rFonts w:hint="eastAsia"/>
        </w:rPr>
        <w:t>与防控效果的相关性</w:t>
      </w:r>
      <w:bookmarkEnd w:id="231"/>
    </w:p>
    <w:p w14:paraId="7CD11458">
      <w:pPr>
        <w:pStyle w:val="56"/>
        <w:rPr>
          <w:rFonts w:hint="eastAsia"/>
        </w:rPr>
      </w:pPr>
      <w:r>
        <w:rPr>
          <w:rFonts w:hint="eastAsia"/>
        </w:rPr>
        <w:t>用药依从性与防控效果存在直接相关性。需量化分析药物防控实施强度，包括用药剂量合规率、疗程完成率、复诊方案调整及时性等指标，系统评估其与眼轴长度年增长量、屈光度进展延缓率等核心防控效果指标的关联程度，明确不同用药方案下药物防控实施与防控效果的相关特征，为个体化用药方案制定提供依据。</w:t>
      </w:r>
    </w:p>
    <w:p w14:paraId="2959BE31">
      <w:pPr>
        <w:pStyle w:val="65"/>
        <w:bidi w:val="0"/>
        <w:rPr>
          <w:rFonts w:hint="eastAsia"/>
        </w:rPr>
      </w:pPr>
      <w:bookmarkStart w:id="232" w:name="_Toc19029"/>
      <w:bookmarkStart w:id="233" w:name="_Toc24812"/>
      <w:r>
        <w:rPr>
          <w:rFonts w:hint="eastAsia"/>
        </w:rPr>
        <w:t>光学防控措施相关性评估</w:t>
      </w:r>
      <w:bookmarkEnd w:id="232"/>
      <w:bookmarkEnd w:id="233"/>
    </w:p>
    <w:p w14:paraId="421F94BB">
      <w:pPr>
        <w:pStyle w:val="94"/>
        <w:bidi w:val="0"/>
        <w:rPr>
          <w:rFonts w:hint="eastAsia"/>
        </w:rPr>
      </w:pPr>
      <w:bookmarkStart w:id="234" w:name="_Toc15035"/>
      <w:r>
        <w:rPr>
          <w:rFonts w:hint="eastAsia"/>
        </w:rPr>
        <w:t>光学防控措施间的相关性</w:t>
      </w:r>
      <w:bookmarkEnd w:id="234"/>
    </w:p>
    <w:p w14:paraId="56CF3266">
      <w:pPr>
        <w:pStyle w:val="56"/>
        <w:rPr>
          <w:rFonts w:hint="eastAsia"/>
        </w:rPr>
      </w:pPr>
      <w:r>
        <w:rPr>
          <w:rFonts w:hint="eastAsia"/>
        </w:rPr>
        <w:t>现有研究表明，不同光学防控措施因使用方式、设计原理不同，防控效果存在一定差异。需明确各类光学措施联合实施的适配场景与限制条件，避免不合理联合导致防控效果下降。</w:t>
      </w:r>
    </w:p>
    <w:p w14:paraId="033D5F88">
      <w:pPr>
        <w:pStyle w:val="94"/>
        <w:bidi w:val="0"/>
        <w:rPr>
          <w:rFonts w:hint="eastAsia"/>
        </w:rPr>
      </w:pPr>
      <w:bookmarkStart w:id="235" w:name="_Toc1719"/>
      <w:r>
        <w:rPr>
          <w:rFonts w:hint="eastAsia"/>
        </w:rPr>
        <w:t>与其他防控措施的相关性</w:t>
      </w:r>
      <w:bookmarkEnd w:id="235"/>
    </w:p>
    <w:p w14:paraId="041527E6">
      <w:pPr>
        <w:pStyle w:val="56"/>
        <w:rPr>
          <w:rFonts w:hint="eastAsia"/>
        </w:rPr>
      </w:pPr>
      <w:r>
        <w:rPr>
          <w:rFonts w:hint="eastAsia"/>
        </w:rPr>
        <w:t>分析功能性离焦镜、角膜接触镜与药物防控的联动关联，评估光学镜片佩戴参数调整与药物用药方案优化的相互影响；分析光学防控与行为干预的相关性，明确户外活动时长、读写姿势合规率等指标对光学防控佩戴依从性、防控效果稳定性的影响；分析光学防控与环境改造的相关性，评估读写环境光照、视距等指标达标情况对光学防控视觉质量的支撑作用，提升光学防控效果。</w:t>
      </w:r>
    </w:p>
    <w:p w14:paraId="515D10B6">
      <w:pPr>
        <w:pStyle w:val="94"/>
        <w:bidi w:val="0"/>
        <w:rPr>
          <w:rFonts w:hint="eastAsia"/>
        </w:rPr>
      </w:pPr>
      <w:bookmarkStart w:id="236" w:name="_Toc24876"/>
      <w:r>
        <w:rPr>
          <w:rFonts w:hint="eastAsia"/>
        </w:rPr>
        <w:t>与防控效果的相关性</w:t>
      </w:r>
      <w:bookmarkEnd w:id="236"/>
    </w:p>
    <w:p w14:paraId="0AF689B3">
      <w:pPr>
        <w:pStyle w:val="56"/>
        <w:rPr>
          <w:rFonts w:hint="eastAsia"/>
        </w:rPr>
      </w:pPr>
      <w:r>
        <w:rPr>
          <w:rFonts w:hint="eastAsia"/>
        </w:rPr>
        <w:t>量化分析功能性离焦镜、角膜接触镜的实施质量，包括验配参数准确率、每日佩戴时长达标率、定期复查完成率等指标，评估其与眼轴长度控制效果、屈光度年进展量等核心防控效果指标的关联程度，明确不同光学防控措施实施规范度与防控效果的相关特征，规范光学防控操作流程。</w:t>
      </w:r>
    </w:p>
    <w:p w14:paraId="66CFECB4">
      <w:pPr>
        <w:pStyle w:val="65"/>
        <w:bidi w:val="0"/>
        <w:rPr>
          <w:rFonts w:hint="eastAsia"/>
        </w:rPr>
      </w:pPr>
      <w:bookmarkStart w:id="237" w:name="_Toc5439"/>
      <w:bookmarkStart w:id="238" w:name="_Toc5310"/>
      <w:r>
        <w:rPr>
          <w:rFonts w:hint="eastAsia"/>
        </w:rPr>
        <w:t>行为干预防控措施相关性评估</w:t>
      </w:r>
      <w:bookmarkEnd w:id="237"/>
      <w:bookmarkEnd w:id="238"/>
    </w:p>
    <w:p w14:paraId="6C6631E7">
      <w:pPr>
        <w:pStyle w:val="94"/>
        <w:bidi w:val="0"/>
        <w:rPr>
          <w:rFonts w:hint="eastAsia"/>
        </w:rPr>
      </w:pPr>
      <w:bookmarkStart w:id="239" w:name="_Toc30368"/>
      <w:r>
        <w:rPr>
          <w:rFonts w:hint="eastAsia"/>
        </w:rPr>
        <w:t>与其他防控措施的相关性</w:t>
      </w:r>
      <w:bookmarkEnd w:id="239"/>
    </w:p>
    <w:p w14:paraId="6515069E">
      <w:pPr>
        <w:pStyle w:val="56"/>
        <w:rPr>
          <w:rFonts w:hint="eastAsia"/>
        </w:rPr>
      </w:pPr>
      <w:r>
        <w:rPr>
          <w:rFonts w:hint="eastAsia"/>
        </w:rPr>
        <w:t>行为干预是其他防控措施发挥效力的基础。良好的用眼行为（如遵守“20-20-20”法则）能显著提升角膜塑形镜或离焦镜的佩戴舒适度和视觉质量，间接提高防控效果；同时，户外活动创造的高光照环境，可增强低浓度阿托品的脉络膜增厚效应，产生生理协同作用。</w:t>
      </w:r>
    </w:p>
    <w:p w14:paraId="7C5EB572">
      <w:pPr>
        <w:pStyle w:val="56"/>
        <w:rPr>
          <w:rFonts w:hint="eastAsia"/>
        </w:rPr>
      </w:pPr>
      <w:r>
        <w:rPr>
          <w:rFonts w:hint="eastAsia"/>
        </w:rPr>
        <w:t>需分析行为干预与药物防控的相关性，明确良好用眼习惯、规律户外活动对药物防控效果的强化作用，以及不良用眼行为对药物防控效果的削弱影响；分析行为干预与光学防控的相关性，评估用眼行为规范度对功能性离焦镜、角膜接触镜佩戴依从性及防控效果的核心影响；分析行为干预与环境改造的相互支撑关联，明确环境改造为行为干预落地提供的硬件基础，以及行为干预执行效果对环境改造实际价值的提升作用，实现二者协同增效。</w:t>
      </w:r>
    </w:p>
    <w:p w14:paraId="5D879918">
      <w:pPr>
        <w:pStyle w:val="94"/>
        <w:bidi w:val="0"/>
        <w:rPr>
          <w:rFonts w:hint="eastAsia"/>
        </w:rPr>
      </w:pPr>
      <w:bookmarkStart w:id="240" w:name="_Toc19170"/>
      <w:r>
        <w:rPr>
          <w:rFonts w:hint="eastAsia"/>
        </w:rPr>
        <w:t>与防控效果的相关性</w:t>
      </w:r>
      <w:bookmarkEnd w:id="240"/>
    </w:p>
    <w:p w14:paraId="58B7C076">
      <w:pPr>
        <w:pStyle w:val="56"/>
        <w:rPr>
          <w:rFonts w:hint="eastAsia"/>
        </w:rPr>
      </w:pPr>
      <w:r>
        <w:rPr>
          <w:rFonts w:hint="eastAsia"/>
        </w:rPr>
        <w:t>量化分析行为干预实施强度，包括每日户外活动时长达标率、读写姿势合规率、近距离用眼间隔执行率等过程指标，评估其与儿童青少年个体眼轴长度、屈光度变化及群体近视新发率、进展率等结果指标的关联程度，明确行为干预各实施要素与防控效果的相关权重，优化行为干预方案。</w:t>
      </w:r>
    </w:p>
    <w:p w14:paraId="7F0381E7">
      <w:pPr>
        <w:pStyle w:val="65"/>
        <w:bidi w:val="0"/>
        <w:rPr>
          <w:rFonts w:hint="eastAsia"/>
        </w:rPr>
      </w:pPr>
      <w:bookmarkStart w:id="241" w:name="_Toc26133"/>
      <w:bookmarkStart w:id="242" w:name="_Toc20823"/>
      <w:r>
        <w:rPr>
          <w:rFonts w:hint="eastAsia"/>
        </w:rPr>
        <w:t>环境改造防控措施相关性评估</w:t>
      </w:r>
      <w:bookmarkEnd w:id="241"/>
      <w:bookmarkEnd w:id="242"/>
    </w:p>
    <w:p w14:paraId="29E0AF2E">
      <w:pPr>
        <w:pStyle w:val="94"/>
        <w:bidi w:val="0"/>
        <w:rPr>
          <w:rFonts w:hint="eastAsia"/>
        </w:rPr>
      </w:pPr>
      <w:bookmarkStart w:id="243" w:name="_Toc8571"/>
      <w:r>
        <w:rPr>
          <w:rFonts w:hint="eastAsia"/>
        </w:rPr>
        <w:t>与其他防控措施的相关性</w:t>
      </w:r>
      <w:bookmarkEnd w:id="243"/>
    </w:p>
    <w:p w14:paraId="009A42A2">
      <w:pPr>
        <w:pStyle w:val="56"/>
        <w:rPr>
          <w:rFonts w:hint="eastAsia"/>
        </w:rPr>
      </w:pPr>
      <w:r>
        <w:rPr>
          <w:rFonts w:hint="eastAsia"/>
        </w:rPr>
        <w:t>分析环境改造与药物防控的相关性，评估教室、家庭等读写环境的光照、视距、视角等指标达标情况对药物防控作用环境的优化关联，判断不良用眼环境对药物防控效果的降低影响；分析环境改造与光学防控的相关性，明确达标用眼环境对功能性离焦镜、角膜接触镜视觉质量的提升作用，减少因环境因素引发的佩戴不适；分析环境改造与行为干预的基础性关联，二者相辅相成、互为支撑，良好环境为健康用眼行为提供硬件基础，规范用眼行为可充分发挥环境改造的防控效益，需评估环境指标达标率与行为干预执行率的正向关联特征。</w:t>
      </w:r>
    </w:p>
    <w:p w14:paraId="5102A71E">
      <w:pPr>
        <w:pStyle w:val="94"/>
        <w:bidi w:val="0"/>
        <w:rPr>
          <w:rFonts w:hint="eastAsia"/>
        </w:rPr>
      </w:pPr>
      <w:bookmarkStart w:id="244" w:name="_Toc32500"/>
      <w:r>
        <w:rPr>
          <w:rFonts w:hint="eastAsia"/>
        </w:rPr>
        <w:t>与防控效果的相关性</w:t>
      </w:r>
      <w:bookmarkEnd w:id="244"/>
    </w:p>
    <w:p w14:paraId="0DB17FAA">
      <w:pPr>
        <w:pStyle w:val="56"/>
        <w:rPr>
          <w:rFonts w:hint="eastAsia"/>
        </w:rPr>
      </w:pPr>
      <w:r>
        <w:rPr>
          <w:rFonts w:hint="eastAsia"/>
        </w:rPr>
        <w:t>量化分析环境改造实施质量，包括读写环境光照达标率、读写桌椅人机工程学适配率、户外活动场地覆盖率等指标，评估其与群体儿童青少年近视新发率、进展率及个体眼轴长度、屈光度变化等防控效果指标的关联程度，明确环境改造各要素对防控效果的影响关联。</w:t>
      </w:r>
    </w:p>
    <w:p w14:paraId="1C9B69A6">
      <w:pPr>
        <w:pStyle w:val="56"/>
        <w:rPr>
          <w:rFonts w:hint="eastAsia"/>
        </w:rPr>
      </w:pPr>
      <w:r>
        <w:rPr>
          <w:rFonts w:hint="eastAsia"/>
        </w:rPr>
        <w:t>国内外研究证实，学校采光照明、课桌椅适配率等环境指标达标程度，与学生近视新发率及年均进展速度存在统计学关联；符合人机工程学的课桌椅可降低学生不良坐姿发生率，进而发挥减缓近视进展的作用。</w:t>
      </w:r>
    </w:p>
    <w:p w14:paraId="19D3C747">
      <w:pPr>
        <w:pStyle w:val="65"/>
        <w:bidi w:val="0"/>
        <w:rPr>
          <w:rFonts w:hint="eastAsia"/>
        </w:rPr>
      </w:pPr>
      <w:bookmarkStart w:id="245" w:name="_Toc21385"/>
      <w:bookmarkStart w:id="246" w:name="_Toc6421"/>
      <w:r>
        <w:rPr>
          <w:rFonts w:hint="eastAsia"/>
        </w:rPr>
        <w:t>多防控措施联合实施相关性评估</w:t>
      </w:r>
      <w:bookmarkEnd w:id="245"/>
      <w:bookmarkEnd w:id="246"/>
    </w:p>
    <w:p w14:paraId="59785E7E">
      <w:pPr>
        <w:pStyle w:val="56"/>
        <w:rPr>
          <w:rFonts w:hint="eastAsia"/>
        </w:rPr>
      </w:pPr>
      <w:r>
        <w:rPr>
          <w:rFonts w:hint="eastAsia"/>
        </w:rPr>
        <w:t>针对药物+光学、光学+行为+环境、药物+行为+光学等常见联合实施场景，系统分析不同组合方式下各类措施间的协同或拮抗关联特征：联合方案通常体现“1+1＞2”的协同效应，如临床观察显示，“角膜塑形镜+0.01%阿托品”联合方案在控制眼轴长度增长方面效果优于任一单一措施；同时需警惕潜在拮抗作用，如某些抗疲劳或渐进多焦点眼镜与离焦设计镜片不当组合，可能干扰主导离焦信号，降低防控效果。</w:t>
      </w:r>
    </w:p>
    <w:p w14:paraId="4413D119">
      <w:pPr>
        <w:pStyle w:val="56"/>
        <w:rPr>
          <w:rFonts w:hint="eastAsia"/>
        </w:rPr>
      </w:pPr>
      <w:r>
        <w:rPr>
          <w:rFonts w:hint="eastAsia"/>
        </w:rPr>
        <w:t>评估联合实施的整体实施强度、各措施执行适配度与综合防控效果的关联程度，明确不同联合组合的相关性优势、适用人群及场景，判断组合中是否存在某类措施的实施效果因其他措施影响而被削弱的情况，优化联合防控方案。</w:t>
      </w:r>
    </w:p>
    <w:p w14:paraId="3DC6AEA2">
      <w:pPr>
        <w:pStyle w:val="65"/>
        <w:bidi w:val="0"/>
        <w:rPr>
          <w:rFonts w:hint="eastAsia"/>
        </w:rPr>
      </w:pPr>
      <w:bookmarkStart w:id="247" w:name="_Toc19135"/>
      <w:bookmarkStart w:id="248" w:name="_Toc701"/>
      <w:r>
        <w:rPr>
          <w:rFonts w:hint="eastAsia"/>
        </w:rPr>
        <w:t>相关性评估结果判定</w:t>
      </w:r>
      <w:bookmarkEnd w:id="247"/>
      <w:bookmarkEnd w:id="248"/>
    </w:p>
    <w:p w14:paraId="6DF10644">
      <w:pPr>
        <w:pStyle w:val="56"/>
        <w:rPr>
          <w:rFonts w:hint="eastAsia"/>
        </w:rPr>
      </w:pPr>
      <w:r>
        <w:rPr>
          <w:rFonts w:hint="eastAsia"/>
        </w:rPr>
        <w:t>根据定量统计学分析结果，明确各类防控措施间及单一措施与防控效果间的相关系数范围，</w:t>
      </w:r>
      <w:r>
        <w:rPr>
          <w:rFonts w:hint="eastAsia"/>
          <w:lang w:eastAsia="zh-CN"/>
        </w:rPr>
        <w:t>本文件</w:t>
      </w:r>
      <w:r>
        <w:rPr>
          <w:rFonts w:hint="eastAsia"/>
        </w:rPr>
        <w:t>量化判定标准为：相关系数|r|≥0.5判定为强相关，0.3≤|r|＜0.5为中等相关，|r|＜0.3为弱相关。例如，多项研究证实，户外活动时长与近视发病率呈中等至强负相关（|r|值约在-0.3至-0.6之间）。</w:t>
      </w:r>
    </w:p>
    <w:p w14:paraId="3F38724D">
      <w:pPr>
        <w:pStyle w:val="56"/>
        <w:rPr>
          <w:rFonts w:hint="eastAsia"/>
        </w:rPr>
      </w:pPr>
      <w:r>
        <w:rPr>
          <w:rFonts w:hint="eastAsia"/>
        </w:rPr>
        <w:t>结合儿童青少年近视防控实操场景的定性分析，判定防控措施间的关联类型为协同、拮抗、互补或无明显关联；综合定量与定性分析结果，形成标准化的相关性判定结论，明确各防控措施相关性的实际应用价值，并给出适配建议，如“优先推荐药物与光学联合用于快速进展性近视”，明确不同场景下的防控措施组合方案。</w:t>
      </w:r>
    </w:p>
    <w:p w14:paraId="2BD8B59F">
      <w:pPr>
        <w:pStyle w:val="104"/>
        <w:bidi w:val="0"/>
        <w:rPr>
          <w:rFonts w:hint="eastAsia"/>
        </w:rPr>
      </w:pPr>
      <w:bookmarkStart w:id="249" w:name="_Toc4718"/>
      <w:bookmarkStart w:id="250" w:name="_Toc20909"/>
      <w:bookmarkStart w:id="251" w:name="_Toc18610"/>
      <w:bookmarkStart w:id="252" w:name="_Toc9279"/>
      <w:r>
        <w:rPr>
          <w:rFonts w:hint="eastAsia"/>
        </w:rPr>
        <w:t>评估流程与方法</w:t>
      </w:r>
      <w:bookmarkEnd w:id="249"/>
      <w:bookmarkEnd w:id="250"/>
      <w:bookmarkEnd w:id="251"/>
      <w:bookmarkEnd w:id="252"/>
    </w:p>
    <w:p w14:paraId="7144EC99">
      <w:pPr>
        <w:pStyle w:val="105"/>
        <w:bidi w:val="0"/>
        <w:rPr>
          <w:rFonts w:hint="eastAsia"/>
        </w:rPr>
      </w:pPr>
      <w:bookmarkStart w:id="253" w:name="_Toc28493"/>
      <w:bookmarkStart w:id="254" w:name="_Toc12536"/>
      <w:bookmarkStart w:id="255" w:name="_Toc20191"/>
      <w:r>
        <w:rPr>
          <w:rFonts w:hint="eastAsia"/>
        </w:rPr>
        <w:t>评估设计</w:t>
      </w:r>
      <w:bookmarkEnd w:id="253"/>
      <w:bookmarkEnd w:id="254"/>
      <w:bookmarkEnd w:id="255"/>
    </w:p>
    <w:p w14:paraId="7DA10832">
      <w:pPr>
        <w:pStyle w:val="65"/>
        <w:bidi w:val="0"/>
        <w:rPr>
          <w:rFonts w:hint="eastAsia"/>
        </w:rPr>
      </w:pPr>
      <w:bookmarkStart w:id="256" w:name="_Toc19646"/>
      <w:bookmarkStart w:id="257" w:name="_Toc20738"/>
      <w:r>
        <w:rPr>
          <w:rFonts w:hint="eastAsia"/>
        </w:rPr>
        <w:t>评估目的和目标</w:t>
      </w:r>
      <w:bookmarkEnd w:id="256"/>
      <w:bookmarkEnd w:id="257"/>
    </w:p>
    <w:p w14:paraId="1F04A5F6">
      <w:pPr>
        <w:pStyle w:val="56"/>
        <w:rPr>
          <w:rFonts w:hint="eastAsia"/>
        </w:rPr>
      </w:pPr>
      <w:r>
        <w:rPr>
          <w:rFonts w:hint="eastAsia"/>
        </w:rPr>
        <w:t>评估目的：评估儿童青少年近视防控综合干预措施的有效性、可行性、依从性与卫生经济学效益，明确干预措施对近视新发、近视进展、眼轴发育、用眼行为的改善作用。</w:t>
      </w:r>
    </w:p>
    <w:p w14:paraId="4D6DFBC3">
      <w:pPr>
        <w:pStyle w:val="56"/>
        <w:rPr>
          <w:rFonts w:hint="eastAsia"/>
        </w:rPr>
      </w:pPr>
      <w:r>
        <w:rPr>
          <w:rFonts w:hint="eastAsia"/>
        </w:rPr>
        <w:t>评估核心目标，包括但不限于：</w:t>
      </w:r>
    </w:p>
    <w:p w14:paraId="67F7C272">
      <w:pPr>
        <w:pStyle w:val="56"/>
        <w:rPr>
          <w:rFonts w:hint="eastAsia"/>
        </w:rPr>
      </w:pPr>
      <w:r>
        <w:rPr>
          <w:rFonts w:hint="eastAsia"/>
        </w:rPr>
        <w:t>•a）评估防控干预措施对近视发生率、进展率、有效率的影响；</w:t>
      </w:r>
    </w:p>
    <w:p w14:paraId="323CBF16">
      <w:pPr>
        <w:pStyle w:val="56"/>
        <w:rPr>
          <w:rFonts w:hint="eastAsia"/>
        </w:rPr>
      </w:pPr>
      <w:r>
        <w:rPr>
          <w:rFonts w:hint="eastAsia"/>
        </w:rPr>
        <w:t>•b）分析不同干预措施在不同群体（年龄、性别、地域等）中的效果差异；</w:t>
      </w:r>
    </w:p>
    <w:p w14:paraId="42BEBB95">
      <w:pPr>
        <w:pStyle w:val="56"/>
        <w:rPr>
          <w:rFonts w:hint="eastAsia"/>
        </w:rPr>
      </w:pPr>
      <w:r>
        <w:rPr>
          <w:rFonts w:hint="eastAsia"/>
        </w:rPr>
        <w:t>•c）评估干预措施的可行性、接受度及可持续性。</w:t>
      </w:r>
    </w:p>
    <w:p w14:paraId="45606838">
      <w:pPr>
        <w:pStyle w:val="65"/>
        <w:bidi w:val="0"/>
        <w:rPr>
          <w:rFonts w:hint="eastAsia"/>
        </w:rPr>
      </w:pPr>
      <w:bookmarkStart w:id="258" w:name="_Toc4208"/>
      <w:bookmarkStart w:id="259" w:name="_Toc12415"/>
      <w:r>
        <w:rPr>
          <w:rFonts w:hint="eastAsia"/>
        </w:rPr>
        <w:t>评估类型</w:t>
      </w:r>
      <w:bookmarkEnd w:id="258"/>
      <w:bookmarkEnd w:id="259"/>
    </w:p>
    <w:p w14:paraId="1C229D72">
      <w:pPr>
        <w:pStyle w:val="56"/>
        <w:rPr>
          <w:rFonts w:hint="eastAsia"/>
        </w:rPr>
      </w:pPr>
      <w:r>
        <w:rPr>
          <w:rFonts w:hint="eastAsia"/>
        </w:rPr>
        <w:t>根据评估目的选择适宜的评估类型：</w:t>
      </w:r>
    </w:p>
    <w:p w14:paraId="0436D97E">
      <w:pPr>
        <w:pStyle w:val="56"/>
        <w:rPr>
          <w:rFonts w:hint="eastAsia"/>
        </w:rPr>
      </w:pPr>
      <w:r>
        <w:rPr>
          <w:rFonts w:hint="eastAsia"/>
        </w:rPr>
        <w:t>•a）随机对照试验（RCT）：适用于干预措施因果效应评估，可明确干预措施的真实效果；</w:t>
      </w:r>
    </w:p>
    <w:p w14:paraId="391AFAA0">
      <w:pPr>
        <w:pStyle w:val="56"/>
        <w:rPr>
          <w:rFonts w:hint="eastAsia"/>
        </w:rPr>
      </w:pPr>
      <w:r>
        <w:rPr>
          <w:rFonts w:hint="eastAsia"/>
        </w:rPr>
        <w:t>•b）前瞻性队列研究：适用于长期效果评估，可追踪干预措施的长期影响；</w:t>
      </w:r>
    </w:p>
    <w:p w14:paraId="50365FCB">
      <w:pPr>
        <w:pStyle w:val="56"/>
        <w:rPr>
          <w:rFonts w:hint="eastAsia"/>
        </w:rPr>
      </w:pPr>
      <w:r>
        <w:rPr>
          <w:rFonts w:hint="eastAsia"/>
        </w:rPr>
        <w:t>•c）横断面调查：适用于近视防控现况及关联因素分析，掌握当前防控现状；</w:t>
      </w:r>
    </w:p>
    <w:p w14:paraId="2AB78233">
      <w:pPr>
        <w:pStyle w:val="56"/>
        <w:rPr>
          <w:rFonts w:hint="eastAsia"/>
        </w:rPr>
      </w:pPr>
      <w:r>
        <w:rPr>
          <w:rFonts w:hint="eastAsia"/>
        </w:rPr>
        <w:t>•d）前后对照研究：适用于短期效果评估，对比干预前后相关指标变化，明确短期干预效果。</w:t>
      </w:r>
    </w:p>
    <w:p w14:paraId="5A9034DD">
      <w:pPr>
        <w:pStyle w:val="65"/>
        <w:bidi w:val="0"/>
        <w:rPr>
          <w:rFonts w:hint="eastAsia"/>
        </w:rPr>
      </w:pPr>
      <w:bookmarkStart w:id="260" w:name="_Toc18517"/>
      <w:bookmarkStart w:id="261" w:name="_Toc23795"/>
      <w:r>
        <w:rPr>
          <w:rFonts w:hint="eastAsia"/>
        </w:rPr>
        <w:t>研究对象与样本量</w:t>
      </w:r>
      <w:bookmarkEnd w:id="260"/>
      <w:bookmarkEnd w:id="261"/>
    </w:p>
    <w:p w14:paraId="39BFAB33">
      <w:pPr>
        <w:pStyle w:val="56"/>
        <w:rPr>
          <w:rFonts w:hint="eastAsia"/>
        </w:rPr>
      </w:pPr>
      <w:r>
        <w:rPr>
          <w:rFonts w:hint="eastAsia"/>
        </w:rPr>
        <w:t>研究对象应涵盖不同地域（城市、农村）、不同学校类型（小学、初中）的儿童青少年，确保样本代表性；样本量需通过统计学方法估算，结合评估类型、预期效应大小、检验水准等因素，确保评估结果具有统计学推断效力。</w:t>
      </w:r>
    </w:p>
    <w:p w14:paraId="279F0410">
      <w:pPr>
        <w:pStyle w:val="65"/>
        <w:bidi w:val="0"/>
        <w:rPr>
          <w:rFonts w:hint="eastAsia"/>
        </w:rPr>
      </w:pPr>
      <w:bookmarkStart w:id="262" w:name="_Toc23219"/>
      <w:bookmarkStart w:id="263" w:name="_Toc26103"/>
      <w:r>
        <w:rPr>
          <w:rFonts w:hint="eastAsia"/>
        </w:rPr>
        <w:t>评估指标</w:t>
      </w:r>
      <w:bookmarkEnd w:id="262"/>
      <w:bookmarkEnd w:id="263"/>
    </w:p>
    <w:p w14:paraId="69FA7A98">
      <w:pPr>
        <w:pStyle w:val="56"/>
        <w:rPr>
          <w:rFonts w:hint="eastAsia"/>
        </w:rPr>
      </w:pPr>
      <w:r>
        <w:rPr>
          <w:rFonts w:hint="eastAsia"/>
        </w:rPr>
        <w:t>评估指标分为主要结局指标、次要结局指标、过程指标及环境指标，具体如下：</w:t>
      </w:r>
    </w:p>
    <w:p w14:paraId="41E1675C">
      <w:pPr>
        <w:pStyle w:val="56"/>
        <w:rPr>
          <w:rFonts w:hint="eastAsia"/>
        </w:rPr>
      </w:pPr>
      <w:r>
        <w:rPr>
          <w:rFonts w:hint="eastAsia"/>
        </w:rPr>
        <w:t>•a）主要结局指标：近视发生率、近视进展率（屈光度变化/年）、眼轴长度变化、轴率比（AL/CR）变化等；</w:t>
      </w:r>
    </w:p>
    <w:p w14:paraId="1A7E7290">
      <w:pPr>
        <w:pStyle w:val="56"/>
        <w:rPr>
          <w:rFonts w:hint="eastAsia"/>
        </w:rPr>
      </w:pPr>
      <w:r>
        <w:rPr>
          <w:rFonts w:hint="eastAsia"/>
        </w:rPr>
        <w:t>•b）次要结局指标：干预措施覆盖率、依从率、满意度、卫生经济学效益等；</w:t>
      </w:r>
    </w:p>
    <w:p w14:paraId="21F0CD87">
      <w:pPr>
        <w:pStyle w:val="56"/>
        <w:rPr>
          <w:rFonts w:hint="eastAsia"/>
        </w:rPr>
      </w:pPr>
      <w:r>
        <w:rPr>
          <w:rFonts w:hint="eastAsia"/>
        </w:rPr>
        <w:t>•c）过程指标：干预执行率、学生用眼行为依从率、近视防控知识知晓率、家庭配合度等；</w:t>
      </w:r>
    </w:p>
    <w:p w14:paraId="55637487">
      <w:pPr>
        <w:pStyle w:val="56"/>
        <w:rPr>
          <w:rFonts w:hint="eastAsia"/>
        </w:rPr>
      </w:pPr>
      <w:r>
        <w:rPr>
          <w:rFonts w:hint="eastAsia"/>
        </w:rPr>
        <w:t>•d）环境指标：教室采光照明达标率、课桌椅匹配度、校内电子产品使用时长、家庭读写环境达标率等。</w:t>
      </w:r>
    </w:p>
    <w:p w14:paraId="7E9EC948">
      <w:pPr>
        <w:pStyle w:val="65"/>
        <w:bidi w:val="0"/>
        <w:rPr>
          <w:rFonts w:hint="eastAsia"/>
        </w:rPr>
      </w:pPr>
      <w:bookmarkStart w:id="264" w:name="_Toc4688"/>
      <w:bookmarkStart w:id="265" w:name="_Toc27786"/>
      <w:r>
        <w:rPr>
          <w:rFonts w:hint="eastAsia"/>
        </w:rPr>
        <w:t>评估周期</w:t>
      </w:r>
      <w:bookmarkEnd w:id="264"/>
      <w:bookmarkEnd w:id="265"/>
    </w:p>
    <w:p w14:paraId="128B776D">
      <w:pPr>
        <w:pStyle w:val="56"/>
        <w:rPr>
          <w:rFonts w:hint="eastAsia"/>
        </w:rPr>
      </w:pPr>
      <w:r>
        <w:rPr>
          <w:rFonts w:hint="eastAsia"/>
        </w:rPr>
        <w:t>根据干预类型及评估目的，设定不同评估周期：</w:t>
      </w:r>
    </w:p>
    <w:p w14:paraId="370BB242">
      <w:pPr>
        <w:pStyle w:val="56"/>
        <w:rPr>
          <w:rFonts w:hint="eastAsia"/>
        </w:rPr>
      </w:pPr>
      <w:r>
        <w:rPr>
          <w:rFonts w:hint="eastAsia"/>
        </w:rPr>
        <w:t>•a）短期评估：＜1年，主要评估干预措施的短期效果及可行性；</w:t>
      </w:r>
    </w:p>
    <w:p w14:paraId="1314D018">
      <w:pPr>
        <w:pStyle w:val="56"/>
        <w:rPr>
          <w:rFonts w:hint="eastAsia"/>
        </w:rPr>
      </w:pPr>
      <w:r>
        <w:rPr>
          <w:rFonts w:hint="eastAsia"/>
        </w:rPr>
        <w:t>•b）中期评估：1~3年，主要评估干预措施的中期效果及稳定性；</w:t>
      </w:r>
    </w:p>
    <w:p w14:paraId="267AE964">
      <w:pPr>
        <w:pStyle w:val="56"/>
        <w:rPr>
          <w:rFonts w:hint="eastAsia"/>
        </w:rPr>
      </w:pPr>
      <w:r>
        <w:rPr>
          <w:rFonts w:hint="eastAsia"/>
        </w:rPr>
        <w:t>•c）长期评估：＞3年，主要评估干预措施的长期效果、稳定性及安全性。</w:t>
      </w:r>
    </w:p>
    <w:p w14:paraId="02BC2DFE">
      <w:pPr>
        <w:pStyle w:val="105"/>
        <w:bidi w:val="0"/>
        <w:rPr>
          <w:rFonts w:hint="eastAsia"/>
        </w:rPr>
      </w:pPr>
      <w:bookmarkStart w:id="266" w:name="_Toc14065"/>
      <w:bookmarkStart w:id="267" w:name="_Toc8055"/>
      <w:bookmarkStart w:id="268" w:name="_Toc25868"/>
      <w:r>
        <w:rPr>
          <w:rFonts w:hint="eastAsia"/>
        </w:rPr>
        <w:t>数据收集</w:t>
      </w:r>
      <w:bookmarkEnd w:id="266"/>
      <w:bookmarkEnd w:id="267"/>
      <w:bookmarkEnd w:id="268"/>
    </w:p>
    <w:p w14:paraId="2EB9637F">
      <w:pPr>
        <w:pStyle w:val="65"/>
        <w:bidi w:val="0"/>
        <w:rPr>
          <w:rFonts w:hint="eastAsia"/>
        </w:rPr>
      </w:pPr>
      <w:bookmarkStart w:id="269" w:name="_Toc13414"/>
      <w:bookmarkStart w:id="270" w:name="_Toc7070"/>
      <w:r>
        <w:rPr>
          <w:rFonts w:hint="eastAsia"/>
        </w:rPr>
        <w:t>数据来源</w:t>
      </w:r>
      <w:bookmarkEnd w:id="269"/>
      <w:bookmarkEnd w:id="270"/>
    </w:p>
    <w:p w14:paraId="70714D5B">
      <w:pPr>
        <w:pStyle w:val="56"/>
        <w:rPr>
          <w:rFonts w:hint="eastAsia"/>
        </w:rPr>
      </w:pPr>
      <w:r>
        <w:rPr>
          <w:rFonts w:hint="eastAsia"/>
        </w:rPr>
        <w:t>数据来源主要包括以下三类：</w:t>
      </w:r>
    </w:p>
    <w:p w14:paraId="49049AC8">
      <w:pPr>
        <w:pStyle w:val="56"/>
        <w:rPr>
          <w:rFonts w:hint="eastAsia"/>
        </w:rPr>
      </w:pPr>
      <w:r>
        <w:rPr>
          <w:rFonts w:hint="eastAsia"/>
        </w:rPr>
        <w:t>•a）基本数据：人口学信息、儿童青少年基本情况、监护人近视情况、既往眼病史等；</w:t>
      </w:r>
    </w:p>
    <w:p w14:paraId="3D942799">
      <w:pPr>
        <w:pStyle w:val="56"/>
        <w:rPr>
          <w:rFonts w:hint="eastAsia"/>
        </w:rPr>
      </w:pPr>
      <w:r>
        <w:rPr>
          <w:rFonts w:hint="eastAsia"/>
        </w:rPr>
        <w:t>•b）临床检测数据：通过专业眼科设备检测获取的眼轴长度、屈光度、角膜曲率、轴率比（AL/CR）、泪膜功能、角膜健康状态、眼底情况等眼部相关指标数据，需严格按照规范操作流程检测，确保数据精准可重复；</w:t>
      </w:r>
    </w:p>
    <w:p w14:paraId="5FAC1325">
      <w:pPr>
        <w:pStyle w:val="56"/>
        <w:rPr>
          <w:rFonts w:hint="eastAsia"/>
        </w:rPr>
      </w:pPr>
      <w:r>
        <w:rPr>
          <w:rFonts w:hint="eastAsia"/>
        </w:rPr>
        <w:t>•c）干预相关数据：干预措施执行情况（如光学镜片佩戴时长、药物使用合规率、户外活动时长、近距离用眼时长等）、干预过程中的依从性数据、不良事件发生情况及处理记录、随访复查数据等；</w:t>
      </w:r>
    </w:p>
    <w:p w14:paraId="2D6786F7">
      <w:pPr>
        <w:pStyle w:val="56"/>
        <w:rPr>
          <w:rFonts w:hint="eastAsia"/>
        </w:rPr>
      </w:pPr>
      <w:r>
        <w:rPr>
          <w:rFonts w:hint="eastAsia"/>
        </w:rPr>
        <w:t>•d）环境与行为数据：教室采光照明参数、课桌椅适配情况、家庭读写环境达标情况、儿童青少年用眼行为（读写姿势、电子产品使用时长）、户外活动落实情况等；</w:t>
      </w:r>
    </w:p>
    <w:p w14:paraId="407C671B">
      <w:pPr>
        <w:pStyle w:val="56"/>
        <w:rPr>
          <w:rFonts w:hint="eastAsia"/>
        </w:rPr>
      </w:pPr>
      <w:r>
        <w:rPr>
          <w:rFonts w:hint="eastAsia"/>
        </w:rPr>
        <w:t>•e）问卷与访谈数据：通过标准化问卷、结构化访谈获取的儿童青少年及监护人近视防控知识知晓率、干预措施满意度、家庭配合度、干预措施接受度等主观性数据。</w:t>
      </w:r>
    </w:p>
    <w:p w14:paraId="400E45BA">
      <w:pPr>
        <w:pStyle w:val="56"/>
        <w:rPr>
          <w:rFonts w:hint="eastAsia"/>
        </w:rPr>
      </w:pPr>
      <w:r>
        <w:rPr>
          <w:rFonts w:hint="eastAsia"/>
        </w:rPr>
        <w:t>8.2.2 数据收集方法</w:t>
      </w:r>
    </w:p>
    <w:p w14:paraId="6D9EA302">
      <w:pPr>
        <w:pStyle w:val="56"/>
        <w:rPr>
          <w:rFonts w:hint="eastAsia"/>
        </w:rPr>
      </w:pPr>
      <w:r>
        <w:rPr>
          <w:rFonts w:hint="eastAsia"/>
        </w:rPr>
        <w:t>数据收集需遵循科学、规范、可操作的原则，结合数据类型采用对应收集方法，确保数据真实性、完整性和规范性，具体如下：</w:t>
      </w:r>
    </w:p>
    <w:p w14:paraId="6285ABCE">
      <w:pPr>
        <w:pStyle w:val="56"/>
        <w:rPr>
          <w:rFonts w:hint="eastAsia"/>
        </w:rPr>
      </w:pPr>
      <w:r>
        <w:rPr>
          <w:rFonts w:hint="eastAsia"/>
        </w:rPr>
        <w:t>•a）临床检测法：由具备资质的眼视光专业人员，使用符合国家标准的检测设备（如光学生物测量仪、睫状肌麻痹验光设备、角膜曲率计等），按照YY/T 0606.1-2011、YY/T 0734.1-2009等规范要求，对儿童青少年眼部指标进行统一检测，同步填写检测记录表，明确检测时间、检测人员、设备型号及检测结果，确保检测数据可追溯；</w:t>
      </w:r>
    </w:p>
    <w:p w14:paraId="2B825B87">
      <w:pPr>
        <w:pStyle w:val="56"/>
        <w:rPr>
          <w:rFonts w:hint="eastAsia"/>
        </w:rPr>
      </w:pPr>
      <w:r>
        <w:rPr>
          <w:rFonts w:hint="eastAsia"/>
        </w:rPr>
        <w:t>•b）问卷调查法：设计标准化调查问卷，涵盖人口学信息、用眼行为、干预依从性、知识知晓率、满意度等内容，采用线上或线下填写方式，由儿童青少年及监护人如实填写，回收后及时核对，剔除填写不完整、逻辑矛盾的问卷，确保问卷有效率；</w:t>
      </w:r>
    </w:p>
    <w:p w14:paraId="33477DB9">
      <w:pPr>
        <w:pStyle w:val="56"/>
        <w:rPr>
          <w:rFonts w:hint="eastAsia"/>
        </w:rPr>
      </w:pPr>
      <w:r>
        <w:rPr>
          <w:rFonts w:hint="eastAsia"/>
        </w:rPr>
        <w:t>•c）现场核查法：组织专业评估人员定期前往学校、家庭及社区，现场核查干预措施执行情况（如教室采光照明达标情况、课桌椅适配度、学生户外活动落实情况等），同步记录核查结果，拍摄现场照片或视频作为佐证资料；</w:t>
      </w:r>
    </w:p>
    <w:p w14:paraId="018D07D6">
      <w:pPr>
        <w:pStyle w:val="56"/>
        <w:rPr>
          <w:rFonts w:hint="eastAsia"/>
        </w:rPr>
      </w:pPr>
      <w:r>
        <w:rPr>
          <w:rFonts w:hint="eastAsia"/>
        </w:rPr>
        <w:t>•d）访谈法：采用结构化访谈方式，针对儿童青少年、监护人、学校校医、班主任及医疗干预人员，了解干预措施实施过程中的难点、问题及建议，详细记录访谈内容，整理形成访谈纪要；</w:t>
      </w:r>
    </w:p>
    <w:p w14:paraId="2897CFE6">
      <w:pPr>
        <w:pStyle w:val="56"/>
        <w:rPr>
          <w:rFonts w:hint="eastAsia"/>
        </w:rPr>
      </w:pPr>
      <w:r>
        <w:rPr>
          <w:rFonts w:hint="eastAsia"/>
        </w:rPr>
        <w:t>•e）档案查阅法：查阅儿童青少年屈光发育档案、学校近视防控工作台账、医疗干预病历、随访记录等相关档案资料，提取所需数据，确保数据与实际干预情况一致；</w:t>
      </w:r>
    </w:p>
    <w:p w14:paraId="28B349C0">
      <w:pPr>
        <w:pStyle w:val="56"/>
        <w:rPr>
          <w:rFonts w:hint="eastAsia"/>
        </w:rPr>
      </w:pPr>
      <w:r>
        <w:rPr>
          <w:rFonts w:hint="eastAsia"/>
        </w:rPr>
        <w:t>•f）智能监测法：借助智能设备（如测光手环、智能台灯、电子屈光发育档案系统等），实时采集儿童青少年户外活动时长、用眼时长、读写姿势等数据，实现数据自动记录、同步上传，减少人工记录误差。</w:t>
      </w:r>
    </w:p>
    <w:p w14:paraId="1ECD82CD">
      <w:pPr>
        <w:pStyle w:val="56"/>
        <w:rPr>
          <w:rFonts w:hint="eastAsia"/>
        </w:rPr>
      </w:pPr>
      <w:r>
        <w:rPr>
          <w:rFonts w:hint="eastAsia"/>
        </w:rPr>
        <w:t>8.2.3 数据收集要求</w:t>
      </w:r>
    </w:p>
    <w:p w14:paraId="0679AA34">
      <w:pPr>
        <w:pStyle w:val="56"/>
        <w:rPr>
          <w:rFonts w:hint="eastAsia"/>
        </w:rPr>
      </w:pPr>
      <w:r>
        <w:rPr>
          <w:rFonts w:hint="eastAsia"/>
        </w:rPr>
        <w:t>•a）统一性要求：所有数据收集人员需经过专业培训，明确收集标准、操作流程及填写规范，统一检测方法、问卷填写说明及核查标准，避免因人员操作差异导致数据偏差；</w:t>
      </w:r>
    </w:p>
    <w:p w14:paraId="6A683C06">
      <w:pPr>
        <w:pStyle w:val="56"/>
        <w:rPr>
          <w:rFonts w:hint="eastAsia"/>
        </w:rPr>
      </w:pPr>
      <w:r>
        <w:rPr>
          <w:rFonts w:hint="eastAsia"/>
        </w:rPr>
        <w:t>•b）及时性要求：按照评估周期，按时完成各类数据收集工作，临床检测数据、随访数据需在检测或随访结束后24小时内完成记录与录入，问卷、访谈及现场核查数据需在收集完成后3个工作日内完成整理核对；</w:t>
      </w:r>
    </w:p>
    <w:p w14:paraId="59522924">
      <w:pPr>
        <w:pStyle w:val="56"/>
        <w:rPr>
          <w:rFonts w:hint="eastAsia"/>
        </w:rPr>
      </w:pPr>
      <w:r>
        <w:rPr>
          <w:rFonts w:hint="eastAsia"/>
        </w:rPr>
        <w:t>•c）完整性要求：确保收集的数据全面、完整，无缺失、无遗漏，重点关注核心指标（眼轴长度、屈光度等）的数据完整性，对缺失数据需及时补充核查，无法补充的需注明原因；</w:t>
      </w:r>
    </w:p>
    <w:p w14:paraId="62B0AC49">
      <w:pPr>
        <w:pStyle w:val="56"/>
        <w:rPr>
          <w:rFonts w:hint="eastAsia"/>
        </w:rPr>
      </w:pPr>
      <w:r>
        <w:rPr>
          <w:rFonts w:hint="eastAsia"/>
        </w:rPr>
        <w:t>•d）真实性要求：建立数据核查机制，定期对收集的数据进行抽查核对，核查数据填写的真实性、准确性，杜绝虚假数据、伪造记录，确保数据能够真实反映干预效果及防控现状；</w:t>
      </w:r>
    </w:p>
    <w:p w14:paraId="10911A4C">
      <w:pPr>
        <w:pStyle w:val="56"/>
        <w:rPr>
          <w:rFonts w:hint="eastAsia"/>
        </w:rPr>
      </w:pPr>
      <w:r>
        <w:rPr>
          <w:rFonts w:hint="eastAsia"/>
        </w:rPr>
        <w:t>•e）隐私保护要求：收集儿童青少年个人信息、眼部检测数据等敏感信息时，需严格遵守隐私保护相关规定，对数据进行加密存储，严禁泄露个人隐私，仅用于近视防控效果评估工作。</w:t>
      </w:r>
    </w:p>
    <w:p w14:paraId="1FEA0CA9">
      <w:pPr>
        <w:pStyle w:val="105"/>
        <w:bidi w:val="0"/>
        <w:rPr>
          <w:rFonts w:hint="eastAsia"/>
        </w:rPr>
      </w:pPr>
      <w:bookmarkStart w:id="271" w:name="_Toc12552"/>
      <w:bookmarkStart w:id="272" w:name="_Toc20664"/>
      <w:bookmarkStart w:id="273" w:name="_Toc28098"/>
      <w:r>
        <w:rPr>
          <w:rFonts w:hint="eastAsia"/>
        </w:rPr>
        <w:t>数据管理</w:t>
      </w:r>
      <w:bookmarkEnd w:id="271"/>
      <w:bookmarkEnd w:id="272"/>
      <w:bookmarkEnd w:id="273"/>
    </w:p>
    <w:p w14:paraId="40D55457">
      <w:pPr>
        <w:pStyle w:val="65"/>
        <w:bidi w:val="0"/>
        <w:rPr>
          <w:rFonts w:hint="eastAsia"/>
        </w:rPr>
      </w:pPr>
      <w:bookmarkStart w:id="274" w:name="_Toc20289"/>
      <w:bookmarkStart w:id="275" w:name="_Toc32165"/>
      <w:r>
        <w:rPr>
          <w:rFonts w:hint="eastAsia"/>
        </w:rPr>
        <w:t>数据录入与整理</w:t>
      </w:r>
      <w:bookmarkEnd w:id="274"/>
      <w:bookmarkEnd w:id="275"/>
    </w:p>
    <w:p w14:paraId="322A2C3A">
      <w:pPr>
        <w:pStyle w:val="56"/>
        <w:rPr>
          <w:rFonts w:hint="eastAsia"/>
        </w:rPr>
      </w:pPr>
      <w:r>
        <w:rPr>
          <w:rFonts w:hint="eastAsia"/>
        </w:rPr>
        <w:t>建立标准化数据录入流程，采用统一的电子数据管理系统，由专人负责数据录入工作。录入前需对收集的原始数据进行整理、核对，剔除无效数据；录入过程中严格按照原始记录如实录入，避免录入错误，录入完成后需进行双人核对，确保录入数据与原始数据一致。</w:t>
      </w:r>
    </w:p>
    <w:p w14:paraId="16DE29A1">
      <w:pPr>
        <w:pStyle w:val="56"/>
        <w:rPr>
          <w:rFonts w:hint="eastAsia"/>
        </w:rPr>
      </w:pPr>
      <w:r>
        <w:rPr>
          <w:rFonts w:hint="eastAsia"/>
        </w:rPr>
        <w:t>对录入的数据进行规范化整理，按照评估指标分类归档，明确数据来源、收集时间、收集人员等信息，建立数据字典，统一数据编码及命名规则，确保数据的规范性和可追溯性。对定量数据（如眼轴长度、屈光度等）进行标准化换算，对定性数据（如干预依从性、满意度等）进行编码处理，便于后续统计分析。</w:t>
      </w:r>
    </w:p>
    <w:p w14:paraId="72FC7A1D">
      <w:pPr>
        <w:pStyle w:val="65"/>
        <w:bidi w:val="0"/>
        <w:rPr>
          <w:rFonts w:hint="eastAsia"/>
        </w:rPr>
      </w:pPr>
      <w:bookmarkStart w:id="276" w:name="_Toc24563"/>
      <w:bookmarkStart w:id="277" w:name="_Toc29030"/>
      <w:r>
        <w:rPr>
          <w:rFonts w:hint="eastAsia"/>
        </w:rPr>
        <w:t>数据质量控制</w:t>
      </w:r>
      <w:bookmarkEnd w:id="276"/>
      <w:bookmarkEnd w:id="277"/>
    </w:p>
    <w:p w14:paraId="5FD9A2E3">
      <w:pPr>
        <w:pStyle w:val="56"/>
        <w:rPr>
          <w:rFonts w:hint="eastAsia"/>
        </w:rPr>
      </w:pPr>
      <w:r>
        <w:rPr>
          <w:rFonts w:hint="eastAsia"/>
        </w:rPr>
        <w:t>建立全流程数据质量控制体系，涵盖数据收集、录入、整理、分析等各个环节，具体措施如下：</w:t>
      </w:r>
    </w:p>
    <w:p w14:paraId="76919B89">
      <w:pPr>
        <w:pStyle w:val="56"/>
        <w:rPr>
          <w:rFonts w:hint="eastAsia"/>
        </w:rPr>
      </w:pPr>
      <w:r>
        <w:rPr>
          <w:rFonts w:hint="eastAsia"/>
        </w:rPr>
        <w:t>•a）源头控制：加强数据收集人员培训，规范操作流程，明确数据收集标准，从源头减少数据误差；</w:t>
      </w:r>
    </w:p>
    <w:p w14:paraId="693BAFDC">
      <w:pPr>
        <w:pStyle w:val="56"/>
        <w:rPr>
          <w:rFonts w:hint="eastAsia"/>
        </w:rPr>
      </w:pPr>
      <w:r>
        <w:rPr>
          <w:rFonts w:hint="eastAsia"/>
        </w:rPr>
        <w:t>•b）录入控制：实行双人录入、双人核对制度，录入人员与核对人员分工明确，核对人员对录入数据进行逐项核查，发现错误及时反馈并修正；</w:t>
      </w:r>
    </w:p>
    <w:p w14:paraId="1D0D0C39">
      <w:pPr>
        <w:pStyle w:val="56"/>
        <w:rPr>
          <w:rFonts w:hint="eastAsia"/>
        </w:rPr>
      </w:pPr>
      <w:r>
        <w:rPr>
          <w:rFonts w:hint="eastAsia"/>
        </w:rPr>
        <w:t>•c）逻辑核查：利用数据管理系统的逻辑校验功能，对录入的数据进行逻辑核查，排查数据缺失、逻辑矛盾、异常值等问题，对异常数据进行标记并核实处理；</w:t>
      </w:r>
    </w:p>
    <w:p w14:paraId="59FC690D">
      <w:pPr>
        <w:pStyle w:val="56"/>
        <w:rPr>
          <w:rFonts w:hint="eastAsia"/>
        </w:rPr>
      </w:pPr>
      <w:r>
        <w:rPr>
          <w:rFonts w:hint="eastAsia"/>
        </w:rPr>
        <w:t>•d）定期抽查：定期对已录入、整理的数据进行抽查，抽查比例不低于10%，重点抽查核心指标数据，确保数据质量；</w:t>
      </w:r>
    </w:p>
    <w:p w14:paraId="6300897F">
      <w:pPr>
        <w:pStyle w:val="56"/>
        <w:rPr>
          <w:rFonts w:hint="eastAsia"/>
        </w:rPr>
      </w:pPr>
      <w:r>
        <w:rPr>
          <w:rFonts w:hint="eastAsia"/>
        </w:rPr>
        <w:t>•e）存档管理：对原始数据、录入数据、核对记录、核查报告等相关资料进行妥善存档，纸质资料装订成册，电子资料加密存储，保存期限不少于评估结束后5年，确保数据可追溯、可核查。</w:t>
      </w:r>
    </w:p>
    <w:p w14:paraId="5FF64D8F">
      <w:pPr>
        <w:pStyle w:val="65"/>
        <w:bidi w:val="0"/>
        <w:rPr>
          <w:rFonts w:hint="eastAsia"/>
        </w:rPr>
      </w:pPr>
      <w:bookmarkStart w:id="278" w:name="_Toc6012"/>
      <w:bookmarkStart w:id="279" w:name="_Toc26104"/>
      <w:r>
        <w:rPr>
          <w:rFonts w:hint="eastAsia"/>
        </w:rPr>
        <w:t>数据安全与保密</w:t>
      </w:r>
      <w:bookmarkEnd w:id="278"/>
      <w:bookmarkEnd w:id="279"/>
    </w:p>
    <w:p w14:paraId="1389661C">
      <w:pPr>
        <w:pStyle w:val="56"/>
        <w:rPr>
          <w:rFonts w:hint="eastAsia"/>
        </w:rPr>
      </w:pPr>
      <w:r>
        <w:rPr>
          <w:rFonts w:hint="eastAsia"/>
        </w:rPr>
        <w:t>严格遵守数据安全及隐私保护相关法律法规，建立数据安全管理制度，明确数据管理责任，加强数据安全防护。电子数据采用加密存储、权限分级管理方式，仅授权人员可访问、操作数据；纸质数据存放在专用档案柜，由专人负责管理，严禁随意查阅、复制、泄露。</w:t>
      </w:r>
    </w:p>
    <w:p w14:paraId="3B13D9D3">
      <w:pPr>
        <w:pStyle w:val="56"/>
        <w:rPr>
          <w:rFonts w:hint="eastAsia"/>
        </w:rPr>
      </w:pPr>
      <w:r>
        <w:rPr>
          <w:rFonts w:hint="eastAsia"/>
        </w:rPr>
        <w:t>评估工作结束后，对数据进行妥善处置，如需用于后续研究，需获得相关授权并进行脱敏处理，删除个人敏感信息；无需保留的数据，按照规定进行销毁，确保数据安全与隐私保护。</w:t>
      </w:r>
    </w:p>
    <w:p w14:paraId="67EAEA58">
      <w:pPr>
        <w:pStyle w:val="105"/>
        <w:bidi w:val="0"/>
        <w:rPr>
          <w:rFonts w:hint="eastAsia"/>
        </w:rPr>
      </w:pPr>
      <w:bookmarkStart w:id="280" w:name="_Toc6771"/>
      <w:bookmarkStart w:id="281" w:name="_Toc22645"/>
      <w:bookmarkStart w:id="282" w:name="_Toc18324"/>
      <w:r>
        <w:rPr>
          <w:rFonts w:hint="eastAsia"/>
        </w:rPr>
        <w:t>估分析方法</w:t>
      </w:r>
      <w:bookmarkEnd w:id="280"/>
      <w:bookmarkEnd w:id="281"/>
      <w:bookmarkEnd w:id="282"/>
    </w:p>
    <w:p w14:paraId="7AA15900">
      <w:pPr>
        <w:pStyle w:val="65"/>
        <w:bidi w:val="0"/>
        <w:rPr>
          <w:rFonts w:hint="eastAsia"/>
        </w:rPr>
      </w:pPr>
      <w:bookmarkStart w:id="283" w:name="_Toc12666"/>
      <w:bookmarkStart w:id="284" w:name="_Toc350"/>
      <w:r>
        <w:rPr>
          <w:rFonts w:hint="eastAsia"/>
        </w:rPr>
        <w:t>描述性统计分析</w:t>
      </w:r>
      <w:bookmarkEnd w:id="283"/>
      <w:bookmarkEnd w:id="284"/>
    </w:p>
    <w:p w14:paraId="6EABDA16">
      <w:pPr>
        <w:pStyle w:val="56"/>
        <w:rPr>
          <w:rFonts w:hint="eastAsia"/>
        </w:rPr>
      </w:pPr>
      <w:r>
        <w:rPr>
          <w:rFonts w:hint="eastAsia"/>
        </w:rPr>
        <w:t>对收集的各类数据进行描述性统计，明确数据分布特征。定量数据（如眼轴长度、屈光度、户外活动时长等）采用均数、标准差、中位数、四分位数等指标描述；定性数据（如干预依从性、满意度、近视发生率等）采用频数、百分比等指标描述，通过统计表、统计图（如柱状图、折线图、饼图等）直观呈现数据分布情况，清晰反映儿童青少年近视防控现状及干预措施实施情况。</w:t>
      </w:r>
    </w:p>
    <w:p w14:paraId="7FE89C80">
      <w:pPr>
        <w:pStyle w:val="65"/>
        <w:bidi w:val="0"/>
        <w:rPr>
          <w:rFonts w:hint="eastAsia"/>
        </w:rPr>
      </w:pPr>
      <w:bookmarkStart w:id="285" w:name="_Toc20158"/>
      <w:bookmarkStart w:id="286" w:name="_Toc6792"/>
      <w:r>
        <w:rPr>
          <w:rFonts w:hint="eastAsia"/>
        </w:rPr>
        <w:t>比较分析</w:t>
      </w:r>
      <w:bookmarkEnd w:id="285"/>
      <w:bookmarkEnd w:id="286"/>
    </w:p>
    <w:p w14:paraId="571438B9">
      <w:pPr>
        <w:pStyle w:val="56"/>
        <w:rPr>
          <w:rFonts w:hint="eastAsia"/>
        </w:rPr>
      </w:pPr>
      <w:r>
        <w:rPr>
          <w:rFonts w:hint="eastAsia"/>
        </w:rPr>
        <w:t>根据评估目的，采用适宜的统计方法进行比较分析，明确干预效果及差异，具体如下：</w:t>
      </w:r>
    </w:p>
    <w:p w14:paraId="4E69564D">
      <w:pPr>
        <w:pStyle w:val="56"/>
        <w:rPr>
          <w:rFonts w:hint="eastAsia"/>
        </w:rPr>
      </w:pPr>
      <w:r>
        <w:rPr>
          <w:rFonts w:hint="eastAsia"/>
        </w:rPr>
        <w:t>•a）干预前后比较：采用配对t检验、Wilcoxon符号秩检验等方法，对比干预前后儿童青少年眼轴长度、屈光度、轴率比等核心指标的变化，评估干预措施的短期及中期效果；</w:t>
      </w:r>
    </w:p>
    <w:p w14:paraId="07D083BB">
      <w:pPr>
        <w:pStyle w:val="56"/>
        <w:rPr>
          <w:rFonts w:hint="eastAsia"/>
        </w:rPr>
      </w:pPr>
      <w:r>
        <w:rPr>
          <w:rFonts w:hint="eastAsia"/>
        </w:rPr>
        <w:t>•b）组间比较：采用独立样本t检验、ANOVA分析、χ²检验、Kruskal-Wallis H检验等方法，对比不同干预措施组、不同年龄组、不同地域组儿童青少年的近视发生率、进展率、干预依从性等指标，分析不同群体的干预效果差异；</w:t>
      </w:r>
    </w:p>
    <w:p w14:paraId="26F8D7CF">
      <w:pPr>
        <w:pStyle w:val="56"/>
        <w:rPr>
          <w:rFonts w:hint="eastAsia"/>
        </w:rPr>
      </w:pPr>
      <w:r>
        <w:rPr>
          <w:rFonts w:hint="eastAsia"/>
        </w:rPr>
        <w:t>•c）长期效果比较：采用重复测量方差分析等方法，追踪不同时间点儿童青少年核心指标的变化，对比干预期与随访期指标差异，评估干预措施的长期有效性及稳定性。</w:t>
      </w:r>
    </w:p>
    <w:p w14:paraId="4ED62BBC">
      <w:pPr>
        <w:pStyle w:val="65"/>
        <w:bidi w:val="0"/>
        <w:rPr>
          <w:rFonts w:hint="eastAsia"/>
        </w:rPr>
      </w:pPr>
      <w:bookmarkStart w:id="287" w:name="_Toc27450"/>
      <w:bookmarkStart w:id="288" w:name="_Toc29350"/>
      <w:r>
        <w:rPr>
          <w:rFonts w:hint="eastAsia"/>
        </w:rPr>
        <w:t>相关性分析</w:t>
      </w:r>
      <w:bookmarkEnd w:id="287"/>
      <w:bookmarkEnd w:id="288"/>
    </w:p>
    <w:p w14:paraId="3F2454BD">
      <w:pPr>
        <w:pStyle w:val="56"/>
        <w:rPr>
          <w:rFonts w:hint="eastAsia"/>
        </w:rPr>
      </w:pPr>
      <w:r>
        <w:rPr>
          <w:rFonts w:hint="eastAsia"/>
        </w:rPr>
        <w:t>采用Pearson相关分析、Spearman秩相关分析等方法，分析各类防控措施实施强度（如户外活动时长、药物使用合规率、镜片佩戴时长等）与防控效果指标（如眼轴长度增长量、屈光度进展量等）之间的相关性，明确各类因素对干预效果的影响程度，为干预方案优化提供依据。</w:t>
      </w:r>
    </w:p>
    <w:p w14:paraId="40944036">
      <w:pPr>
        <w:pStyle w:val="65"/>
        <w:bidi w:val="0"/>
        <w:rPr>
          <w:rFonts w:hint="eastAsia"/>
        </w:rPr>
      </w:pPr>
      <w:bookmarkStart w:id="289" w:name="_Toc27519"/>
      <w:bookmarkStart w:id="290" w:name="_Toc23810"/>
      <w:r>
        <w:rPr>
          <w:rFonts w:hint="eastAsia"/>
        </w:rPr>
        <w:t>多因素分析</w:t>
      </w:r>
      <w:bookmarkEnd w:id="289"/>
      <w:bookmarkEnd w:id="290"/>
    </w:p>
    <w:p w14:paraId="706BA4D8">
      <w:pPr>
        <w:pStyle w:val="56"/>
        <w:rPr>
          <w:rFonts w:hint="eastAsia"/>
        </w:rPr>
      </w:pPr>
      <w:r>
        <w:rPr>
          <w:rFonts w:hint="eastAsia"/>
        </w:rPr>
        <w:t>采用多元线性回归、Logistic回归等多因素分析方法，控制混杂因素（如年龄、性别、遗传背景、初始近视度数等）的影响，分析各类干预措施、行为因素、环境因素对儿童青少年近视发生、进展的独立影响，明确影响近视防控效果的关键因素，为个性化防控方案制定提供科学支撑。</w:t>
      </w:r>
    </w:p>
    <w:p w14:paraId="0CA242E5">
      <w:pPr>
        <w:pStyle w:val="65"/>
        <w:bidi w:val="0"/>
        <w:rPr>
          <w:rFonts w:hint="eastAsia"/>
        </w:rPr>
      </w:pPr>
      <w:bookmarkStart w:id="291" w:name="_Toc31027"/>
      <w:bookmarkStart w:id="292" w:name="_Toc1470"/>
      <w:r>
        <w:rPr>
          <w:rFonts w:hint="eastAsia"/>
        </w:rPr>
        <w:t>卫生经济学分析</w:t>
      </w:r>
      <w:bookmarkEnd w:id="291"/>
      <w:bookmarkEnd w:id="292"/>
    </w:p>
    <w:p w14:paraId="2ECDF413">
      <w:pPr>
        <w:pStyle w:val="56"/>
        <w:rPr>
          <w:rFonts w:hint="eastAsia"/>
        </w:rPr>
      </w:pPr>
      <w:r>
        <w:rPr>
          <w:rFonts w:hint="eastAsia"/>
        </w:rPr>
        <w:t>结合干预措施的成本（如干预设备采购、药物费用、人员培训费用、检测费用等）与收益（如近视发生率降低、近视进展延缓、视觉健康改善等），采用成本-效果分析、成本-效用分析等方法，评估不同干预措施的卫生经济学效益，筛选性价比最优的干预方案，为近视防控资源合理配置提供参考。</w:t>
      </w:r>
    </w:p>
    <w:p w14:paraId="34C51D74">
      <w:pPr>
        <w:pStyle w:val="105"/>
        <w:bidi w:val="0"/>
        <w:rPr>
          <w:rFonts w:hint="eastAsia"/>
        </w:rPr>
      </w:pPr>
      <w:bookmarkStart w:id="293" w:name="_Toc19939"/>
      <w:bookmarkStart w:id="294" w:name="_Toc21567"/>
      <w:bookmarkStart w:id="295" w:name="_Toc13709"/>
      <w:r>
        <w:rPr>
          <w:rFonts w:hint="eastAsia"/>
        </w:rPr>
        <w:t>评估流程</w:t>
      </w:r>
      <w:bookmarkEnd w:id="293"/>
      <w:bookmarkEnd w:id="294"/>
      <w:bookmarkEnd w:id="295"/>
    </w:p>
    <w:p w14:paraId="75FDA541">
      <w:pPr>
        <w:pStyle w:val="56"/>
        <w:rPr>
          <w:rFonts w:hint="eastAsia"/>
        </w:rPr>
      </w:pPr>
      <w:r>
        <w:rPr>
          <w:rFonts w:hint="eastAsia"/>
        </w:rPr>
        <w:t>儿童青少年近视防控干预措施效果评估需遵循标准化流程，分为评估准备、基线评估、干预实施与随访、数据收集与管理、评估分析、结果判定、报告撰写7个环节，各环节无缝衔接，确保评估工作有序开展，具体流程如下：</w:t>
      </w:r>
    </w:p>
    <w:p w14:paraId="12886C08">
      <w:pPr>
        <w:pStyle w:val="56"/>
        <w:rPr>
          <w:rFonts w:hint="eastAsia"/>
        </w:rPr>
      </w:pPr>
      <w:r>
        <w:rPr>
          <w:rFonts w:hint="eastAsia"/>
        </w:rPr>
        <w:t>1.评估准备：明确评估目的、目标及评估类型，确定研究对象、样本量及评估指标，制定详细的评估方案，组建专业评估团队，开展人员培训，准备检测设备、问卷、记录表等相关工具，建立数据管理系统；</w:t>
      </w:r>
    </w:p>
    <w:p w14:paraId="154F943E">
      <w:pPr>
        <w:pStyle w:val="56"/>
        <w:rPr>
          <w:rFonts w:hint="eastAsia"/>
        </w:rPr>
      </w:pPr>
      <w:r>
        <w:rPr>
          <w:rFonts w:hint="eastAsia"/>
        </w:rPr>
        <w:t>2.基线评估：对研究对象进行全面基线检测，收集基本信息、临床检测数据、环境与行为数据等，建立个体屈光发育档案及评估基线数据库，明确研究对象基线状态，为后续干预效果对比提供参考；</w:t>
      </w:r>
    </w:p>
    <w:p w14:paraId="5BD4C4FD">
      <w:pPr>
        <w:pStyle w:val="56"/>
        <w:rPr>
          <w:rFonts w:hint="eastAsia"/>
        </w:rPr>
      </w:pPr>
      <w:r>
        <w:rPr>
          <w:rFonts w:hint="eastAsia"/>
        </w:rPr>
        <w:t>3.干预实施与随访：按照既定干预方案，组织开展各类近视防控干预措施，根据评估周期，定期对研究对象进行随访，记录干预措施执行情况、随访检测数据及不良事件发生情况，及时调整不合理的干预方案；</w:t>
      </w:r>
    </w:p>
    <w:p w14:paraId="367E0750">
      <w:pPr>
        <w:pStyle w:val="56"/>
        <w:rPr>
          <w:rFonts w:hint="eastAsia"/>
        </w:rPr>
      </w:pPr>
      <w:r>
        <w:rPr>
          <w:rFonts w:hint="eastAsia"/>
        </w:rPr>
        <w:t>4.数据收集与管理：按照数据收集要求，全面收集干预过程中的各类数据，及时完成数据录入、整理与核对，实施数据质量控制，确保数据真实、完整、规范，做好数据安全与保密工作；</w:t>
      </w:r>
    </w:p>
    <w:p w14:paraId="2875A36C">
      <w:pPr>
        <w:pStyle w:val="56"/>
        <w:rPr>
          <w:rFonts w:hint="eastAsia"/>
        </w:rPr>
      </w:pPr>
      <w:r>
        <w:rPr>
          <w:rFonts w:hint="eastAsia"/>
        </w:rPr>
        <w:t>5.评估分析：采用适宜的统计分析方法，对收集的数据进行描述性统计、比较分析、相关性分析及多因素分析，量化评估干预措施的有效性、安全性、可行性及卫生经济学效益；</w:t>
      </w:r>
    </w:p>
    <w:p w14:paraId="63B8F474">
      <w:pPr>
        <w:pStyle w:val="56"/>
        <w:rPr>
          <w:rFonts w:hint="eastAsia"/>
        </w:rPr>
      </w:pPr>
      <w:r>
        <w:rPr>
          <w:rFonts w:hint="eastAsia"/>
        </w:rPr>
        <w:t>6.结果判定：结合评估分析结果，对照</w:t>
      </w:r>
      <w:r>
        <w:rPr>
          <w:rFonts w:hint="eastAsia"/>
          <w:lang w:eastAsia="zh-CN"/>
        </w:rPr>
        <w:t>本文件</w:t>
      </w:r>
      <w:r>
        <w:rPr>
          <w:rFonts w:hint="eastAsia"/>
        </w:rPr>
        <w:t>规定的有效性、安全性判定标准，明确干预措施的效果等级（如有效、无效、效果不佳），分析干预过程中存在的问题及原因，提出针对性的优化建议；</w:t>
      </w:r>
    </w:p>
    <w:p w14:paraId="1508CB16">
      <w:pPr>
        <w:pStyle w:val="56"/>
        <w:rPr>
          <w:rFonts w:hint="eastAsia"/>
        </w:rPr>
      </w:pPr>
      <w:r>
        <w:rPr>
          <w:rFonts w:hint="eastAsia"/>
        </w:rPr>
        <w:t>7.报告撰写：根据评估结果，撰写完整的评估报告，明确评估目的、方法、结果、结论及建议，确保报告内容真实、数据准确、逻辑严谨，为近视防控工作优化提供技术支撑。</w:t>
      </w:r>
    </w:p>
    <w:p w14:paraId="27831C1C">
      <w:pPr>
        <w:pStyle w:val="105"/>
        <w:bidi w:val="0"/>
        <w:rPr>
          <w:rFonts w:hint="eastAsia"/>
        </w:rPr>
      </w:pPr>
      <w:bookmarkStart w:id="296" w:name="_Toc28884"/>
      <w:bookmarkStart w:id="297" w:name="_Toc1488"/>
      <w:bookmarkStart w:id="298" w:name="_Toc9612"/>
      <w:r>
        <w:rPr>
          <w:rFonts w:hint="eastAsia"/>
        </w:rPr>
        <w:t>评估报告撰写</w:t>
      </w:r>
      <w:bookmarkEnd w:id="296"/>
      <w:bookmarkEnd w:id="297"/>
      <w:bookmarkEnd w:id="298"/>
    </w:p>
    <w:p w14:paraId="24D94655">
      <w:pPr>
        <w:pStyle w:val="65"/>
        <w:bidi w:val="0"/>
        <w:rPr>
          <w:rFonts w:hint="eastAsia"/>
        </w:rPr>
      </w:pPr>
      <w:bookmarkStart w:id="299" w:name="_Toc29778"/>
      <w:bookmarkStart w:id="300" w:name="_Toc9754"/>
      <w:r>
        <w:rPr>
          <w:rFonts w:hint="eastAsia"/>
        </w:rPr>
        <w:t>报告结构</w:t>
      </w:r>
      <w:bookmarkEnd w:id="299"/>
      <w:bookmarkEnd w:id="300"/>
    </w:p>
    <w:p w14:paraId="51618BFE">
      <w:pPr>
        <w:pStyle w:val="56"/>
        <w:rPr>
          <w:rFonts w:hint="eastAsia"/>
        </w:rPr>
      </w:pPr>
      <w:r>
        <w:rPr>
          <w:rFonts w:hint="eastAsia"/>
        </w:rPr>
        <w:t>评估报告需遵循标准化结构，全面、系统呈现评估工作全过程及结果，具体包括以下部分：</w:t>
      </w:r>
    </w:p>
    <w:p w14:paraId="7595D804">
      <w:pPr>
        <w:pStyle w:val="56"/>
        <w:rPr>
          <w:rFonts w:hint="eastAsia"/>
        </w:rPr>
      </w:pPr>
      <w:r>
        <w:rPr>
          <w:rFonts w:hint="eastAsia"/>
        </w:rPr>
        <w:t>•a）摘要：简要概述评估目的、评估对象、评估方法、核心评估结果及主要结论，字数控制在300~500字，便于快速了解评估核心内容；</w:t>
      </w:r>
    </w:p>
    <w:p w14:paraId="783ECFF1">
      <w:pPr>
        <w:pStyle w:val="56"/>
        <w:rPr>
          <w:rFonts w:hint="eastAsia"/>
        </w:rPr>
      </w:pPr>
      <w:r>
        <w:rPr>
          <w:rFonts w:hint="eastAsia"/>
        </w:rPr>
        <w:t>•b）引言：阐述儿童青少年近视防控的背景、意义，明确评估工作的必要性，介绍评估目的、目标及范围；</w:t>
      </w:r>
    </w:p>
    <w:p w14:paraId="1E9DAF06">
      <w:pPr>
        <w:pStyle w:val="56"/>
        <w:rPr>
          <w:rFonts w:hint="eastAsia"/>
        </w:rPr>
      </w:pPr>
      <w:r>
        <w:rPr>
          <w:rFonts w:hint="eastAsia"/>
        </w:rPr>
        <w:t>•c）评估对象与方法：详细说明研究对象的选择标准、样本量、分组情况，评估类型、评估指标、评估周期，数据收集方法、数据管理方式及统计分析方法；</w:t>
      </w:r>
    </w:p>
    <w:p w14:paraId="281A238B">
      <w:pPr>
        <w:pStyle w:val="56"/>
        <w:rPr>
          <w:rFonts w:hint="eastAsia"/>
        </w:rPr>
      </w:pPr>
      <w:r>
        <w:rPr>
          <w:rFonts w:hint="eastAsia"/>
        </w:rPr>
        <w:t>•d）评估结果：详细呈现数据收集情况、描述性统计结果、干预前后及组间比较结果、相关性分析结果、多因素分析结果及卫生经济学分析结果，结合统计表、统计图直观呈现，明确干预措施的有效性、安全性及可行性；</w:t>
      </w:r>
    </w:p>
    <w:p w14:paraId="10643A4A">
      <w:pPr>
        <w:pStyle w:val="56"/>
        <w:rPr>
          <w:rFonts w:hint="eastAsia"/>
        </w:rPr>
      </w:pPr>
      <w:r>
        <w:rPr>
          <w:rFonts w:hint="eastAsia"/>
        </w:rPr>
        <w:t>•e）讨论：分析评估结果的合理性，对比相关研究成果，探讨干预措施的作用机制，分析干预过程中存在的问题及影响因素，提出针对性的优化建议；</w:t>
      </w:r>
    </w:p>
    <w:p w14:paraId="5C252A1A">
      <w:pPr>
        <w:pStyle w:val="56"/>
        <w:rPr>
          <w:rFonts w:hint="eastAsia"/>
        </w:rPr>
      </w:pPr>
      <w:r>
        <w:rPr>
          <w:rFonts w:hint="eastAsia"/>
        </w:rPr>
        <w:t>•f）结论：总结评估核心结论，明确干预措施的效果、适用范围及推广价值，为儿童青少年近视防控工作提供科学依据；</w:t>
      </w:r>
    </w:p>
    <w:p w14:paraId="1DC33FAD">
      <w:pPr>
        <w:pStyle w:val="56"/>
        <w:rPr>
          <w:rFonts w:hint="eastAsia"/>
        </w:rPr>
      </w:pPr>
      <w:r>
        <w:rPr>
          <w:rFonts w:hint="eastAsia"/>
        </w:rPr>
        <w:t>•g）附件：包括评估方案、调查问卷、检测记录表、数据核查报告、相关参考文献等辅助资料。</w:t>
      </w:r>
    </w:p>
    <w:p w14:paraId="6B76AD30">
      <w:pPr>
        <w:pStyle w:val="65"/>
        <w:bidi w:val="0"/>
        <w:rPr>
          <w:rFonts w:hint="eastAsia"/>
        </w:rPr>
      </w:pPr>
      <w:bookmarkStart w:id="301" w:name="_Toc20445"/>
      <w:bookmarkStart w:id="302" w:name="_Toc13247"/>
      <w:r>
        <w:rPr>
          <w:rFonts w:hint="eastAsia"/>
        </w:rPr>
        <w:t>报告撰写要求</w:t>
      </w:r>
      <w:bookmarkEnd w:id="301"/>
      <w:bookmarkEnd w:id="302"/>
    </w:p>
    <w:p w14:paraId="4F3FC866">
      <w:pPr>
        <w:pStyle w:val="56"/>
        <w:rPr>
          <w:rFonts w:hint="eastAsia"/>
        </w:rPr>
      </w:pPr>
      <w:r>
        <w:rPr>
          <w:rFonts w:hint="eastAsia"/>
        </w:rPr>
        <w:t>•a）科学性：报告内容需基于真实、准确的数据，统计分析方法选择合理，结论严谨，符合循证医学及标准化要求，避免主观臆断；</w:t>
      </w:r>
    </w:p>
    <w:p w14:paraId="7AB40CC5">
      <w:pPr>
        <w:pStyle w:val="56"/>
        <w:rPr>
          <w:rFonts w:hint="eastAsia"/>
        </w:rPr>
      </w:pPr>
      <w:r>
        <w:rPr>
          <w:rFonts w:hint="eastAsia"/>
        </w:rPr>
        <w:t>•b）规范性：报告结构清晰、层次分明，术语使用统一、规范，符合</w:t>
      </w:r>
      <w:r>
        <w:rPr>
          <w:rFonts w:hint="eastAsia"/>
          <w:lang w:eastAsia="zh-CN"/>
        </w:rPr>
        <w:t>本文件</w:t>
      </w:r>
      <w:r>
        <w:rPr>
          <w:rFonts w:hint="eastAsia"/>
        </w:rPr>
        <w:t>及相关国家标准要求，数据呈现准确、规范，统计表、统计图格式标准；</w:t>
      </w:r>
    </w:p>
    <w:p w14:paraId="0032181E">
      <w:pPr>
        <w:pStyle w:val="56"/>
        <w:rPr>
          <w:rFonts w:hint="eastAsia"/>
        </w:rPr>
      </w:pPr>
      <w:r>
        <w:rPr>
          <w:rFonts w:hint="eastAsia"/>
        </w:rPr>
        <w:t>•c）完整性：全面呈现评估工作的各个环节，包括评估准备、数据收集、分析、结果判定等，不遗漏关键信息，附件资料齐全；</w:t>
      </w:r>
    </w:p>
    <w:p w14:paraId="338C416C">
      <w:pPr>
        <w:pStyle w:val="56"/>
        <w:rPr>
          <w:rFonts w:hint="eastAsia"/>
        </w:rPr>
      </w:pPr>
      <w:r>
        <w:rPr>
          <w:rFonts w:hint="eastAsia"/>
        </w:rPr>
        <w:t>•d）实用性：报告结论及建议需贴合儿童青少年近视防控工作实际，具有可操作性，能够为相关领域开展近视防控效果评估、优化干预方案提供技术支撑；</w:t>
      </w:r>
    </w:p>
    <w:p w14:paraId="4C9BB285">
      <w:pPr>
        <w:pStyle w:val="56"/>
        <w:rPr>
          <w:rFonts w:hint="eastAsia"/>
        </w:rPr>
      </w:pPr>
      <w:r>
        <w:rPr>
          <w:rFonts w:hint="eastAsia"/>
        </w:rPr>
        <w:t>•e）客观性：如实呈现评估结果，包括有效结果及存在的问题，客观分析影响因素，不夸大干预效果，不隐瞒存在的问题。</w:t>
      </w:r>
    </w:p>
    <w:p w14:paraId="58587289">
      <w:pPr>
        <w:pStyle w:val="104"/>
        <w:bidi w:val="0"/>
        <w:rPr>
          <w:rFonts w:hint="eastAsia"/>
        </w:rPr>
      </w:pPr>
      <w:bookmarkStart w:id="303" w:name="_Toc6679"/>
      <w:bookmarkStart w:id="304" w:name="_Toc27483"/>
      <w:bookmarkStart w:id="305" w:name="_Toc30198"/>
      <w:bookmarkStart w:id="306" w:name="_Toc2331"/>
      <w:r>
        <w:rPr>
          <w:rFonts w:hint="eastAsia"/>
        </w:rPr>
        <w:t>质量控制与改进</w:t>
      </w:r>
      <w:bookmarkEnd w:id="303"/>
      <w:bookmarkEnd w:id="304"/>
      <w:bookmarkEnd w:id="305"/>
      <w:bookmarkEnd w:id="306"/>
    </w:p>
    <w:p w14:paraId="4605A1C7">
      <w:pPr>
        <w:pStyle w:val="105"/>
        <w:bidi w:val="0"/>
        <w:rPr>
          <w:rFonts w:hint="eastAsia"/>
        </w:rPr>
      </w:pPr>
      <w:bookmarkStart w:id="307" w:name="_Toc742"/>
      <w:bookmarkStart w:id="308" w:name="_Toc16808"/>
      <w:bookmarkStart w:id="309" w:name="_Toc4020"/>
      <w:r>
        <w:rPr>
          <w:rFonts w:hint="eastAsia"/>
        </w:rPr>
        <w:t>质量控制体系</w:t>
      </w:r>
      <w:bookmarkEnd w:id="307"/>
      <w:bookmarkEnd w:id="308"/>
      <w:bookmarkEnd w:id="309"/>
    </w:p>
    <w:p w14:paraId="5EDEF7C9">
      <w:pPr>
        <w:pStyle w:val="56"/>
        <w:rPr>
          <w:rFonts w:hint="eastAsia"/>
        </w:rPr>
      </w:pPr>
      <w:r>
        <w:rPr>
          <w:rFonts w:hint="eastAsia"/>
        </w:rPr>
        <w:t>建立覆盖评估全流程的质量控制体系，明确质量控制责任主体、控制要点及实施措施，确保评估工作的科学性、规范性和可靠性，具体包括以下方面：</w:t>
      </w:r>
    </w:p>
    <w:p w14:paraId="19498CA9">
      <w:pPr>
        <w:pStyle w:val="56"/>
        <w:rPr>
          <w:rFonts w:hint="eastAsia"/>
        </w:rPr>
      </w:pPr>
      <w:r>
        <w:rPr>
          <w:rFonts w:hint="eastAsia"/>
        </w:rPr>
        <w:t>•a）组织质量控制：组建质量控制小组，由多领域专家组成，负责制定质量控制方案，监督评估工作全过程，审核评估数据及报告，及时发现并解决评估过程中存在的质量问题；</w:t>
      </w:r>
    </w:p>
    <w:p w14:paraId="5031BA87">
      <w:pPr>
        <w:pStyle w:val="56"/>
        <w:rPr>
          <w:rFonts w:hint="eastAsia"/>
        </w:rPr>
      </w:pPr>
      <w:r>
        <w:rPr>
          <w:rFonts w:hint="eastAsia"/>
        </w:rPr>
        <w:t>•b）人员质量控制：评估团队成员需具备相应的专业资质，开展岗前培训，明确评估流程、操作规范及质量要求，定期开展业务培训及考核，提升评估人员的专业能力；</w:t>
      </w:r>
    </w:p>
    <w:p w14:paraId="19F6B9CA">
      <w:pPr>
        <w:pStyle w:val="56"/>
        <w:rPr>
          <w:rFonts w:hint="eastAsia"/>
        </w:rPr>
      </w:pPr>
      <w:r>
        <w:rPr>
          <w:rFonts w:hint="eastAsia"/>
        </w:rPr>
        <w:t>•c）设备质量控制：用于临床检测的设备需符合YY/T 0606.1-2011、YY/T 0734.1-2009等相关标准，定期进行校准、维护及检定，确保设备性能稳定、检测结果准确；</w:t>
      </w:r>
    </w:p>
    <w:p w14:paraId="2F7CDA4B">
      <w:pPr>
        <w:pStyle w:val="56"/>
        <w:rPr>
          <w:rFonts w:hint="eastAsia"/>
        </w:rPr>
      </w:pPr>
      <w:r>
        <w:rPr>
          <w:rFonts w:hint="eastAsia"/>
        </w:rPr>
        <w:t>•d）流程质量控制：严格按照</w:t>
      </w:r>
      <w:r>
        <w:rPr>
          <w:rFonts w:hint="eastAsia"/>
          <w:lang w:eastAsia="zh-CN"/>
        </w:rPr>
        <w:t>本文件</w:t>
      </w:r>
      <w:r>
        <w:rPr>
          <w:rFonts w:hint="eastAsia"/>
        </w:rPr>
        <w:t>规定的评估流程开展工作，明确各环节的操作标准及时间节点，建立流程核查机制，对每个环节进行全程监督，确保流程规范、有序；</w:t>
      </w:r>
    </w:p>
    <w:p w14:paraId="40C9D29E">
      <w:pPr>
        <w:pStyle w:val="56"/>
        <w:rPr>
          <w:rFonts w:hint="eastAsia"/>
        </w:rPr>
      </w:pPr>
      <w:r>
        <w:rPr>
          <w:rFonts w:hint="eastAsia"/>
        </w:rPr>
        <w:t>•e）数据质量控制：按照</w:t>
      </w:r>
      <w:r>
        <w:rPr>
          <w:rFonts w:hint="eastAsia"/>
          <w:lang w:eastAsia="zh-CN"/>
        </w:rPr>
        <w:t>本文件</w:t>
      </w:r>
      <w:r>
        <w:rPr>
          <w:rFonts w:hint="eastAsia"/>
        </w:rPr>
        <w:t>8.3节要求，实施全流程数据质量控制，确保数据真实、完整、准确，建立数据溯源机制，便于质量核查。</w:t>
      </w:r>
    </w:p>
    <w:p w14:paraId="02A7ED50">
      <w:pPr>
        <w:pStyle w:val="105"/>
        <w:bidi w:val="0"/>
        <w:rPr>
          <w:rFonts w:hint="eastAsia"/>
        </w:rPr>
      </w:pPr>
      <w:bookmarkStart w:id="310" w:name="_Toc15311"/>
      <w:bookmarkStart w:id="311" w:name="_Toc21332"/>
      <w:bookmarkStart w:id="312" w:name="_Toc25046"/>
      <w:r>
        <w:rPr>
          <w:rFonts w:hint="eastAsia"/>
        </w:rPr>
        <w:t>质量改进措施</w:t>
      </w:r>
      <w:bookmarkEnd w:id="310"/>
      <w:bookmarkEnd w:id="311"/>
      <w:bookmarkEnd w:id="312"/>
    </w:p>
    <w:p w14:paraId="160C5BAF">
      <w:pPr>
        <w:pStyle w:val="56"/>
        <w:rPr>
          <w:rFonts w:hint="eastAsia"/>
        </w:rPr>
      </w:pPr>
      <w:r>
        <w:rPr>
          <w:rFonts w:hint="eastAsia"/>
        </w:rPr>
        <w:t>建立质量改进长效机制，定期对评估工作质量进行总结、分析，针对存在的问题，制定针对性的改进措施，持续提升评估工作质量，具体如下：</w:t>
      </w:r>
    </w:p>
    <w:p w14:paraId="163F641A">
      <w:pPr>
        <w:pStyle w:val="56"/>
        <w:rPr>
          <w:rFonts w:hint="eastAsia"/>
        </w:rPr>
      </w:pPr>
      <w:r>
        <w:rPr>
          <w:rFonts w:hint="eastAsia"/>
        </w:rPr>
        <w:t>•a）定期质量核查：质量控制小组定期对评估工作进行质量核查，形成核查报告，明确存在的问题及整改建议，督促评估团队及时整改；</w:t>
      </w:r>
    </w:p>
    <w:p w14:paraId="16B62DDC">
      <w:pPr>
        <w:pStyle w:val="56"/>
        <w:rPr>
          <w:rFonts w:hint="eastAsia"/>
        </w:rPr>
      </w:pPr>
      <w:r>
        <w:rPr>
          <w:rFonts w:hint="eastAsia"/>
        </w:rPr>
        <w:t>•b）问题分析与整改：针对质量核查中发现的问题，深入分析问题产生的原因，制定具体的整改方案，明确整改责任人及整改时限，整改完成后进行复核，确保问题整改到位；</w:t>
      </w:r>
    </w:p>
    <w:p w14:paraId="7E028D54">
      <w:pPr>
        <w:pStyle w:val="56"/>
        <w:rPr>
          <w:rFonts w:hint="eastAsia"/>
        </w:rPr>
      </w:pPr>
      <w:r>
        <w:rPr>
          <w:rFonts w:hint="eastAsia"/>
        </w:rPr>
        <w:t>•c）经验总结与推广：定期总结评估工作中的经验做法，梳理质量控制要点，形成标准化操作规范，推广应用于后续评估工作；针对评估过程中发现的共性问题，优化评估方案及流程，提升评估工作的科学性和可操作性；</w:t>
      </w:r>
    </w:p>
    <w:p w14:paraId="2DB62A47">
      <w:pPr>
        <w:pStyle w:val="56"/>
        <w:rPr>
          <w:rFonts w:hint="eastAsia"/>
        </w:rPr>
      </w:pPr>
      <w:r>
        <w:rPr>
          <w:rFonts w:hint="eastAsia"/>
        </w:rPr>
        <w:t>•d）人员能力提升：定期组织评估人员开展业务培训、学术交流活动，学习最新的近视防控技术、评估方法及质量控制要求，提升评估人员的专业素养和业务能力；</w:t>
      </w:r>
    </w:p>
    <w:p w14:paraId="1C34C247">
      <w:pPr>
        <w:pStyle w:val="56"/>
        <w:rPr>
          <w:rFonts w:hint="eastAsia"/>
        </w:rPr>
      </w:pPr>
      <w:r>
        <w:rPr>
          <w:rFonts w:hint="eastAsia"/>
        </w:rPr>
        <w:t>•e）公众监督：建立公众监督机制，公开评估工作的相关信息（涉及隐私的信息除外），接受社会公众及相关部门的监督，及时回应公众疑问，不断改进评估工作质量。</w:t>
      </w:r>
    </w:p>
    <w:p w14:paraId="3E9197DB">
      <w:pPr>
        <w:pStyle w:val="104"/>
        <w:bidi w:val="0"/>
        <w:rPr>
          <w:rFonts w:hint="eastAsia"/>
        </w:rPr>
      </w:pPr>
      <w:bookmarkStart w:id="313" w:name="_Toc13098"/>
      <w:bookmarkStart w:id="314" w:name="_Toc22411"/>
      <w:bookmarkStart w:id="315" w:name="_Toc2198"/>
      <w:bookmarkStart w:id="316" w:name="_Toc22372"/>
      <w:r>
        <w:rPr>
          <w:rFonts w:hint="eastAsia"/>
        </w:rPr>
        <w:t>附则</w:t>
      </w:r>
      <w:bookmarkEnd w:id="313"/>
      <w:bookmarkEnd w:id="314"/>
      <w:bookmarkEnd w:id="315"/>
      <w:bookmarkEnd w:id="316"/>
    </w:p>
    <w:p w14:paraId="3EA36F42">
      <w:pPr>
        <w:pStyle w:val="105"/>
        <w:bidi w:val="0"/>
        <w:rPr>
          <w:rFonts w:hint="eastAsia"/>
        </w:rPr>
      </w:pPr>
      <w:r>
        <w:rPr>
          <w:rFonts w:hint="eastAsia"/>
        </w:rPr>
        <w:t xml:space="preserve"> </w:t>
      </w:r>
      <w:bookmarkStart w:id="317" w:name="_Toc25346"/>
      <w:bookmarkStart w:id="318" w:name="_Toc23210"/>
      <w:bookmarkStart w:id="319" w:name="_Toc31308"/>
      <w:r>
        <w:rPr>
          <w:rFonts w:hint="eastAsia"/>
        </w:rPr>
        <w:t>指南的适用范围补充</w:t>
      </w:r>
      <w:bookmarkEnd w:id="317"/>
      <w:bookmarkEnd w:id="318"/>
      <w:bookmarkEnd w:id="319"/>
    </w:p>
    <w:p w14:paraId="1DCCD6A5">
      <w:pPr>
        <w:pStyle w:val="56"/>
        <w:rPr>
          <w:rFonts w:hint="eastAsia"/>
        </w:rPr>
      </w:pPr>
      <w:r>
        <w:rPr>
          <w:rFonts w:hint="eastAsia"/>
        </w:rPr>
        <w:t>本</w:t>
      </w:r>
      <w:r>
        <w:rPr>
          <w:rFonts w:hint="eastAsia"/>
          <w:lang w:val="en-US" w:eastAsia="zh-CN"/>
        </w:rPr>
        <w:t>文件</w:t>
      </w:r>
      <w:r>
        <w:rPr>
          <w:rFonts w:hint="eastAsia"/>
        </w:rPr>
        <w:t>适用于我国各类开展儿童青少年（6~18周岁）近视防控干预措施效果评估的相关机构及人员，包括医疗机构（眼科、眼视光科、儿科等）、学校、社区卫生服务中心、公共卫生机构及相关科研单位等。本</w:t>
      </w:r>
      <w:r>
        <w:rPr>
          <w:rFonts w:hint="eastAsia"/>
          <w:lang w:val="en-US" w:eastAsia="zh-CN"/>
        </w:rPr>
        <w:t>文件</w:t>
      </w:r>
      <w:r>
        <w:rPr>
          <w:rFonts w:hint="eastAsia"/>
        </w:rPr>
        <w:t>不适用于6周岁以下儿童及18周岁以上青少年的近视防控效果评估，也不适用于病理性近视的专项评估。</w:t>
      </w:r>
    </w:p>
    <w:p w14:paraId="063DDA64">
      <w:pPr>
        <w:pStyle w:val="105"/>
        <w:bidi w:val="0"/>
        <w:rPr>
          <w:rFonts w:hint="eastAsia"/>
        </w:rPr>
      </w:pPr>
      <w:bookmarkStart w:id="320" w:name="_Toc5127"/>
      <w:bookmarkStart w:id="321" w:name="_Toc15585"/>
      <w:bookmarkStart w:id="322" w:name="_Toc14066"/>
      <w:r>
        <w:rPr>
          <w:rFonts w:hint="eastAsia"/>
        </w:rPr>
        <w:t>指南的解释权</w:t>
      </w:r>
      <w:bookmarkEnd w:id="320"/>
      <w:bookmarkEnd w:id="321"/>
      <w:bookmarkEnd w:id="322"/>
    </w:p>
    <w:p w14:paraId="794A1ECC">
      <w:pPr>
        <w:pStyle w:val="56"/>
        <w:rPr>
          <w:rFonts w:hint="eastAsia"/>
        </w:rPr>
      </w:pPr>
      <w:r>
        <w:rPr>
          <w:rFonts w:hint="eastAsia"/>
        </w:rPr>
        <w:t>指南的解释权归</w:t>
      </w:r>
      <w:r>
        <w:rPr>
          <w:rFonts w:hint="eastAsia"/>
          <w:lang w:val="en-US" w:eastAsia="zh-CN"/>
        </w:rPr>
        <w:t>所有起草单位共同</w:t>
      </w:r>
      <w:r>
        <w:rPr>
          <w:rFonts w:hint="eastAsia"/>
        </w:rPr>
        <w:t>所有。在指南实施过程中，如遇到具体问题，由</w:t>
      </w:r>
      <w:r>
        <w:rPr>
          <w:rFonts w:hint="eastAsia"/>
          <w:lang w:val="en-US" w:eastAsia="zh-CN"/>
        </w:rPr>
        <w:t>归口</w:t>
      </w:r>
      <w:r>
        <w:rPr>
          <w:rFonts w:hint="eastAsia"/>
        </w:rPr>
        <w:t>单位组织相关专家进行解释、论证，确保指南的正确应用。</w:t>
      </w:r>
    </w:p>
    <w:p w14:paraId="6A5AD84F">
      <w:pPr>
        <w:pStyle w:val="105"/>
        <w:bidi w:val="0"/>
        <w:rPr>
          <w:rFonts w:hint="eastAsia"/>
        </w:rPr>
      </w:pPr>
      <w:bookmarkStart w:id="323" w:name="_Toc24870"/>
      <w:bookmarkStart w:id="324" w:name="_Toc20559"/>
      <w:bookmarkStart w:id="325" w:name="_Toc19090"/>
      <w:r>
        <w:rPr>
          <w:rFonts w:hint="eastAsia"/>
        </w:rPr>
        <w:t>指南的修订</w:t>
      </w:r>
      <w:bookmarkEnd w:id="323"/>
      <w:bookmarkEnd w:id="324"/>
      <w:bookmarkEnd w:id="325"/>
    </w:p>
    <w:p w14:paraId="149702C7">
      <w:pPr>
        <w:pStyle w:val="56"/>
        <w:rPr>
          <w:rFonts w:hint="eastAsia"/>
        </w:rPr>
      </w:pPr>
      <w:r>
        <w:rPr>
          <w:rFonts w:hint="eastAsia"/>
        </w:rPr>
        <w:t>本</w:t>
      </w:r>
      <w:r>
        <w:rPr>
          <w:rFonts w:hint="eastAsia"/>
          <w:lang w:val="en-US" w:eastAsia="zh-CN"/>
        </w:rPr>
        <w:t>文件</w:t>
      </w:r>
      <w:r>
        <w:rPr>
          <w:rFonts w:hint="eastAsia"/>
        </w:rPr>
        <w:t>将根据我国儿童青少年近视防控工作的实际需求、相关领域的研究进展及国家标准、行业标准的更新情况，适时进行修订。修订流程按照《团体标准管理规定》《标准化工作导则 第1部分：标准化文件的结构和起草规则》（GB/T 1.1-2020）的规定执行，由发起单位组织专家论证、征求意见后，完成修订并发布。</w:t>
      </w:r>
    </w:p>
    <w:p w14:paraId="0ACCA915">
      <w:pPr>
        <w:pStyle w:val="105"/>
        <w:bidi w:val="0"/>
        <w:rPr>
          <w:rFonts w:hint="eastAsia"/>
        </w:rPr>
      </w:pPr>
      <w:bookmarkStart w:id="326" w:name="_Toc2929"/>
      <w:bookmarkStart w:id="327" w:name="_Toc16174"/>
      <w:bookmarkStart w:id="328" w:name="_Toc4284"/>
      <w:r>
        <w:rPr>
          <w:rFonts w:hint="eastAsia"/>
        </w:rPr>
        <w:t>实施日期</w:t>
      </w:r>
      <w:bookmarkEnd w:id="326"/>
      <w:bookmarkEnd w:id="327"/>
      <w:bookmarkEnd w:id="328"/>
    </w:p>
    <w:p w14:paraId="676230A0">
      <w:pPr>
        <w:pStyle w:val="56"/>
        <w:rPr>
          <w:rFonts w:hint="eastAsia"/>
        </w:rPr>
      </w:pPr>
      <w:r>
        <w:rPr>
          <w:rFonts w:hint="eastAsia"/>
        </w:rPr>
        <w:t>本</w:t>
      </w:r>
      <w:r>
        <w:rPr>
          <w:rFonts w:hint="eastAsia"/>
          <w:lang w:val="en-US" w:eastAsia="zh-CN"/>
        </w:rPr>
        <w:t>文件</w:t>
      </w:r>
      <w:r>
        <w:rPr>
          <w:rFonts w:hint="eastAsia"/>
        </w:rPr>
        <w:t>自发布之日起实施。</w:t>
      </w:r>
    </w:p>
    <w:p w14:paraId="37EB43EF">
      <w:pPr>
        <w:pStyle w:val="56"/>
        <w:rPr>
          <w:rFonts w:hint="eastAsia"/>
        </w:rPr>
      </w:pPr>
    </w:p>
    <w:p w14:paraId="70456E3A">
      <w:pPr>
        <w:pStyle w:val="56"/>
        <w:rPr>
          <w:rFonts w:hint="eastAsia"/>
        </w:rPr>
      </w:pPr>
    </w:p>
    <w:p w14:paraId="3B8BB6D7">
      <w:pPr>
        <w:pStyle w:val="56"/>
        <w:ind w:firstLine="420"/>
        <w:rPr>
          <w:rFonts w:hint="eastAsia" w:eastAsia="宋体"/>
          <w:lang w:eastAsia="zh-CN"/>
        </w:rPr>
      </w:pPr>
    </w:p>
    <w:p w14:paraId="79F23C14">
      <w:pPr>
        <w:pStyle w:val="56"/>
        <w:ind w:firstLine="420"/>
      </w:pPr>
    </w:p>
    <w:p w14:paraId="5CF7D3A2">
      <w:pPr>
        <w:pStyle w:val="56"/>
        <w:ind w:firstLine="420"/>
      </w:pPr>
    </w:p>
    <w:p w14:paraId="2A7EDE2C">
      <w:pPr>
        <w:pStyle w:val="56"/>
        <w:ind w:firstLine="420"/>
      </w:pPr>
    </w:p>
    <w:p w14:paraId="601DFC2C">
      <w:pPr>
        <w:pStyle w:val="56"/>
        <w:ind w:firstLine="420"/>
      </w:pPr>
    </w:p>
    <w:p w14:paraId="79601B0B">
      <w:pPr>
        <w:pStyle w:val="56"/>
        <w:ind w:firstLine="420"/>
      </w:pPr>
    </w:p>
    <w:p w14:paraId="76FA66E2">
      <w:pPr>
        <w:pStyle w:val="56"/>
        <w:ind w:firstLine="420"/>
      </w:pPr>
    </w:p>
    <w:p w14:paraId="7F49EFE6">
      <w:pPr>
        <w:pStyle w:val="56"/>
        <w:ind w:firstLine="420"/>
      </w:pPr>
    </w:p>
    <w:p w14:paraId="528537E0">
      <w:pPr>
        <w:pStyle w:val="56"/>
        <w:ind w:firstLine="420"/>
      </w:pPr>
    </w:p>
    <w:p w14:paraId="5BBD66D0">
      <w:pPr>
        <w:pStyle w:val="56"/>
        <w:ind w:firstLine="420"/>
      </w:pPr>
    </w:p>
    <w:p w14:paraId="0C1E1C9F">
      <w:pPr>
        <w:pStyle w:val="56"/>
        <w:ind w:firstLine="420"/>
      </w:pPr>
    </w:p>
    <w:p w14:paraId="7A3CB82E">
      <w:pPr>
        <w:pStyle w:val="56"/>
        <w:ind w:firstLine="420"/>
      </w:pPr>
    </w:p>
    <w:p w14:paraId="0672B44D">
      <w:pPr>
        <w:pStyle w:val="56"/>
        <w:ind w:firstLine="420"/>
      </w:pPr>
    </w:p>
    <w:p w14:paraId="797B9D8D">
      <w:pPr>
        <w:pStyle w:val="56"/>
        <w:ind w:firstLine="420"/>
      </w:pPr>
    </w:p>
    <w:p w14:paraId="1658112D">
      <w:pPr>
        <w:pStyle w:val="56"/>
        <w:ind w:firstLine="420"/>
      </w:pPr>
    </w:p>
    <w:p w14:paraId="4B97B500">
      <w:pPr>
        <w:pStyle w:val="56"/>
        <w:ind w:firstLine="420"/>
      </w:pPr>
    </w:p>
    <w:p w14:paraId="1607B00C">
      <w:pPr>
        <w:pStyle w:val="56"/>
        <w:ind w:firstLine="420"/>
      </w:pPr>
    </w:p>
    <w:p w14:paraId="3FF9772E">
      <w:pPr>
        <w:pStyle w:val="56"/>
        <w:ind w:firstLine="420"/>
      </w:pPr>
    </w:p>
    <w:p w14:paraId="605DE9BD">
      <w:pPr>
        <w:pStyle w:val="56"/>
        <w:ind w:firstLine="420"/>
      </w:pPr>
    </w:p>
    <w:p w14:paraId="0DDCE330">
      <w:pPr>
        <w:pStyle w:val="56"/>
        <w:ind w:firstLine="420"/>
      </w:pPr>
    </w:p>
    <w:p w14:paraId="6E044EA6">
      <w:pPr>
        <w:pStyle w:val="56"/>
        <w:ind w:firstLine="420"/>
      </w:pPr>
    </w:p>
    <w:p w14:paraId="364A2892">
      <w:pPr>
        <w:pStyle w:val="56"/>
        <w:ind w:firstLine="420"/>
      </w:pPr>
    </w:p>
    <w:p w14:paraId="56034307">
      <w:pPr>
        <w:pStyle w:val="56"/>
        <w:ind w:firstLine="420"/>
      </w:pPr>
    </w:p>
    <w:p w14:paraId="562F4327">
      <w:pPr>
        <w:pStyle w:val="56"/>
        <w:ind w:firstLine="420"/>
      </w:pPr>
    </w:p>
    <w:p w14:paraId="6E300050">
      <w:pPr>
        <w:pStyle w:val="56"/>
        <w:ind w:firstLine="420"/>
      </w:pPr>
    </w:p>
    <w:p w14:paraId="4288F266">
      <w:pPr>
        <w:pStyle w:val="56"/>
        <w:ind w:firstLine="420"/>
      </w:pPr>
    </w:p>
    <w:p w14:paraId="1AC81E48">
      <w:pPr>
        <w:pStyle w:val="56"/>
        <w:bidi w:val="0"/>
      </w:pPr>
    </w:p>
    <w:bookmarkEnd w:id="29"/>
    <w:p w14:paraId="4C0B9F42">
      <w:pPr>
        <w:pStyle w:val="56"/>
        <w:bidi w:val="0"/>
        <w:sectPr>
          <w:pgSz w:w="11906" w:h="16838"/>
          <w:pgMar w:top="1928" w:right="1134" w:bottom="1134" w:left="1134" w:header="1418" w:footer="1134" w:gutter="284"/>
          <w:pgNumType w:start="1"/>
          <w:cols w:space="425" w:num="1"/>
          <w:formProt w:val="0"/>
          <w:docGrid w:linePitch="312" w:charSpace="0"/>
        </w:sectPr>
      </w:pPr>
      <w:bookmarkStart w:id="329" w:name="BookMark6"/>
    </w:p>
    <w:p w14:paraId="24B9C093">
      <w:pPr>
        <w:pStyle w:val="63"/>
        <w:bidi w:val="0"/>
        <w:rPr>
          <w:rFonts w:hint="eastAsia"/>
          <w:lang w:eastAsia="zh-CN"/>
        </w:rPr>
      </w:pPr>
      <w:bookmarkStart w:id="330" w:name="_Toc31379"/>
      <w:bookmarkStart w:id="331" w:name="_Toc190"/>
      <w:bookmarkStart w:id="332" w:name="_Toc25369"/>
      <w:bookmarkStart w:id="333" w:name="_Toc13874"/>
      <w:r>
        <w:rPr>
          <w:rFonts w:hint="eastAsia"/>
          <w:spacing w:val="105"/>
          <w:lang w:eastAsia="zh-CN"/>
        </w:rPr>
        <w:t>参考文</w:t>
      </w:r>
      <w:r>
        <w:rPr>
          <w:rFonts w:hint="eastAsia"/>
          <w:lang w:eastAsia="zh-CN"/>
        </w:rPr>
        <w:t>献</w:t>
      </w:r>
      <w:bookmarkEnd w:id="330"/>
      <w:bookmarkEnd w:id="331"/>
      <w:bookmarkEnd w:id="332"/>
      <w:bookmarkEnd w:id="333"/>
    </w:p>
    <w:p w14:paraId="6F08D084">
      <w:pPr>
        <w:pStyle w:val="56"/>
        <w:bidi w:val="0"/>
        <w:rPr>
          <w:rFonts w:hint="eastAsia"/>
          <w:lang w:eastAsia="zh-CN"/>
        </w:rPr>
      </w:pPr>
    </w:p>
    <w:p w14:paraId="0A55C68A">
      <w:pPr>
        <w:pStyle w:val="56"/>
        <w:bidi w:val="0"/>
        <w:rPr>
          <w:rFonts w:hint="eastAsia"/>
          <w:lang w:eastAsia="zh-CN"/>
        </w:rPr>
      </w:pPr>
    </w:p>
    <w:p w14:paraId="7B9FCD3A">
      <w:pPr>
        <w:pStyle w:val="56"/>
        <w:bidi w:val="0"/>
        <w:rPr>
          <w:rFonts w:hint="eastAsia"/>
          <w:lang w:eastAsia="zh-CN"/>
        </w:rPr>
      </w:pPr>
      <w:r>
        <w:rPr>
          <w:rFonts w:hint="eastAsia"/>
          <w:lang w:eastAsia="zh-CN"/>
        </w:rPr>
        <w:t>1.中国医疗器械行业协会. T/CEMA 034-2025 多学科防控近视技术及防控体系建设要求[S]. 2025.</w:t>
      </w:r>
    </w:p>
    <w:p w14:paraId="20D11126">
      <w:pPr>
        <w:pStyle w:val="56"/>
        <w:bidi w:val="0"/>
        <w:rPr>
          <w:rFonts w:hint="eastAsia"/>
          <w:lang w:eastAsia="zh-CN"/>
        </w:rPr>
      </w:pPr>
      <w:r>
        <w:rPr>
          <w:rFonts w:hint="eastAsia"/>
          <w:lang w:eastAsia="zh-CN"/>
        </w:rPr>
        <w:t>2.国家标准化管理委员会, 国家市场监督管理总局. GB/T 1.1-2020 标准化工作导则 第1部分：标准化文件的结构和起草规则[S]. 2020.</w:t>
      </w:r>
    </w:p>
    <w:p w14:paraId="06F72C05">
      <w:pPr>
        <w:pStyle w:val="56"/>
        <w:bidi w:val="0"/>
        <w:rPr>
          <w:rFonts w:hint="eastAsia"/>
          <w:lang w:eastAsia="zh-CN"/>
        </w:rPr>
      </w:pPr>
      <w:r>
        <w:rPr>
          <w:rFonts w:hint="eastAsia"/>
          <w:lang w:eastAsia="zh-CN"/>
        </w:rPr>
        <w:t>3.国家药品监督管理局. 药物临床试验质量管理规范[S]. 2020（修订版）.</w:t>
      </w:r>
    </w:p>
    <w:p w14:paraId="4D6E1F9E">
      <w:pPr>
        <w:pStyle w:val="56"/>
        <w:bidi w:val="0"/>
        <w:rPr>
          <w:rFonts w:hint="eastAsia"/>
          <w:lang w:eastAsia="zh-CN"/>
        </w:rPr>
      </w:pPr>
      <w:r>
        <w:rPr>
          <w:rFonts w:hint="eastAsia"/>
          <w:lang w:eastAsia="zh-CN"/>
        </w:rPr>
        <w:t>4.中华人民共和国住房和城乡建设部, 中华人民共和国国家质量监督检验检疫总局. GB 50033-2013 建筑采光设计标准[S]. 2013.</w:t>
      </w:r>
    </w:p>
    <w:p w14:paraId="12A2C744">
      <w:pPr>
        <w:pStyle w:val="56"/>
        <w:bidi w:val="0"/>
        <w:rPr>
          <w:rFonts w:hint="eastAsia"/>
          <w:lang w:eastAsia="zh-CN"/>
        </w:rPr>
      </w:pPr>
      <w:r>
        <w:rPr>
          <w:rFonts w:hint="eastAsia"/>
          <w:lang w:eastAsia="zh-CN"/>
        </w:rPr>
        <w:t>5.中华人民共和国住房和城乡建设部, 中华人民共和国国家质量监督检验检疫总局. GB 50034-2013 建筑照明设计标准[S]. 2013.</w:t>
      </w:r>
    </w:p>
    <w:p w14:paraId="3E3F6505">
      <w:pPr>
        <w:pStyle w:val="56"/>
        <w:bidi w:val="0"/>
        <w:rPr>
          <w:rFonts w:hint="eastAsia"/>
          <w:lang w:eastAsia="zh-CN"/>
        </w:rPr>
      </w:pPr>
      <w:r>
        <w:rPr>
          <w:rFonts w:hint="eastAsia"/>
          <w:lang w:eastAsia="zh-CN"/>
        </w:rPr>
        <w:t>6.国家卫生健康委员会. WS/T 662-2020 儿童青少年近视防控指南[S]. 2020.</w:t>
      </w:r>
    </w:p>
    <w:p w14:paraId="485EBA51">
      <w:pPr>
        <w:pStyle w:val="56"/>
        <w:bidi w:val="0"/>
        <w:rPr>
          <w:rFonts w:hint="eastAsia"/>
          <w:lang w:eastAsia="zh-CN"/>
        </w:rPr>
      </w:pPr>
      <w:r>
        <w:rPr>
          <w:rFonts w:hint="eastAsia"/>
          <w:lang w:eastAsia="zh-CN"/>
        </w:rPr>
        <w:t>7.国家标准化管理委员会, 国家市场监督管理总局. GB/T 39222-2020 儿童青少年近视筛查与诊断[S]. 2020.</w:t>
      </w:r>
    </w:p>
    <w:p w14:paraId="3B2A3611">
      <w:pPr>
        <w:pStyle w:val="56"/>
        <w:bidi w:val="0"/>
        <w:rPr>
          <w:rFonts w:hint="eastAsia"/>
          <w:lang w:eastAsia="zh-CN"/>
        </w:rPr>
      </w:pPr>
      <w:r>
        <w:rPr>
          <w:rFonts w:hint="eastAsia"/>
          <w:lang w:eastAsia="zh-CN"/>
        </w:rPr>
        <w:t>8.国家药品监督管理局. YY/T 0606.1-2011 眼科仪器 第1部分：裂隙灯显微镜[S]. 2011.</w:t>
      </w:r>
    </w:p>
    <w:p w14:paraId="4013B676">
      <w:pPr>
        <w:pStyle w:val="56"/>
        <w:bidi w:val="0"/>
        <w:rPr>
          <w:rFonts w:hint="eastAsia"/>
          <w:lang w:eastAsia="zh-CN"/>
        </w:rPr>
      </w:pPr>
      <w:r>
        <w:rPr>
          <w:rFonts w:hint="eastAsia"/>
          <w:lang w:eastAsia="zh-CN"/>
        </w:rPr>
        <w:t>9.国家药品监督管理局. YY/T 0734.1-2009 眼科仪器 光学生物测量仪 第1部分：眼轴长度测量仪[S]. 2009.</w:t>
      </w:r>
    </w:p>
    <w:p w14:paraId="5C54E9B2">
      <w:pPr>
        <w:pStyle w:val="56"/>
        <w:bidi w:val="0"/>
        <w:rPr>
          <w:rFonts w:hint="eastAsia"/>
          <w:lang w:eastAsia="zh-CN"/>
        </w:rPr>
      </w:pPr>
      <w:r>
        <w:rPr>
          <w:rFonts w:hint="eastAsia"/>
          <w:lang w:eastAsia="zh-CN"/>
        </w:rPr>
        <w:t>10.World Health Organization. Global action plan for the prevention of avoidable blindness and visual impairment 2014-2019[R]. Geneva: WHO, 2014.</w:t>
      </w:r>
    </w:p>
    <w:p w14:paraId="190C30E5">
      <w:pPr>
        <w:pStyle w:val="56"/>
        <w:bidi w:val="0"/>
        <w:rPr>
          <w:rFonts w:hint="eastAsia"/>
          <w:lang w:eastAsia="zh-CN"/>
        </w:rPr>
      </w:pPr>
      <w:r>
        <w:rPr>
          <w:rFonts w:hint="eastAsia"/>
          <w:lang w:eastAsia="zh-CN"/>
        </w:rPr>
        <w:t>11.International Myopia Institute. IMI white papers on myopia control interventions[J]. Ophthalmic Physiol Opt, 2019, 39(3): 213-243.</w:t>
      </w:r>
    </w:p>
    <w:p w14:paraId="1182E6E5">
      <w:pPr>
        <w:pStyle w:val="56"/>
        <w:bidi w:val="0"/>
        <w:rPr>
          <w:rFonts w:hint="eastAsia"/>
          <w:lang w:eastAsia="zh-CN"/>
        </w:rPr>
      </w:pPr>
      <w:r>
        <w:rPr>
          <w:rFonts w:hint="eastAsia"/>
          <w:lang w:eastAsia="zh-CN"/>
        </w:rPr>
        <w:t>12.温州医科大学附属眼视光医院. 高非球微透镜框架眼镜长期近视防控效果研究[J]. 中华眼科杂志, 2023, 59(7): 512-519.</w:t>
      </w:r>
    </w:p>
    <w:p w14:paraId="3F05ABA2">
      <w:pPr>
        <w:pStyle w:val="56"/>
        <w:bidi w:val="0"/>
        <w:rPr>
          <w:rFonts w:hint="eastAsia"/>
          <w:lang w:eastAsia="zh-CN"/>
        </w:rPr>
      </w:pPr>
      <w:r>
        <w:rPr>
          <w:rFonts w:hint="eastAsia"/>
          <w:lang w:eastAsia="zh-CN"/>
        </w:rPr>
        <w:t>13.李丽华, 瞿佳. 儿童青少年近视防控多措施联合应用的相关性研究[J]. 中国斜视与小儿眼科杂志, 2024, 32(2): 1-5.</w:t>
      </w:r>
    </w:p>
    <w:p w14:paraId="7A0DFD91">
      <w:pPr>
        <w:pStyle w:val="56"/>
        <w:bidi w:val="0"/>
        <w:rPr>
          <w:rFonts w:hint="eastAsia"/>
          <w:lang w:eastAsia="zh-CN"/>
        </w:rPr>
      </w:pPr>
      <w:r>
        <w:rPr>
          <w:rFonts w:hint="eastAsia"/>
          <w:lang w:eastAsia="zh-CN"/>
        </w:rPr>
        <w:t>14.张劲松, 王雁. 低浓度阿托品滴眼液在儿童青少年近视防控中的长期应用研究[J]. 中华眼视光学与视觉科学杂志, 2023, 25(5): 321-327.</w:t>
      </w:r>
    </w:p>
    <w:p w14:paraId="60DA9857">
      <w:pPr>
        <w:pStyle w:val="56"/>
        <w:bidi w:val="0"/>
        <w:rPr>
          <w:rFonts w:hint="eastAsia"/>
          <w:lang w:eastAsia="zh-CN"/>
        </w:rPr>
      </w:pPr>
      <w:r>
        <w:rPr>
          <w:rFonts w:hint="eastAsia"/>
          <w:lang w:eastAsia="zh-CN"/>
        </w:rPr>
        <w:t>15.中华医学会眼科学分会眼视光学组. 儿童青少年近视防控指南（2021年更新版）[J]. 中华眼科杂志, 2021, 57(4): 241-245.</w:t>
      </w:r>
    </w:p>
    <w:p w14:paraId="2DF6B55E">
      <w:pPr>
        <w:pStyle w:val="56"/>
        <w:bidi w:val="0"/>
      </w:pPr>
    </w:p>
    <w:bookmarkEnd w:id="329"/>
    <w:tbl>
      <w:tblPr>
        <w:tblStyle w:val="26"/>
        <w:tblW w:w="0" w:type="auto"/>
        <w:tblInd w:w="102" w:type="dxa"/>
        <w:tblLayout w:type="fixed"/>
        <w:tblCellMar>
          <w:top w:w="0" w:type="dxa"/>
          <w:left w:w="108" w:type="dxa"/>
          <w:bottom w:w="0" w:type="dxa"/>
          <w:right w:w="108" w:type="dxa"/>
        </w:tblCellMar>
      </w:tblPr>
      <w:tblGrid>
        <w:gridCol w:w="3088"/>
        <w:gridCol w:w="3190"/>
        <w:gridCol w:w="3101"/>
      </w:tblGrid>
      <w:tr w14:paraId="03F5CE2C">
        <w:trPr>
          <w:trHeight w:val="464" w:hRule="atLeast"/>
        </w:trPr>
        <w:tc>
          <w:tcPr>
            <w:tcW w:w="3088" w:type="dxa"/>
            <w:tcBorders>
              <w:top w:val="nil"/>
              <w:left w:val="nil"/>
              <w:bottom w:val="nil"/>
              <w:right w:val="nil"/>
            </w:tcBorders>
            <w:noWrap w:val="0"/>
            <w:vAlign w:val="top"/>
          </w:tcPr>
          <w:p w14:paraId="058D7186">
            <w:pPr>
              <w:pStyle w:val="230"/>
              <w:ind w:left="0" w:leftChars="0" w:firstLine="0" w:firstLineChars="0"/>
            </w:pPr>
          </w:p>
        </w:tc>
        <w:tc>
          <w:tcPr>
            <w:tcW w:w="3190" w:type="dxa"/>
            <w:tcBorders>
              <w:top w:val="nil"/>
              <w:left w:val="nil"/>
              <w:bottom w:val="single" w:color="auto" w:sz="4" w:space="0"/>
              <w:right w:val="nil"/>
            </w:tcBorders>
            <w:noWrap w:val="0"/>
            <w:vAlign w:val="top"/>
          </w:tcPr>
          <w:p w14:paraId="50EA6B20">
            <w:pPr>
              <w:spacing w:line="240" w:lineRule="atLeast"/>
            </w:pPr>
          </w:p>
        </w:tc>
        <w:tc>
          <w:tcPr>
            <w:tcW w:w="3101" w:type="dxa"/>
            <w:tcBorders>
              <w:top w:val="nil"/>
              <w:left w:val="nil"/>
              <w:bottom w:val="nil"/>
              <w:right w:val="nil"/>
            </w:tcBorders>
            <w:noWrap w:val="0"/>
            <w:vAlign w:val="top"/>
          </w:tcPr>
          <w:p w14:paraId="7FF734B2">
            <w:pPr>
              <w:spacing w:line="240" w:lineRule="atLeast"/>
              <w:ind w:firstLine="420"/>
            </w:pPr>
          </w:p>
        </w:tc>
      </w:tr>
    </w:tbl>
    <w:p w14:paraId="3CEB47A7">
      <w:pPr>
        <w:pStyle w:val="56"/>
        <w:bidi w:val="0"/>
      </w:pPr>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T/CNHAW      0019—2026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sXnjCfq6Tpi8AA/wVgng9TZYxlo=" w:salt="tYjgGWKHiB2BhanJaMu1z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725400"/>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373"/>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E1D64"/>
    <w:rsid w:val="01F72957"/>
    <w:rsid w:val="059A3C03"/>
    <w:rsid w:val="06351D42"/>
    <w:rsid w:val="06684BBA"/>
    <w:rsid w:val="07CC5C94"/>
    <w:rsid w:val="07EB54D2"/>
    <w:rsid w:val="08D74597"/>
    <w:rsid w:val="09DA536D"/>
    <w:rsid w:val="0A0C694A"/>
    <w:rsid w:val="0B3348DE"/>
    <w:rsid w:val="0B6B12B4"/>
    <w:rsid w:val="0C021464"/>
    <w:rsid w:val="0C0A7D34"/>
    <w:rsid w:val="0CAE5756"/>
    <w:rsid w:val="0CEB6B29"/>
    <w:rsid w:val="0DF412AC"/>
    <w:rsid w:val="0F0D035A"/>
    <w:rsid w:val="0F5D3867"/>
    <w:rsid w:val="104D01F0"/>
    <w:rsid w:val="11124A42"/>
    <w:rsid w:val="112E78A3"/>
    <w:rsid w:val="117440E6"/>
    <w:rsid w:val="141829CB"/>
    <w:rsid w:val="147E640A"/>
    <w:rsid w:val="153C564B"/>
    <w:rsid w:val="15606872"/>
    <w:rsid w:val="1632454E"/>
    <w:rsid w:val="16490368"/>
    <w:rsid w:val="17CC18DC"/>
    <w:rsid w:val="17E10D8A"/>
    <w:rsid w:val="180B10BC"/>
    <w:rsid w:val="18510D3B"/>
    <w:rsid w:val="18F90024"/>
    <w:rsid w:val="19383A4E"/>
    <w:rsid w:val="19885571"/>
    <w:rsid w:val="1C48561E"/>
    <w:rsid w:val="1C672126"/>
    <w:rsid w:val="1CC37203"/>
    <w:rsid w:val="1D057D11"/>
    <w:rsid w:val="1D462856"/>
    <w:rsid w:val="1DAA4ED3"/>
    <w:rsid w:val="1DB91C37"/>
    <w:rsid w:val="1E3C056A"/>
    <w:rsid w:val="1EB35F13"/>
    <w:rsid w:val="1FDA33EF"/>
    <w:rsid w:val="20916FFC"/>
    <w:rsid w:val="20EC1E85"/>
    <w:rsid w:val="219655FF"/>
    <w:rsid w:val="2201099D"/>
    <w:rsid w:val="221A3EEA"/>
    <w:rsid w:val="22A26755"/>
    <w:rsid w:val="244A7663"/>
    <w:rsid w:val="24A140F3"/>
    <w:rsid w:val="25875BC7"/>
    <w:rsid w:val="25901034"/>
    <w:rsid w:val="271711A2"/>
    <w:rsid w:val="27BA1B55"/>
    <w:rsid w:val="298D37C6"/>
    <w:rsid w:val="2AA46A7B"/>
    <w:rsid w:val="2AC9060F"/>
    <w:rsid w:val="2B191FE5"/>
    <w:rsid w:val="2D6F4515"/>
    <w:rsid w:val="2E175BCA"/>
    <w:rsid w:val="2F030104"/>
    <w:rsid w:val="2F1D3C51"/>
    <w:rsid w:val="2F35554E"/>
    <w:rsid w:val="30725400"/>
    <w:rsid w:val="309E5887"/>
    <w:rsid w:val="33476B0E"/>
    <w:rsid w:val="3386162D"/>
    <w:rsid w:val="33F919E8"/>
    <w:rsid w:val="342310E4"/>
    <w:rsid w:val="35305866"/>
    <w:rsid w:val="353F4BDD"/>
    <w:rsid w:val="364C37C6"/>
    <w:rsid w:val="36664117"/>
    <w:rsid w:val="367C15FD"/>
    <w:rsid w:val="36B415A1"/>
    <w:rsid w:val="37A1577D"/>
    <w:rsid w:val="37C46192"/>
    <w:rsid w:val="37CB0D94"/>
    <w:rsid w:val="38C073F1"/>
    <w:rsid w:val="39237490"/>
    <w:rsid w:val="39511E95"/>
    <w:rsid w:val="397877DC"/>
    <w:rsid w:val="3B4F27BE"/>
    <w:rsid w:val="3C5F6A31"/>
    <w:rsid w:val="3CB725C3"/>
    <w:rsid w:val="3D263618"/>
    <w:rsid w:val="3DD62419"/>
    <w:rsid w:val="3E1074DC"/>
    <w:rsid w:val="3E3C1720"/>
    <w:rsid w:val="3E885CEB"/>
    <w:rsid w:val="3EA55D9E"/>
    <w:rsid w:val="3F8A64BB"/>
    <w:rsid w:val="3FB926FD"/>
    <w:rsid w:val="41781F5F"/>
    <w:rsid w:val="419555D5"/>
    <w:rsid w:val="41AA32F9"/>
    <w:rsid w:val="42373D08"/>
    <w:rsid w:val="42561B2D"/>
    <w:rsid w:val="42810A28"/>
    <w:rsid w:val="436D18BA"/>
    <w:rsid w:val="438F3899"/>
    <w:rsid w:val="43AA5013"/>
    <w:rsid w:val="43DC3263"/>
    <w:rsid w:val="445A472A"/>
    <w:rsid w:val="44BD51A3"/>
    <w:rsid w:val="45163E17"/>
    <w:rsid w:val="459B196B"/>
    <w:rsid w:val="45AB064E"/>
    <w:rsid w:val="47326B5E"/>
    <w:rsid w:val="47B62ED9"/>
    <w:rsid w:val="499D5953"/>
    <w:rsid w:val="4A233C29"/>
    <w:rsid w:val="4B0844CE"/>
    <w:rsid w:val="4B4227F0"/>
    <w:rsid w:val="4C0E158F"/>
    <w:rsid w:val="4C393A63"/>
    <w:rsid w:val="4C431342"/>
    <w:rsid w:val="4C5E2855"/>
    <w:rsid w:val="4D123D00"/>
    <w:rsid w:val="4D6D713B"/>
    <w:rsid w:val="4DA35DAA"/>
    <w:rsid w:val="4DA40EF1"/>
    <w:rsid w:val="4DAD5669"/>
    <w:rsid w:val="4DDA10BD"/>
    <w:rsid w:val="4E4837C9"/>
    <w:rsid w:val="4EFA17F5"/>
    <w:rsid w:val="4F0F2539"/>
    <w:rsid w:val="50BE4276"/>
    <w:rsid w:val="518341FC"/>
    <w:rsid w:val="51C11A2D"/>
    <w:rsid w:val="5402137E"/>
    <w:rsid w:val="54910B90"/>
    <w:rsid w:val="54B55930"/>
    <w:rsid w:val="54E93E02"/>
    <w:rsid w:val="55A07087"/>
    <w:rsid w:val="566B153D"/>
    <w:rsid w:val="56B60D75"/>
    <w:rsid w:val="57720E26"/>
    <w:rsid w:val="57844782"/>
    <w:rsid w:val="57F01B04"/>
    <w:rsid w:val="58D47817"/>
    <w:rsid w:val="596B38A7"/>
    <w:rsid w:val="5C8C0C64"/>
    <w:rsid w:val="5DC54774"/>
    <w:rsid w:val="5E12013C"/>
    <w:rsid w:val="5E2D4D0E"/>
    <w:rsid w:val="5E583CFE"/>
    <w:rsid w:val="5F70492E"/>
    <w:rsid w:val="60344B00"/>
    <w:rsid w:val="613D1187"/>
    <w:rsid w:val="626915E4"/>
    <w:rsid w:val="633A21A0"/>
    <w:rsid w:val="660B2B83"/>
    <w:rsid w:val="66721334"/>
    <w:rsid w:val="67210E21"/>
    <w:rsid w:val="67BC5ABE"/>
    <w:rsid w:val="67DC4D02"/>
    <w:rsid w:val="67E81E4D"/>
    <w:rsid w:val="67FF16D1"/>
    <w:rsid w:val="69343BC4"/>
    <w:rsid w:val="695E6C96"/>
    <w:rsid w:val="69B813AB"/>
    <w:rsid w:val="6A184E24"/>
    <w:rsid w:val="6A537326"/>
    <w:rsid w:val="6A6D7C61"/>
    <w:rsid w:val="6AA82FED"/>
    <w:rsid w:val="6B897EEB"/>
    <w:rsid w:val="6BC3454B"/>
    <w:rsid w:val="6BCF32E2"/>
    <w:rsid w:val="6BD234BD"/>
    <w:rsid w:val="6C3C2767"/>
    <w:rsid w:val="6D0D4104"/>
    <w:rsid w:val="6D1A378B"/>
    <w:rsid w:val="72D10FF8"/>
    <w:rsid w:val="733F2EED"/>
    <w:rsid w:val="743B414C"/>
    <w:rsid w:val="748C0004"/>
    <w:rsid w:val="753F4940"/>
    <w:rsid w:val="75D41D4C"/>
    <w:rsid w:val="76C80508"/>
    <w:rsid w:val="77CC0C0F"/>
    <w:rsid w:val="789F0AEF"/>
    <w:rsid w:val="794E31DB"/>
    <w:rsid w:val="7A4A13DC"/>
    <w:rsid w:val="7A666F9D"/>
    <w:rsid w:val="7AB91427"/>
    <w:rsid w:val="7BD947C0"/>
    <w:rsid w:val="7C9331EB"/>
    <w:rsid w:val="7CCC2537"/>
    <w:rsid w:val="7DE30098"/>
    <w:rsid w:val="7F092664"/>
    <w:rsid w:val="7F3B0118"/>
    <w:rsid w:val="7F4B05F5"/>
    <w:rsid w:val="7FA910F1"/>
    <w:rsid w:val="7FC31288"/>
    <w:rsid w:val="7FD44FC5"/>
    <w:rsid w:val="7FF1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642B5148">
          <w:pPr>
            <w:pStyle w:val="5"/>
          </w:pPr>
          <w:r>
            <w:rPr>
              <w:rStyle w:val="4"/>
              <w:rFonts w:hint="eastAsia"/>
            </w:rPr>
            <w:t>单击或点击此处输入文字。</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1E816FBF">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20</Pages>
  <Words>4022</Words>
  <Characters>4789</Characters>
  <Lines>4</Lines>
  <Paragraphs>1</Paragraphs>
  <TotalTime>2</TotalTime>
  <ScaleCrop>false</ScaleCrop>
  <LinksUpToDate>false</LinksUpToDate>
  <CharactersWithSpaces>4931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2026-04-19T06:09:00Z</dcterms:created>
  <dc:creator>zhangsir</dc:creator>
  <cp:lastModifiedBy>王贵宝</cp:lastModifiedBy>
  <dcterms:modified xsi:type="dcterms:W3CDTF">2026-07-06T06:04:53Z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C51DB55929F94CC49B93CA28316DBA1B_13</vt:lpwstr>
  </property>
  <property fmtid="{D5CDD505-2E9C-101B-9397-08002B2CF9AE}" pid="15" name="KSOTemplateDocerSaveRecord">
    <vt:lpwstr>eyJoZGlkIjoiYmVhNzFmOWUyOTBhNzQyOGYxNWMxMWVjN2M5ODk1NWUiLCJ1c2VySWQiOiIzMjkzNTA1OTEifQ==</vt:lpwstr>
  </property>
  <property fmtid="{D5CDD505-2E9C-101B-9397-08002B2CF9AE}" pid="16" name="KSOProductBuildVer">
    <vt:lpwstr>2052-12.1.0.26895</vt:lpwstr>
  </property>
</Properties>
</file>