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CD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附件3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 w14:paraId="4411E75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威宁自治县人民医院护士鞋采购项目样品递交规则</w:t>
      </w:r>
      <w:bookmarkEnd w:id="0"/>
    </w:p>
    <w:p w14:paraId="7F3E6B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递交样品要求：材质及技术要求参照招标公告，纯白色，夏款2双（男款女款各1双）、冬款2双（低帮、加绒、男款女款各1双），共计4双，推荐尺码37码。样品须全新完好，与后期批量供货产品一致，递交后不得更换。</w:t>
      </w:r>
    </w:p>
    <w:p w14:paraId="6965449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为保证测评公平，所有样品须完全匿名，清除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或完全遮挡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LOGO、商标、厂家名称、联系方式等识别信息。</w:t>
      </w:r>
    </w:p>
    <w:p w14:paraId="6263C3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未按要求执行、泄露品牌信息或弄虚作假的，样品作无效处理，按无效投标认定。</w:t>
      </w:r>
    </w:p>
    <w:tbl>
      <w:tblPr>
        <w:tblStyle w:val="2"/>
        <w:tblW w:w="10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80"/>
        <w:gridCol w:w="3495"/>
        <w:gridCol w:w="3163"/>
        <w:gridCol w:w="1261"/>
      </w:tblGrid>
      <w:tr w14:paraId="5448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样品材质说明表</w:t>
            </w:r>
          </w:p>
        </w:tc>
      </w:tr>
      <w:tr w14:paraId="00AB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工艺特点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100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鞋面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9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2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86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内里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E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6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E1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鞋垫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4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C3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鞋底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5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E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1B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1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81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046B3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4B4B6B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承诺：样品已匿名，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样品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实物与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后期批量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供货成品一致。</w:t>
      </w:r>
    </w:p>
    <w:p w14:paraId="4168FF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报价单位盖章：</w:t>
      </w:r>
    </w:p>
    <w:p w14:paraId="61CED1A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2026年  月   日</w:t>
      </w:r>
    </w:p>
    <w:p w14:paraId="436A53CD"/>
    <w:sectPr>
      <w:pgSz w:w="11906" w:h="16838"/>
      <w:pgMar w:top="1440" w:right="1080" w:bottom="1440" w:left="108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333E"/>
    <w:rsid w:val="1E05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2026-06-22T06:53:00Z</dcterms:created>
  <dc:creator>秋啊个秋秋秋</dc:creator>
  <cp:lastModifiedBy>秋啊个秋秋秋</cp:lastModifiedBy>
  <dcterms:modified xsi:type="dcterms:W3CDTF">2026-06-22T06:54:09Z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E65F358379FF4700BC9343C2D962DC61_11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