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AA9AE">
      <w:pPr>
        <w:keepNext w:val="0"/>
        <w:keepLines w:val="0"/>
        <w:pageBreakBefore w:val="0"/>
        <w:widowControl w:val="0"/>
        <w:kinsoku/>
        <w:wordWrap/>
        <w:overflowPunct/>
        <w:topLinePunct w:val="0"/>
        <w:autoSpaceDE/>
        <w:autoSpaceDN/>
        <w:bidi w:val="0"/>
        <w:adjustRightInd/>
        <w:snapToGrid/>
        <w:spacing w:after="0" w:line="400" w:lineRule="exact"/>
        <w:jc w:val="both"/>
        <w:textAlignment w:val="auto"/>
        <w:rPr>
          <w:rFonts w:hint="eastAsia" w:ascii="黑体" w:hAnsi="黑体" w:eastAsia="黑体" w:cs="黑体"/>
          <w:b w:val="0"/>
          <w:bCs w:val="0"/>
          <w:i w:val="0"/>
          <w:iCs w:val="0"/>
          <w:caps w:val="0"/>
          <w:spacing w:val="8"/>
          <w:kern w:val="2"/>
          <w:sz w:val="32"/>
          <w:szCs w:val="32"/>
          <w:u w:val="none"/>
          <w:lang w:val="en-US" w:eastAsia="zh-CN" w:bidi="ar-SA"/>
        </w:rPr>
      </w:pPr>
      <w:r>
        <w:rPr>
          <w:rFonts w:hint="eastAsia" w:ascii="黑体" w:hAnsi="黑体" w:eastAsia="黑体" w:cs="黑体"/>
          <w:b w:val="0"/>
          <w:bCs w:val="0"/>
          <w:i w:val="0"/>
          <w:iCs w:val="0"/>
          <w:caps w:val="0"/>
          <w:spacing w:val="8"/>
          <w:kern w:val="2"/>
          <w:sz w:val="32"/>
          <w:szCs w:val="32"/>
          <w:u w:val="none"/>
          <w:lang w:val="en-US" w:eastAsia="zh-CN" w:bidi="ar-SA"/>
        </w:rPr>
        <w:t>附件2：</w:t>
      </w:r>
    </w:p>
    <w:p w14:paraId="2FE916F7">
      <w:pPr>
        <w:keepNext w:val="0"/>
        <w:keepLines w:val="0"/>
        <w:pageBreakBefore w:val="0"/>
        <w:widowControl w:val="0"/>
        <w:kinsoku/>
        <w:wordWrap/>
        <w:overflowPunct/>
        <w:topLinePunct w:val="0"/>
        <w:autoSpaceDE/>
        <w:autoSpaceDN/>
        <w:bidi w:val="0"/>
        <w:adjustRightInd/>
        <w:snapToGrid/>
        <w:spacing w:after="0" w:line="400" w:lineRule="exact"/>
        <w:jc w:val="center"/>
        <w:textAlignment w:val="auto"/>
        <w:rPr>
          <w:rFonts w:hint="default" w:ascii="Microsoft YaHei UI" w:hAnsi="Microsoft YaHei UI" w:eastAsia="Microsoft YaHei UI" w:cs="Microsoft YaHei UI"/>
          <w:b/>
          <w:bCs/>
          <w:i w:val="0"/>
          <w:iCs w:val="0"/>
          <w:caps w:val="0"/>
          <w:spacing w:val="8"/>
          <w:kern w:val="2"/>
          <w:sz w:val="25"/>
          <w:szCs w:val="25"/>
          <w:u w:val="none"/>
          <w:lang w:val="en-US" w:eastAsia="zh-CN" w:bidi="ar-SA"/>
        </w:rPr>
      </w:pPr>
      <w:r>
        <w:rPr>
          <w:rFonts w:hint="eastAsia" w:ascii="仿宋_GB2312" w:hAnsi="仿宋_GB2312" w:eastAsia="仿宋_GB2312" w:cs="仿宋_GB2312"/>
          <w:b/>
          <w:bCs/>
          <w:i w:val="0"/>
          <w:iCs w:val="0"/>
          <w:caps w:val="0"/>
          <w:spacing w:val="8"/>
          <w:kern w:val="2"/>
          <w:sz w:val="28"/>
          <w:szCs w:val="28"/>
          <w:u w:val="none"/>
          <w:lang w:val="en-US" w:eastAsia="zh-CN" w:bidi="ar-SA"/>
        </w:rPr>
        <w:t>威宁自治县人民医院2026年过滤网更换采购项目评分表</w:t>
      </w:r>
    </w:p>
    <w:p w14:paraId="51157F3F">
      <w:pPr>
        <w:spacing w:line="480" w:lineRule="exact"/>
        <w:ind w:firstLine="420" w:firstLineChars="200"/>
        <w:rPr>
          <w:rFonts w:hint="eastAsia" w:ascii="宋体" w:hAnsi="宋体" w:eastAsia="宋体" w:cs="宋体"/>
          <w:szCs w:val="21"/>
        </w:rPr>
      </w:pPr>
      <w:r>
        <w:rPr>
          <w:rFonts w:hint="eastAsia" w:ascii="宋体" w:hAnsi="宋体" w:eastAsia="宋体" w:cs="宋体"/>
          <w:szCs w:val="21"/>
        </w:rPr>
        <w:t>评分得分总值最高为100分，评分分值（权重）分配如下：</w:t>
      </w:r>
    </w:p>
    <w:tbl>
      <w:tblPr>
        <w:tblStyle w:val="3"/>
        <w:tblW w:w="4998" w:type="pct"/>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2411"/>
        <w:gridCol w:w="2069"/>
        <w:gridCol w:w="2069"/>
        <w:gridCol w:w="2069"/>
      </w:tblGrid>
      <w:tr w14:paraId="78DCC33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99" w:type="pct"/>
            <w:noWrap w:val="0"/>
            <w:vAlign w:val="center"/>
          </w:tcPr>
          <w:p w14:paraId="36DFFD29">
            <w:pPr>
              <w:widowControl/>
              <w:shd w:val="clear" w:color="auto" w:fill="FFFFFF"/>
              <w:spacing w:line="480" w:lineRule="exact"/>
              <w:jc w:val="center"/>
              <w:rPr>
                <w:rFonts w:hint="eastAsia" w:ascii="宋体" w:hAnsi="宋体" w:eastAsia="宋体" w:cs="宋体"/>
                <w:b/>
                <w:bCs/>
                <w:szCs w:val="21"/>
              </w:rPr>
            </w:pPr>
            <w:r>
              <w:rPr>
                <w:rFonts w:hint="eastAsia" w:ascii="宋体" w:hAnsi="宋体" w:eastAsia="宋体" w:cs="宋体"/>
                <w:b/>
                <w:bCs/>
                <w:szCs w:val="21"/>
              </w:rPr>
              <w:t>评分项目</w:t>
            </w:r>
          </w:p>
        </w:tc>
        <w:tc>
          <w:tcPr>
            <w:tcW w:w="1200" w:type="pct"/>
            <w:noWrap w:val="0"/>
            <w:vAlign w:val="center"/>
          </w:tcPr>
          <w:p w14:paraId="03E7E053">
            <w:pPr>
              <w:widowControl/>
              <w:shd w:val="clear" w:color="auto" w:fill="FFFFFF"/>
              <w:spacing w:line="480" w:lineRule="exact"/>
              <w:jc w:val="center"/>
              <w:rPr>
                <w:rFonts w:hint="eastAsia" w:ascii="宋体" w:hAnsi="宋体" w:eastAsia="宋体" w:cs="宋体"/>
                <w:b/>
                <w:bCs/>
                <w:szCs w:val="21"/>
              </w:rPr>
            </w:pPr>
            <w:r>
              <w:rPr>
                <w:rFonts w:hint="eastAsia" w:ascii="宋体" w:hAnsi="宋体" w:eastAsia="宋体" w:cs="宋体"/>
                <w:b/>
                <w:bCs/>
                <w:szCs w:val="21"/>
              </w:rPr>
              <w:t>价格分</w:t>
            </w:r>
          </w:p>
        </w:tc>
        <w:tc>
          <w:tcPr>
            <w:tcW w:w="1200" w:type="pct"/>
            <w:noWrap w:val="0"/>
            <w:vAlign w:val="center"/>
          </w:tcPr>
          <w:p w14:paraId="11EF970F">
            <w:pPr>
              <w:widowControl/>
              <w:shd w:val="clear" w:color="auto" w:fill="FFFFFF"/>
              <w:spacing w:line="480" w:lineRule="exact"/>
              <w:jc w:val="center"/>
              <w:rPr>
                <w:rFonts w:hint="eastAsia" w:ascii="宋体" w:hAnsi="宋体" w:eastAsia="宋体" w:cs="宋体"/>
                <w:b/>
                <w:bCs/>
                <w:szCs w:val="21"/>
              </w:rPr>
            </w:pPr>
            <w:r>
              <w:rPr>
                <w:rFonts w:hint="eastAsia" w:ascii="宋体" w:hAnsi="宋体" w:eastAsia="宋体" w:cs="宋体"/>
                <w:b/>
                <w:bCs/>
                <w:szCs w:val="21"/>
              </w:rPr>
              <w:t>技术分</w:t>
            </w:r>
          </w:p>
        </w:tc>
        <w:tc>
          <w:tcPr>
            <w:tcW w:w="1200" w:type="pct"/>
            <w:noWrap w:val="0"/>
            <w:vAlign w:val="center"/>
          </w:tcPr>
          <w:p w14:paraId="442C1202">
            <w:pPr>
              <w:widowControl/>
              <w:shd w:val="clear" w:color="auto" w:fill="FFFFFF"/>
              <w:spacing w:line="480" w:lineRule="exact"/>
              <w:jc w:val="center"/>
              <w:rPr>
                <w:rFonts w:hint="eastAsia" w:ascii="宋体" w:hAnsi="宋体" w:eastAsia="宋体" w:cs="宋体"/>
                <w:b/>
                <w:bCs/>
                <w:szCs w:val="21"/>
              </w:rPr>
            </w:pPr>
            <w:r>
              <w:rPr>
                <w:rFonts w:hint="eastAsia" w:ascii="宋体" w:hAnsi="宋体" w:eastAsia="宋体" w:cs="宋体"/>
                <w:b/>
                <w:bCs/>
                <w:szCs w:val="21"/>
              </w:rPr>
              <w:t>商务分</w:t>
            </w:r>
          </w:p>
        </w:tc>
      </w:tr>
      <w:tr w14:paraId="3F356A8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399" w:type="pct"/>
            <w:noWrap w:val="0"/>
            <w:vAlign w:val="center"/>
          </w:tcPr>
          <w:p w14:paraId="0B646369">
            <w:pPr>
              <w:widowControl/>
              <w:shd w:val="clear" w:color="auto" w:fill="FFFFFF"/>
              <w:spacing w:line="480" w:lineRule="exact"/>
              <w:jc w:val="center"/>
              <w:rPr>
                <w:rFonts w:hint="eastAsia" w:ascii="宋体" w:hAnsi="宋体" w:eastAsia="宋体" w:cs="宋体"/>
                <w:b/>
                <w:bCs/>
                <w:szCs w:val="21"/>
              </w:rPr>
            </w:pPr>
            <w:r>
              <w:rPr>
                <w:rFonts w:hint="eastAsia" w:ascii="宋体" w:hAnsi="宋体" w:eastAsia="宋体" w:cs="宋体"/>
                <w:b/>
                <w:bCs/>
                <w:szCs w:val="21"/>
              </w:rPr>
              <w:t>分值</w:t>
            </w:r>
          </w:p>
        </w:tc>
        <w:tc>
          <w:tcPr>
            <w:tcW w:w="1200" w:type="pct"/>
            <w:noWrap w:val="0"/>
            <w:vAlign w:val="center"/>
          </w:tcPr>
          <w:p w14:paraId="07FCB4C2">
            <w:pPr>
              <w:widowControl/>
              <w:shd w:val="clear" w:color="auto" w:fill="FFFFFF"/>
              <w:spacing w:line="480" w:lineRule="exact"/>
              <w:jc w:val="center"/>
              <w:rPr>
                <w:rFonts w:hint="default" w:ascii="宋体" w:hAnsi="宋体" w:eastAsia="宋体" w:cs="宋体"/>
                <w:b/>
                <w:bCs/>
                <w:szCs w:val="21"/>
                <w:lang w:val="en-US" w:eastAsia="zh-CN"/>
              </w:rPr>
            </w:pPr>
            <w:r>
              <w:rPr>
                <w:rFonts w:hint="eastAsia" w:ascii="宋体" w:hAnsi="宋体" w:eastAsia="宋体" w:cs="宋体"/>
                <w:b/>
                <w:bCs/>
                <w:szCs w:val="21"/>
                <w:lang w:val="en-US" w:eastAsia="zh-CN"/>
              </w:rPr>
              <w:t>40</w:t>
            </w:r>
          </w:p>
        </w:tc>
        <w:tc>
          <w:tcPr>
            <w:tcW w:w="1200" w:type="pct"/>
            <w:noWrap w:val="0"/>
            <w:vAlign w:val="center"/>
          </w:tcPr>
          <w:p w14:paraId="718C27DE">
            <w:pPr>
              <w:widowControl/>
              <w:shd w:val="clear" w:color="auto" w:fill="FFFFFF"/>
              <w:spacing w:line="480" w:lineRule="exact"/>
              <w:jc w:val="center"/>
              <w:rPr>
                <w:rFonts w:hint="default" w:ascii="宋体" w:hAnsi="宋体" w:eastAsia="宋体" w:cs="宋体"/>
                <w:b/>
                <w:bCs/>
                <w:szCs w:val="21"/>
                <w:lang w:val="en-US" w:eastAsia="zh-CN"/>
              </w:rPr>
            </w:pPr>
            <w:r>
              <w:rPr>
                <w:rFonts w:hint="eastAsia" w:ascii="宋体" w:hAnsi="宋体" w:eastAsia="宋体" w:cs="宋体"/>
                <w:b/>
                <w:bCs/>
                <w:szCs w:val="21"/>
                <w:lang w:val="en-US" w:eastAsia="zh-CN"/>
              </w:rPr>
              <w:t>15</w:t>
            </w:r>
          </w:p>
        </w:tc>
        <w:tc>
          <w:tcPr>
            <w:tcW w:w="1200" w:type="pct"/>
            <w:noWrap w:val="0"/>
            <w:vAlign w:val="center"/>
          </w:tcPr>
          <w:p w14:paraId="5BD9B9FF">
            <w:pPr>
              <w:widowControl/>
              <w:shd w:val="clear" w:color="auto" w:fill="FFFFFF"/>
              <w:spacing w:line="480" w:lineRule="exact"/>
              <w:jc w:val="center"/>
              <w:rPr>
                <w:rFonts w:hint="default" w:ascii="宋体" w:hAnsi="宋体" w:eastAsia="宋体" w:cs="宋体"/>
                <w:b/>
                <w:bCs/>
                <w:szCs w:val="21"/>
                <w:lang w:val="en-US" w:eastAsia="zh-CN"/>
              </w:rPr>
            </w:pPr>
            <w:r>
              <w:rPr>
                <w:rFonts w:hint="eastAsia" w:ascii="宋体" w:hAnsi="宋体" w:eastAsia="宋体" w:cs="宋体"/>
                <w:b/>
                <w:bCs/>
                <w:szCs w:val="21"/>
                <w:lang w:val="en-US" w:eastAsia="zh-CN"/>
              </w:rPr>
              <w:t>45</w:t>
            </w:r>
          </w:p>
        </w:tc>
      </w:tr>
    </w:tbl>
    <w:p w14:paraId="10F7A1AC">
      <w:pPr>
        <w:widowControl/>
        <w:shd w:val="clear" w:color="auto" w:fill="FFFFFF"/>
        <w:spacing w:line="480" w:lineRule="exact"/>
        <w:ind w:firstLine="422" w:firstLineChars="200"/>
        <w:rPr>
          <w:rFonts w:hint="eastAsia" w:ascii="宋体" w:hAnsi="宋体" w:eastAsia="宋体" w:cs="宋体"/>
          <w:b/>
          <w:szCs w:val="21"/>
        </w:rPr>
      </w:pPr>
      <w:r>
        <w:rPr>
          <w:rFonts w:hint="eastAsia" w:ascii="宋体" w:hAnsi="宋体" w:eastAsia="宋体" w:cs="宋体"/>
          <w:b/>
          <w:bCs/>
          <w:szCs w:val="21"/>
        </w:rPr>
        <w:t>1.价格分</w:t>
      </w:r>
      <w:r>
        <w:rPr>
          <w:rFonts w:hint="eastAsia" w:ascii="宋体" w:hAnsi="宋体" w:eastAsia="宋体" w:cs="宋体"/>
          <w:b/>
          <w:szCs w:val="21"/>
        </w:rPr>
        <w:t>【满分</w:t>
      </w:r>
      <w:r>
        <w:rPr>
          <w:rFonts w:hint="eastAsia" w:ascii="宋体" w:hAnsi="宋体" w:eastAsia="宋体" w:cs="宋体"/>
          <w:b/>
          <w:szCs w:val="21"/>
          <w:lang w:val="en-US" w:eastAsia="zh-CN"/>
        </w:rPr>
        <w:t>40</w:t>
      </w:r>
      <w:r>
        <w:rPr>
          <w:rFonts w:hint="eastAsia" w:ascii="宋体" w:hAnsi="宋体" w:eastAsia="宋体" w:cs="宋体"/>
          <w:b/>
          <w:szCs w:val="21"/>
        </w:rPr>
        <w:t>分】：</w:t>
      </w:r>
    </w:p>
    <w:tbl>
      <w:tblPr>
        <w:tblStyle w:val="3"/>
        <w:tblW w:w="0" w:type="auto"/>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571"/>
        <w:gridCol w:w="655"/>
        <w:gridCol w:w="504"/>
        <w:gridCol w:w="6783"/>
      </w:tblGrid>
      <w:tr w14:paraId="571C724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0" w:type="auto"/>
            <w:noWrap w:val="0"/>
            <w:vAlign w:val="center"/>
          </w:tcPr>
          <w:p w14:paraId="35204B5C">
            <w:pPr>
              <w:tabs>
                <w:tab w:val="center" w:pos="4153"/>
                <w:tab w:val="right" w:pos="8306"/>
              </w:tabs>
              <w:jc w:val="center"/>
              <w:rPr>
                <w:rFonts w:hint="eastAsia" w:ascii="宋体" w:hAnsi="宋体" w:eastAsia="宋体" w:cs="宋体"/>
                <w:b/>
                <w:caps/>
                <w:szCs w:val="21"/>
              </w:rPr>
            </w:pPr>
            <w:r>
              <w:rPr>
                <w:rFonts w:hint="eastAsia" w:ascii="宋体" w:hAnsi="宋体" w:eastAsia="宋体" w:cs="宋体"/>
                <w:b/>
                <w:bCs/>
                <w:szCs w:val="21"/>
              </w:rPr>
              <w:t>序号</w:t>
            </w:r>
          </w:p>
        </w:tc>
        <w:tc>
          <w:tcPr>
            <w:tcW w:w="0" w:type="auto"/>
            <w:noWrap w:val="0"/>
            <w:vAlign w:val="center"/>
          </w:tcPr>
          <w:p w14:paraId="1D208D21">
            <w:pPr>
              <w:tabs>
                <w:tab w:val="center" w:pos="4153"/>
                <w:tab w:val="right" w:pos="8306"/>
              </w:tabs>
              <w:jc w:val="center"/>
              <w:rPr>
                <w:rFonts w:hint="eastAsia" w:ascii="宋体" w:hAnsi="宋体" w:eastAsia="宋体" w:cs="宋体"/>
                <w:szCs w:val="21"/>
              </w:rPr>
            </w:pPr>
            <w:r>
              <w:rPr>
                <w:rFonts w:hint="eastAsia" w:ascii="宋体" w:hAnsi="宋体" w:eastAsia="宋体" w:cs="宋体"/>
                <w:b/>
                <w:bCs/>
                <w:szCs w:val="21"/>
              </w:rPr>
              <w:t>评分因素</w:t>
            </w:r>
          </w:p>
        </w:tc>
        <w:tc>
          <w:tcPr>
            <w:tcW w:w="0" w:type="auto"/>
            <w:noWrap w:val="0"/>
            <w:vAlign w:val="center"/>
          </w:tcPr>
          <w:p w14:paraId="03846100">
            <w:pPr>
              <w:tabs>
                <w:tab w:val="center" w:pos="4153"/>
                <w:tab w:val="right" w:pos="8306"/>
              </w:tabs>
              <w:jc w:val="center"/>
              <w:rPr>
                <w:rFonts w:hint="eastAsia" w:ascii="宋体" w:hAnsi="宋体" w:eastAsia="宋体" w:cs="宋体"/>
                <w:szCs w:val="21"/>
              </w:rPr>
            </w:pPr>
            <w:r>
              <w:rPr>
                <w:rFonts w:hint="eastAsia" w:ascii="宋体" w:hAnsi="宋体" w:eastAsia="宋体" w:cs="宋体"/>
                <w:b/>
                <w:bCs/>
                <w:szCs w:val="21"/>
              </w:rPr>
              <w:t>分值</w:t>
            </w:r>
          </w:p>
        </w:tc>
        <w:tc>
          <w:tcPr>
            <w:tcW w:w="0" w:type="auto"/>
            <w:noWrap w:val="0"/>
            <w:vAlign w:val="center"/>
          </w:tcPr>
          <w:p w14:paraId="579D4CC9">
            <w:pPr>
              <w:jc w:val="center"/>
              <w:rPr>
                <w:rFonts w:hint="eastAsia" w:ascii="宋体" w:hAnsi="宋体" w:eastAsia="宋体" w:cs="宋体"/>
                <w:szCs w:val="21"/>
              </w:rPr>
            </w:pPr>
            <w:r>
              <w:rPr>
                <w:rFonts w:hint="eastAsia" w:ascii="宋体" w:hAnsi="宋体" w:eastAsia="宋体" w:cs="宋体"/>
                <w:b/>
                <w:bCs/>
                <w:szCs w:val="21"/>
              </w:rPr>
              <w:t>评分标准</w:t>
            </w:r>
          </w:p>
        </w:tc>
      </w:tr>
      <w:tr w14:paraId="4474626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0" w:type="auto"/>
            <w:noWrap w:val="0"/>
            <w:vAlign w:val="center"/>
          </w:tcPr>
          <w:p w14:paraId="158E89D1">
            <w:pPr>
              <w:tabs>
                <w:tab w:val="center" w:pos="4153"/>
                <w:tab w:val="right" w:pos="8306"/>
              </w:tabs>
              <w:jc w:val="center"/>
              <w:rPr>
                <w:rFonts w:hint="eastAsia" w:ascii="宋体" w:hAnsi="宋体" w:eastAsia="宋体" w:cs="宋体"/>
                <w:b/>
                <w:bCs/>
                <w:szCs w:val="21"/>
              </w:rPr>
            </w:pPr>
            <w:r>
              <w:rPr>
                <w:rFonts w:hint="eastAsia" w:ascii="宋体" w:hAnsi="宋体" w:eastAsia="宋体" w:cs="宋体"/>
                <w:b/>
                <w:bCs/>
                <w:szCs w:val="21"/>
              </w:rPr>
              <w:t>1.1</w:t>
            </w:r>
          </w:p>
        </w:tc>
        <w:tc>
          <w:tcPr>
            <w:tcW w:w="0" w:type="auto"/>
            <w:noWrap w:val="0"/>
            <w:vAlign w:val="center"/>
          </w:tcPr>
          <w:p w14:paraId="38174658">
            <w:pPr>
              <w:tabs>
                <w:tab w:val="center" w:pos="4153"/>
                <w:tab w:val="right" w:pos="8306"/>
              </w:tabs>
              <w:jc w:val="center"/>
              <w:rPr>
                <w:rFonts w:hint="eastAsia" w:ascii="宋体" w:hAnsi="宋体" w:eastAsia="宋体" w:cs="宋体"/>
                <w:b/>
                <w:bCs/>
                <w:szCs w:val="21"/>
              </w:rPr>
            </w:pPr>
            <w:r>
              <w:rPr>
                <w:rFonts w:hint="eastAsia" w:ascii="宋体" w:hAnsi="宋体" w:eastAsia="宋体" w:cs="宋体"/>
                <w:b/>
                <w:bCs/>
                <w:szCs w:val="21"/>
              </w:rPr>
              <w:t>响应报价</w:t>
            </w:r>
          </w:p>
        </w:tc>
        <w:tc>
          <w:tcPr>
            <w:tcW w:w="0" w:type="auto"/>
            <w:noWrap w:val="0"/>
            <w:vAlign w:val="center"/>
          </w:tcPr>
          <w:p w14:paraId="1D64465E">
            <w:pPr>
              <w:tabs>
                <w:tab w:val="center" w:pos="4153"/>
                <w:tab w:val="right" w:pos="8306"/>
              </w:tabs>
              <w:jc w:val="center"/>
              <w:rPr>
                <w:rFonts w:hint="default" w:ascii="宋体" w:hAnsi="宋体" w:eastAsia="宋体" w:cs="宋体"/>
                <w:b/>
                <w:bCs/>
                <w:szCs w:val="21"/>
                <w:lang w:val="en-US" w:eastAsia="zh-CN"/>
              </w:rPr>
            </w:pPr>
            <w:r>
              <w:rPr>
                <w:rFonts w:hint="eastAsia" w:ascii="宋体" w:hAnsi="宋体" w:eastAsia="宋体" w:cs="宋体"/>
                <w:b/>
                <w:bCs/>
                <w:szCs w:val="21"/>
                <w:lang w:val="en-US" w:eastAsia="zh-CN"/>
              </w:rPr>
              <w:t>40</w:t>
            </w:r>
          </w:p>
        </w:tc>
        <w:tc>
          <w:tcPr>
            <w:tcW w:w="0" w:type="auto"/>
            <w:noWrap w:val="0"/>
            <w:vAlign w:val="center"/>
          </w:tcPr>
          <w:p w14:paraId="2D135FCE">
            <w:pPr>
              <w:widowControl/>
              <w:spacing w:line="360" w:lineRule="auto"/>
              <w:ind w:firstLine="420" w:firstLineChars="200"/>
              <w:rPr>
                <w:rFonts w:hint="eastAsia" w:ascii="宋体" w:hAnsi="宋体" w:eastAsia="宋体" w:cs="宋体"/>
                <w:szCs w:val="21"/>
              </w:rPr>
            </w:pPr>
            <w:r>
              <w:rPr>
                <w:rFonts w:hint="eastAsia" w:ascii="宋体" w:hAnsi="宋体" w:eastAsia="宋体" w:cs="宋体"/>
                <w:szCs w:val="21"/>
              </w:rPr>
              <w:t>价格分统一采用基准价法计算，通过初步评审的所有投标人的投标价格（满足比选文件要求），取所有有效投标价格的最低报价为基准价，各投标人的价格分统一按照下列公式计算：</w:t>
            </w:r>
          </w:p>
          <w:p w14:paraId="4CF45B53">
            <w:pPr>
              <w:spacing w:line="360" w:lineRule="auto"/>
              <w:rPr>
                <w:rFonts w:hint="eastAsia" w:ascii="宋体" w:hAnsi="宋体" w:eastAsia="宋体" w:cs="宋体"/>
                <w:szCs w:val="21"/>
              </w:rPr>
            </w:pPr>
            <w:r>
              <w:rPr>
                <w:rFonts w:hint="eastAsia" w:ascii="宋体" w:hAnsi="宋体" w:eastAsia="宋体" w:cs="宋体"/>
                <w:b/>
                <w:bCs/>
                <w:szCs w:val="21"/>
              </w:rPr>
              <w:t>报价得分=（基准价/供应商报价）×</w:t>
            </w:r>
            <w:r>
              <w:rPr>
                <w:rFonts w:hint="eastAsia" w:ascii="宋体" w:hAnsi="宋体" w:eastAsia="宋体" w:cs="宋体"/>
                <w:b/>
                <w:bCs/>
                <w:szCs w:val="21"/>
                <w:lang w:val="en-US" w:eastAsia="zh-CN"/>
              </w:rPr>
              <w:t>4</w:t>
            </w:r>
            <w:r>
              <w:rPr>
                <w:rFonts w:hint="eastAsia" w:ascii="宋体" w:hAnsi="宋体" w:eastAsia="宋体" w:cs="宋体"/>
                <w:b/>
                <w:bCs/>
                <w:szCs w:val="21"/>
              </w:rPr>
              <w:t>0</w:t>
            </w:r>
          </w:p>
        </w:tc>
      </w:tr>
    </w:tbl>
    <w:p w14:paraId="05F16F6E">
      <w:pPr>
        <w:widowControl/>
        <w:shd w:val="clear" w:color="auto" w:fill="FFFFFF"/>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2.技术分【满分</w:t>
      </w:r>
      <w:r>
        <w:rPr>
          <w:rFonts w:hint="eastAsia" w:ascii="宋体" w:hAnsi="宋体" w:eastAsia="宋体" w:cs="宋体"/>
          <w:b/>
          <w:bCs/>
          <w:szCs w:val="21"/>
          <w:lang w:val="en-US" w:eastAsia="zh-CN"/>
        </w:rPr>
        <w:t>15</w:t>
      </w:r>
      <w:r>
        <w:rPr>
          <w:rFonts w:hint="eastAsia" w:ascii="宋体" w:hAnsi="宋体" w:eastAsia="宋体" w:cs="宋体"/>
          <w:b/>
          <w:bCs/>
          <w:szCs w:val="21"/>
        </w:rPr>
        <w:t>分】：</w:t>
      </w:r>
    </w:p>
    <w:tbl>
      <w:tblPr>
        <w:tblStyle w:val="3"/>
        <w:tblW w:w="0" w:type="auto"/>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534"/>
        <w:gridCol w:w="1467"/>
        <w:gridCol w:w="492"/>
        <w:gridCol w:w="6020"/>
      </w:tblGrid>
      <w:tr w14:paraId="73CF8CF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0" w:type="auto"/>
            <w:noWrap w:val="0"/>
            <w:vAlign w:val="center"/>
          </w:tcPr>
          <w:p w14:paraId="4DA6C3D2">
            <w:pPr>
              <w:tabs>
                <w:tab w:val="center" w:pos="4153"/>
                <w:tab w:val="right" w:pos="8306"/>
              </w:tabs>
              <w:spacing w:line="360" w:lineRule="auto"/>
              <w:jc w:val="center"/>
              <w:rPr>
                <w:rFonts w:hint="eastAsia" w:ascii="宋体" w:hAnsi="宋体" w:eastAsia="宋体" w:cs="宋体"/>
                <w:b/>
                <w:caps/>
                <w:sz w:val="21"/>
                <w:szCs w:val="21"/>
              </w:rPr>
            </w:pPr>
            <w:r>
              <w:rPr>
                <w:rFonts w:hint="eastAsia" w:ascii="宋体" w:hAnsi="宋体" w:eastAsia="宋体" w:cs="宋体"/>
                <w:b/>
                <w:bCs/>
                <w:sz w:val="21"/>
                <w:szCs w:val="21"/>
              </w:rPr>
              <w:t>序号</w:t>
            </w:r>
          </w:p>
        </w:tc>
        <w:tc>
          <w:tcPr>
            <w:tcW w:w="0" w:type="auto"/>
            <w:noWrap w:val="0"/>
            <w:vAlign w:val="center"/>
          </w:tcPr>
          <w:p w14:paraId="1740448C">
            <w:pPr>
              <w:tabs>
                <w:tab w:val="center" w:pos="4153"/>
                <w:tab w:val="right" w:pos="8306"/>
              </w:tabs>
              <w:spacing w:line="360" w:lineRule="auto"/>
              <w:jc w:val="center"/>
              <w:rPr>
                <w:rFonts w:hint="eastAsia" w:ascii="宋体" w:hAnsi="宋体" w:eastAsia="宋体" w:cs="宋体"/>
                <w:sz w:val="21"/>
                <w:szCs w:val="21"/>
              </w:rPr>
            </w:pPr>
            <w:r>
              <w:rPr>
                <w:rFonts w:hint="eastAsia" w:ascii="宋体" w:hAnsi="宋体" w:eastAsia="宋体" w:cs="宋体"/>
                <w:b/>
                <w:bCs/>
                <w:sz w:val="21"/>
                <w:szCs w:val="21"/>
              </w:rPr>
              <w:t>评分因素</w:t>
            </w:r>
          </w:p>
        </w:tc>
        <w:tc>
          <w:tcPr>
            <w:tcW w:w="0" w:type="auto"/>
            <w:noWrap w:val="0"/>
            <w:vAlign w:val="center"/>
          </w:tcPr>
          <w:p w14:paraId="306C3F96">
            <w:pPr>
              <w:tabs>
                <w:tab w:val="center" w:pos="4153"/>
                <w:tab w:val="right" w:pos="8306"/>
              </w:tabs>
              <w:spacing w:line="360" w:lineRule="auto"/>
              <w:jc w:val="center"/>
              <w:rPr>
                <w:rFonts w:hint="eastAsia" w:ascii="宋体" w:hAnsi="宋体" w:eastAsia="宋体" w:cs="宋体"/>
                <w:sz w:val="21"/>
                <w:szCs w:val="21"/>
              </w:rPr>
            </w:pPr>
            <w:r>
              <w:rPr>
                <w:rFonts w:hint="eastAsia" w:ascii="宋体" w:hAnsi="宋体" w:eastAsia="宋体" w:cs="宋体"/>
                <w:b/>
                <w:bCs/>
                <w:sz w:val="21"/>
                <w:szCs w:val="21"/>
              </w:rPr>
              <w:t>分值</w:t>
            </w:r>
          </w:p>
        </w:tc>
        <w:tc>
          <w:tcPr>
            <w:tcW w:w="0" w:type="auto"/>
            <w:noWrap w:val="0"/>
            <w:vAlign w:val="center"/>
          </w:tcPr>
          <w:p w14:paraId="0CBA8ABA">
            <w:pPr>
              <w:spacing w:line="360" w:lineRule="auto"/>
              <w:jc w:val="center"/>
              <w:rPr>
                <w:rFonts w:hint="eastAsia" w:ascii="宋体" w:hAnsi="宋体" w:eastAsia="宋体" w:cs="宋体"/>
                <w:sz w:val="21"/>
                <w:szCs w:val="21"/>
              </w:rPr>
            </w:pPr>
            <w:r>
              <w:rPr>
                <w:rFonts w:hint="eastAsia" w:ascii="宋体" w:hAnsi="宋体" w:eastAsia="宋体" w:cs="宋体"/>
                <w:b/>
                <w:bCs/>
                <w:sz w:val="21"/>
                <w:szCs w:val="21"/>
              </w:rPr>
              <w:t>评分标准</w:t>
            </w:r>
          </w:p>
        </w:tc>
      </w:tr>
      <w:tr w14:paraId="661F8E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152" w:hRule="atLeast"/>
        </w:trPr>
        <w:tc>
          <w:tcPr>
            <w:tcW w:w="0" w:type="auto"/>
            <w:noWrap w:val="0"/>
            <w:vAlign w:val="center"/>
          </w:tcPr>
          <w:p w14:paraId="7EA467DA">
            <w:pPr>
              <w:tabs>
                <w:tab w:val="center" w:pos="4153"/>
                <w:tab w:val="right" w:pos="8306"/>
              </w:tabs>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2.1</w:t>
            </w:r>
          </w:p>
        </w:tc>
        <w:tc>
          <w:tcPr>
            <w:tcW w:w="1526" w:type="dxa"/>
            <w:noWrap w:val="0"/>
            <w:vAlign w:val="center"/>
          </w:tcPr>
          <w:p w14:paraId="372CBCF5">
            <w:pPr>
              <w:tabs>
                <w:tab w:val="center" w:pos="4153"/>
                <w:tab w:val="right" w:pos="8306"/>
              </w:tabs>
              <w:jc w:val="center"/>
              <w:rPr>
                <w:rFonts w:hint="eastAsia" w:ascii="宋体" w:hAnsi="宋体" w:eastAsia="宋体" w:cs="宋体"/>
                <w:b/>
                <w:bCs/>
                <w:sz w:val="21"/>
                <w:szCs w:val="21"/>
              </w:rPr>
            </w:pPr>
            <w:r>
              <w:rPr>
                <w:rFonts w:hint="eastAsia" w:ascii="宋体" w:hAnsi="宋体" w:eastAsia="宋体" w:cs="宋体"/>
                <w:b/>
                <w:bCs/>
                <w:sz w:val="21"/>
                <w:szCs w:val="21"/>
                <w:highlight w:val="none"/>
              </w:rPr>
              <w:t>技术方案评价（主观分）</w:t>
            </w:r>
          </w:p>
        </w:tc>
        <w:tc>
          <w:tcPr>
            <w:tcW w:w="496" w:type="dxa"/>
            <w:noWrap w:val="0"/>
            <w:vAlign w:val="center"/>
          </w:tcPr>
          <w:p w14:paraId="17B51ADC">
            <w:pPr>
              <w:spacing w:line="360" w:lineRule="exact"/>
              <w:jc w:val="center"/>
              <w:rPr>
                <w:rFonts w:hint="eastAsia" w:ascii="宋体" w:hAnsi="宋体" w:eastAsia="宋体" w:cs="宋体"/>
                <w:b/>
                <w:bCs/>
                <w:sz w:val="21"/>
                <w:szCs w:val="21"/>
                <w:lang w:val="en-US" w:eastAsia="zh-CN"/>
              </w:rPr>
            </w:pPr>
            <w:r>
              <w:rPr>
                <w:rFonts w:hint="eastAsia" w:ascii="宋体" w:hAnsi="宋体" w:eastAsia="宋体" w:cs="宋体"/>
                <w:b/>
                <w:bCs/>
                <w:caps/>
                <w:sz w:val="21"/>
                <w:szCs w:val="21"/>
                <w:highlight w:val="none"/>
                <w:lang w:val="en-US" w:eastAsia="zh-CN"/>
              </w:rPr>
              <w:t>10</w:t>
            </w:r>
            <w:r>
              <w:rPr>
                <w:rFonts w:hint="eastAsia" w:ascii="宋体" w:hAnsi="宋体" w:eastAsia="宋体" w:cs="宋体"/>
                <w:b/>
                <w:bCs/>
                <w:caps/>
                <w:sz w:val="21"/>
                <w:szCs w:val="21"/>
                <w:highlight w:val="none"/>
              </w:rPr>
              <w:t>分</w:t>
            </w:r>
          </w:p>
        </w:tc>
        <w:tc>
          <w:tcPr>
            <w:tcW w:w="6364" w:type="dxa"/>
            <w:noWrap w:val="0"/>
            <w:vAlign w:val="center"/>
          </w:tcPr>
          <w:p w14:paraId="195C1017">
            <w:pPr>
              <w:spacing w:line="360" w:lineRule="exact"/>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供应商根据</w:t>
            </w:r>
            <w:r>
              <w:rPr>
                <w:rFonts w:hint="eastAsia" w:ascii="宋体" w:hAnsi="宋体" w:eastAsia="宋体" w:cs="宋体"/>
                <w:b/>
                <w:bCs/>
                <w:sz w:val="21"/>
                <w:szCs w:val="21"/>
                <w:highlight w:val="none"/>
                <w:lang w:val="en-US" w:eastAsia="zh-CN"/>
              </w:rPr>
              <w:t>比选文件</w:t>
            </w:r>
            <w:r>
              <w:rPr>
                <w:rFonts w:hint="eastAsia" w:ascii="宋体" w:hAnsi="宋体" w:eastAsia="宋体" w:cs="宋体"/>
                <w:b/>
                <w:bCs/>
                <w:sz w:val="21"/>
                <w:szCs w:val="21"/>
                <w:highlight w:val="none"/>
              </w:rPr>
              <w:t>的技术要求，提供合理可行的技术方案，包括但不限于</w:t>
            </w:r>
            <w:r>
              <w:rPr>
                <w:rFonts w:hint="eastAsia" w:ascii="宋体" w:hAnsi="宋体" w:eastAsia="宋体" w:cs="宋体"/>
                <w:b/>
                <w:bCs/>
                <w:sz w:val="21"/>
                <w:szCs w:val="21"/>
                <w:highlight w:val="none"/>
                <w:lang w:val="en-US" w:eastAsia="zh-CN"/>
              </w:rPr>
              <w:t>基本维护操作</w:t>
            </w:r>
            <w:r>
              <w:rPr>
                <w:rFonts w:hint="eastAsia" w:ascii="宋体" w:hAnsi="宋体" w:eastAsia="宋体" w:cs="宋体"/>
                <w:b/>
                <w:bCs/>
                <w:sz w:val="21"/>
                <w:szCs w:val="21"/>
                <w:highlight w:val="none"/>
              </w:rPr>
              <w:t>、</w:t>
            </w:r>
            <w:r>
              <w:rPr>
                <w:rFonts w:hint="eastAsia" w:ascii="宋体" w:hAnsi="宋体" w:eastAsia="宋体" w:cs="宋体"/>
                <w:b/>
                <w:bCs/>
                <w:sz w:val="21"/>
                <w:szCs w:val="21"/>
                <w:highlight w:val="none"/>
                <w:lang w:val="en-US" w:eastAsia="zh-CN"/>
              </w:rPr>
              <w:t>巡检</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rPr>
              <w:t>日常检查、</w:t>
            </w:r>
            <w:r>
              <w:rPr>
                <w:rFonts w:hint="eastAsia" w:ascii="宋体" w:hAnsi="宋体" w:eastAsia="宋体" w:cs="宋体"/>
                <w:b/>
                <w:bCs/>
                <w:sz w:val="21"/>
                <w:szCs w:val="21"/>
                <w:highlight w:val="none"/>
                <w:lang w:val="en-US" w:eastAsia="zh-CN"/>
              </w:rPr>
              <w:t>异常报告</w:t>
            </w:r>
            <w:r>
              <w:rPr>
                <w:rFonts w:hint="eastAsia" w:ascii="宋体" w:hAnsi="宋体" w:eastAsia="宋体" w:cs="宋体"/>
                <w:b/>
                <w:bCs/>
                <w:sz w:val="21"/>
                <w:szCs w:val="21"/>
                <w:highlight w:val="none"/>
              </w:rPr>
              <w:t>、应急保障、人员配置等内容。</w:t>
            </w:r>
            <w:r>
              <w:rPr>
                <w:rFonts w:hint="eastAsia" w:ascii="宋体" w:hAnsi="宋体" w:eastAsia="宋体" w:cs="宋体"/>
                <w:b/>
                <w:bCs/>
                <w:sz w:val="21"/>
                <w:szCs w:val="21"/>
                <w:highlight w:val="none"/>
                <w:lang w:val="en-US" w:eastAsia="zh-CN"/>
              </w:rPr>
              <w:t>评审</w:t>
            </w:r>
            <w:r>
              <w:rPr>
                <w:rFonts w:hint="eastAsia" w:ascii="宋体" w:hAnsi="宋体" w:eastAsia="宋体" w:cs="宋体"/>
                <w:b/>
                <w:bCs/>
                <w:sz w:val="21"/>
                <w:szCs w:val="21"/>
                <w:highlight w:val="none"/>
              </w:rPr>
              <w:t>小组根据供应商提供的技术方案进行评价：</w:t>
            </w:r>
          </w:p>
          <w:p w14:paraId="42E70EAA">
            <w:pPr>
              <w:spacing w:line="36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1</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技术方案详细，内容全面、具体，针对性强，能够完全满足项目需求，得</w:t>
            </w:r>
            <w:r>
              <w:rPr>
                <w:rFonts w:hint="eastAsia" w:ascii="宋体" w:hAnsi="宋体" w:eastAsia="宋体" w:cs="宋体"/>
                <w:bCs/>
                <w:sz w:val="21"/>
                <w:szCs w:val="21"/>
                <w:highlight w:val="none"/>
                <w:lang w:val="en-US" w:eastAsia="zh-CN"/>
              </w:rPr>
              <w:t>10</w:t>
            </w:r>
            <w:r>
              <w:rPr>
                <w:rFonts w:hint="eastAsia" w:ascii="宋体" w:hAnsi="宋体" w:eastAsia="宋体" w:cs="宋体"/>
                <w:bCs/>
                <w:sz w:val="21"/>
                <w:szCs w:val="21"/>
                <w:highlight w:val="none"/>
              </w:rPr>
              <w:t>分。</w:t>
            </w:r>
          </w:p>
          <w:p w14:paraId="59581E89">
            <w:pPr>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2</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技术方案科学合理，内容基本覆盖了项目的所有关键细节，表述准确无误，条理清晰明了，能够清晰地反映出项目的整体需求，得</w:t>
            </w:r>
            <w:r>
              <w:rPr>
                <w:rFonts w:hint="eastAsia" w:ascii="宋体" w:hAnsi="宋体" w:eastAsia="宋体" w:cs="宋体"/>
                <w:bCs/>
                <w:sz w:val="21"/>
                <w:szCs w:val="21"/>
                <w:highlight w:val="none"/>
                <w:lang w:val="en-US" w:eastAsia="zh-CN"/>
              </w:rPr>
              <w:t>6</w:t>
            </w:r>
            <w:r>
              <w:rPr>
                <w:rFonts w:hint="eastAsia" w:ascii="宋体" w:hAnsi="宋体" w:eastAsia="宋体" w:cs="宋体"/>
                <w:bCs/>
                <w:sz w:val="21"/>
                <w:szCs w:val="21"/>
                <w:highlight w:val="none"/>
              </w:rPr>
              <w:t>分。</w:t>
            </w:r>
          </w:p>
          <w:p w14:paraId="3ADF3093">
            <w:pPr>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3</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技术方案基本合理，内容较为全面但可能略有遗漏，表述基本准确但可能存在细微的歧义或模糊之处，条理较清晰但可能稍显</w:t>
            </w:r>
            <w:r>
              <w:rPr>
                <w:rFonts w:hint="eastAsia" w:ascii="宋体" w:hAnsi="宋体" w:eastAsia="宋体" w:cs="宋体"/>
                <w:bCs/>
                <w:sz w:val="21"/>
                <w:szCs w:val="21"/>
                <w:highlight w:val="none"/>
                <w:lang w:eastAsia="zh-CN"/>
              </w:rPr>
              <w:t>繁琐</w:t>
            </w:r>
            <w:r>
              <w:rPr>
                <w:rFonts w:hint="eastAsia" w:ascii="宋体" w:hAnsi="宋体" w:eastAsia="宋体" w:cs="宋体"/>
                <w:bCs/>
                <w:sz w:val="21"/>
                <w:szCs w:val="21"/>
                <w:highlight w:val="none"/>
              </w:rPr>
              <w:t>或不够直观，</w:t>
            </w:r>
            <w:r>
              <w:rPr>
                <w:rFonts w:hint="eastAsia" w:ascii="宋体" w:hAnsi="宋体" w:eastAsia="宋体" w:cs="宋体"/>
                <w:bCs/>
                <w:color w:val="auto"/>
                <w:sz w:val="21"/>
                <w:szCs w:val="21"/>
                <w:highlight w:val="none"/>
              </w:rPr>
              <w:t>得</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分</w:t>
            </w:r>
            <w:r>
              <w:rPr>
                <w:rFonts w:hint="eastAsia" w:ascii="宋体" w:hAnsi="宋体" w:eastAsia="宋体" w:cs="宋体"/>
                <w:bCs/>
                <w:sz w:val="21"/>
                <w:szCs w:val="21"/>
                <w:highlight w:val="none"/>
              </w:rPr>
              <w:t>。</w:t>
            </w:r>
          </w:p>
          <w:p w14:paraId="619878E4">
            <w:pPr>
              <w:spacing w:line="360" w:lineRule="exact"/>
              <w:ind w:firstLine="420" w:firstLineChars="200"/>
              <w:rPr>
                <w:rFonts w:hint="eastAsia" w:ascii="宋体" w:hAnsi="宋体" w:eastAsia="宋体" w:cs="宋体"/>
                <w:sz w:val="21"/>
                <w:szCs w:val="21"/>
              </w:rPr>
            </w:pP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4</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rPr>
              <w:t>技术方案较差，不合理，内容明显缺失或错误，表述混乱不清，条理不明，无法清晰地反映出项目的需求或未提供的该项不得分。</w:t>
            </w:r>
          </w:p>
        </w:tc>
      </w:tr>
      <w:tr w14:paraId="2263A5A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0" w:type="auto"/>
            <w:noWrap w:val="0"/>
            <w:vAlign w:val="center"/>
          </w:tcPr>
          <w:p w14:paraId="49EB6864">
            <w:pPr>
              <w:jc w:val="center"/>
              <w:rPr>
                <w:rFonts w:hint="eastAsia" w:ascii="宋体" w:hAnsi="宋体" w:eastAsia="宋体" w:cs="宋体"/>
                <w:b/>
                <w:bCs/>
                <w:sz w:val="21"/>
                <w:szCs w:val="21"/>
              </w:rPr>
            </w:pPr>
            <w:r>
              <w:rPr>
                <w:rFonts w:hint="eastAsia" w:ascii="宋体" w:hAnsi="宋体" w:eastAsia="宋体" w:cs="宋体"/>
                <w:b/>
                <w:bCs/>
                <w:sz w:val="21"/>
                <w:szCs w:val="21"/>
              </w:rPr>
              <w:t>2.2</w:t>
            </w:r>
          </w:p>
        </w:tc>
        <w:tc>
          <w:tcPr>
            <w:tcW w:w="1526" w:type="dxa"/>
            <w:noWrap w:val="0"/>
            <w:vAlign w:val="center"/>
          </w:tcPr>
          <w:p w14:paraId="5490BFA4">
            <w:pPr>
              <w:tabs>
                <w:tab w:val="center" w:pos="4153"/>
                <w:tab w:val="right" w:pos="8306"/>
              </w:tabs>
              <w:adjustRightInd w:val="0"/>
              <w:snapToGrid w:val="0"/>
              <w:jc w:val="center"/>
              <w:rPr>
                <w:rFonts w:hint="eastAsia" w:ascii="宋体" w:hAnsi="宋体" w:eastAsia="宋体" w:cs="宋体"/>
                <w:b/>
                <w:bCs/>
                <w:sz w:val="21"/>
                <w:szCs w:val="21"/>
              </w:rPr>
            </w:pPr>
            <w:r>
              <w:rPr>
                <w:rFonts w:hint="eastAsia" w:ascii="宋体" w:hAnsi="宋体" w:eastAsia="宋体" w:cs="宋体"/>
                <w:b/>
                <w:bCs/>
                <w:color w:val="auto"/>
                <w:kern w:val="0"/>
                <w:sz w:val="21"/>
                <w:szCs w:val="21"/>
                <w:highlight w:val="none"/>
                <w:lang w:val="en-US" w:eastAsia="zh-CN"/>
              </w:rPr>
              <w:t>应急预案评价</w:t>
            </w:r>
            <w:r>
              <w:rPr>
                <w:rFonts w:hint="eastAsia" w:ascii="宋体" w:hAnsi="宋体" w:eastAsia="宋体" w:cs="宋体"/>
                <w:b/>
                <w:bCs/>
                <w:sz w:val="21"/>
                <w:szCs w:val="21"/>
                <w:highlight w:val="none"/>
              </w:rPr>
              <w:t>（客观分）</w:t>
            </w:r>
          </w:p>
        </w:tc>
        <w:tc>
          <w:tcPr>
            <w:tcW w:w="496" w:type="dxa"/>
            <w:noWrap w:val="0"/>
            <w:vAlign w:val="center"/>
          </w:tcPr>
          <w:p w14:paraId="7BA7D891">
            <w:pPr>
              <w:spacing w:line="360" w:lineRule="exact"/>
              <w:jc w:val="center"/>
              <w:rPr>
                <w:rFonts w:hint="eastAsia" w:ascii="宋体" w:hAnsi="宋体" w:eastAsia="宋体" w:cs="宋体"/>
                <w:b/>
                <w:bCs/>
                <w:sz w:val="21"/>
                <w:szCs w:val="21"/>
              </w:rPr>
            </w:pPr>
            <w:r>
              <w:rPr>
                <w:rFonts w:hint="eastAsia" w:ascii="宋体" w:hAnsi="宋体" w:eastAsia="宋体" w:cs="宋体"/>
                <w:b/>
                <w:bCs/>
                <w:caps/>
                <w:sz w:val="21"/>
                <w:szCs w:val="21"/>
                <w:highlight w:val="none"/>
              </w:rPr>
              <w:t>5分</w:t>
            </w:r>
          </w:p>
        </w:tc>
        <w:tc>
          <w:tcPr>
            <w:tcW w:w="6364" w:type="dxa"/>
            <w:noWrap w:val="0"/>
            <w:vAlign w:val="center"/>
          </w:tcPr>
          <w:p w14:paraId="37B78189">
            <w:pPr>
              <w:spacing w:line="360" w:lineRule="auto"/>
              <w:jc w:val="left"/>
              <w:textAlignment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评审小组对投标人提供的应急预案进行评价：</w:t>
            </w:r>
          </w:p>
          <w:p w14:paraId="2E07E1BE">
            <w:pPr>
              <w:spacing w:line="360" w:lineRule="auto"/>
              <w:jc w:val="left"/>
              <w:textAlignment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方案包括但不限于：①针对本项目实际情况，对本项目服务过程中可能出现的突发事件拟定突发事件的处理原则和方法；②应急预案组织架构③安全突发事件应急处理预案④设备故障应急处理预案⑤消防事件应急处理预案。</w:t>
            </w:r>
          </w:p>
          <w:p w14:paraId="75F828D8">
            <w:pPr>
              <w:spacing w:line="360" w:lineRule="exact"/>
              <w:ind w:firstLine="420" w:firstLineChars="200"/>
              <w:rPr>
                <w:rFonts w:hint="eastAsia" w:ascii="宋体" w:hAnsi="宋体" w:eastAsia="宋体" w:cs="宋体"/>
                <w:sz w:val="21"/>
                <w:szCs w:val="21"/>
              </w:rPr>
            </w:pPr>
            <w:r>
              <w:rPr>
                <w:rFonts w:hint="eastAsia" w:ascii="宋体" w:hAnsi="宋体" w:eastAsia="宋体" w:cs="宋体"/>
                <w:b w:val="0"/>
                <w:bCs w:val="0"/>
                <w:color w:val="auto"/>
                <w:kern w:val="0"/>
                <w:sz w:val="21"/>
                <w:szCs w:val="21"/>
                <w:highlight w:val="none"/>
                <w:lang w:val="en-US" w:eastAsia="zh-CN"/>
              </w:rPr>
              <w:t>注：以上方案每提供一个得1分，最多得5分。</w:t>
            </w:r>
            <w:r>
              <w:rPr>
                <w:rFonts w:hint="eastAsia" w:ascii="宋体" w:hAnsi="宋体" w:eastAsia="宋体" w:cs="宋体"/>
                <w:b w:val="0"/>
                <w:bCs/>
                <w:sz w:val="21"/>
                <w:szCs w:val="21"/>
                <w:highlight w:val="none"/>
                <w:lang w:eastAsia="zh-CN"/>
              </w:rPr>
              <w:t>不能满足采购需求或未提供描述的</w:t>
            </w:r>
            <w:r>
              <w:rPr>
                <w:rFonts w:hint="eastAsia" w:ascii="宋体" w:hAnsi="宋体" w:eastAsia="宋体" w:cs="宋体"/>
                <w:b w:val="0"/>
                <w:bCs/>
                <w:sz w:val="21"/>
                <w:szCs w:val="21"/>
                <w:highlight w:val="none"/>
              </w:rPr>
              <w:t>得0分。</w:t>
            </w:r>
          </w:p>
        </w:tc>
      </w:tr>
    </w:tbl>
    <w:p w14:paraId="593A8184">
      <w:pPr>
        <w:widowControl/>
        <w:shd w:val="clear" w:color="auto" w:fill="FFFFFF"/>
        <w:spacing w:line="360" w:lineRule="auto"/>
        <w:ind w:firstLine="422" w:firstLineChars="200"/>
        <w:rPr>
          <w:rFonts w:hint="eastAsia" w:ascii="宋体" w:hAnsi="宋体" w:eastAsia="宋体" w:cs="宋体"/>
          <w:b/>
          <w:bCs/>
          <w:szCs w:val="21"/>
        </w:rPr>
      </w:pPr>
      <w:r>
        <w:rPr>
          <w:rFonts w:hint="eastAsia" w:ascii="宋体" w:hAnsi="宋体" w:eastAsia="宋体" w:cs="宋体"/>
          <w:b/>
          <w:bCs/>
          <w:szCs w:val="21"/>
        </w:rPr>
        <w:t>3.商务分【满分</w:t>
      </w:r>
      <w:r>
        <w:rPr>
          <w:rFonts w:hint="eastAsia" w:ascii="宋体" w:hAnsi="宋体" w:eastAsia="宋体" w:cs="宋体"/>
          <w:b/>
          <w:bCs/>
          <w:szCs w:val="21"/>
          <w:lang w:val="en-US" w:eastAsia="zh-CN"/>
        </w:rPr>
        <w:t>45</w:t>
      </w:r>
      <w:r>
        <w:rPr>
          <w:rFonts w:hint="eastAsia" w:ascii="宋体" w:hAnsi="宋体" w:eastAsia="宋体" w:cs="宋体"/>
          <w:b/>
          <w:bCs/>
          <w:szCs w:val="21"/>
        </w:rPr>
        <w:t>分】：</w:t>
      </w:r>
    </w:p>
    <w:tbl>
      <w:tblPr>
        <w:tblStyle w:val="3"/>
        <w:tblW w:w="0" w:type="auto"/>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534"/>
        <w:gridCol w:w="1430"/>
        <w:gridCol w:w="477"/>
        <w:gridCol w:w="6072"/>
      </w:tblGrid>
      <w:tr w14:paraId="0816E4D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0" w:type="auto"/>
            <w:noWrap w:val="0"/>
            <w:vAlign w:val="center"/>
          </w:tcPr>
          <w:p w14:paraId="2B1F60A9">
            <w:pPr>
              <w:tabs>
                <w:tab w:val="center" w:pos="4153"/>
                <w:tab w:val="right" w:pos="8306"/>
              </w:tabs>
              <w:spacing w:line="360" w:lineRule="auto"/>
              <w:jc w:val="center"/>
              <w:rPr>
                <w:rFonts w:hint="eastAsia" w:ascii="宋体" w:hAnsi="宋体" w:eastAsia="宋体" w:cs="宋体"/>
                <w:b/>
                <w:caps/>
                <w:sz w:val="21"/>
                <w:szCs w:val="21"/>
              </w:rPr>
            </w:pPr>
            <w:r>
              <w:rPr>
                <w:rFonts w:hint="eastAsia" w:ascii="宋体" w:hAnsi="宋体" w:eastAsia="宋体" w:cs="宋体"/>
                <w:b/>
                <w:bCs/>
                <w:sz w:val="21"/>
                <w:szCs w:val="21"/>
              </w:rPr>
              <w:t>序号</w:t>
            </w:r>
          </w:p>
        </w:tc>
        <w:tc>
          <w:tcPr>
            <w:tcW w:w="0" w:type="auto"/>
            <w:noWrap w:val="0"/>
            <w:vAlign w:val="center"/>
          </w:tcPr>
          <w:p w14:paraId="2A1F9954">
            <w:pPr>
              <w:tabs>
                <w:tab w:val="center" w:pos="4153"/>
                <w:tab w:val="right" w:pos="8306"/>
              </w:tabs>
              <w:spacing w:line="360" w:lineRule="auto"/>
              <w:jc w:val="center"/>
              <w:rPr>
                <w:rFonts w:hint="eastAsia" w:ascii="宋体" w:hAnsi="宋体" w:eastAsia="宋体" w:cs="宋体"/>
                <w:sz w:val="21"/>
                <w:szCs w:val="21"/>
              </w:rPr>
            </w:pPr>
            <w:r>
              <w:rPr>
                <w:rFonts w:hint="eastAsia" w:ascii="宋体" w:hAnsi="宋体" w:eastAsia="宋体" w:cs="宋体"/>
                <w:b/>
                <w:bCs/>
                <w:sz w:val="21"/>
                <w:szCs w:val="21"/>
              </w:rPr>
              <w:t>评分因素</w:t>
            </w:r>
          </w:p>
        </w:tc>
        <w:tc>
          <w:tcPr>
            <w:tcW w:w="0" w:type="auto"/>
            <w:noWrap w:val="0"/>
            <w:vAlign w:val="center"/>
          </w:tcPr>
          <w:p w14:paraId="57F51C34">
            <w:pPr>
              <w:tabs>
                <w:tab w:val="center" w:pos="4153"/>
                <w:tab w:val="right" w:pos="8306"/>
              </w:tabs>
              <w:spacing w:line="360" w:lineRule="auto"/>
              <w:jc w:val="center"/>
              <w:rPr>
                <w:rFonts w:hint="eastAsia" w:ascii="宋体" w:hAnsi="宋体" w:eastAsia="宋体" w:cs="宋体"/>
                <w:sz w:val="21"/>
                <w:szCs w:val="21"/>
              </w:rPr>
            </w:pPr>
            <w:r>
              <w:rPr>
                <w:rFonts w:hint="eastAsia" w:ascii="宋体" w:hAnsi="宋体" w:eastAsia="宋体" w:cs="宋体"/>
                <w:b/>
                <w:bCs/>
                <w:sz w:val="21"/>
                <w:szCs w:val="21"/>
              </w:rPr>
              <w:t>分值</w:t>
            </w:r>
          </w:p>
        </w:tc>
        <w:tc>
          <w:tcPr>
            <w:tcW w:w="0" w:type="auto"/>
            <w:noWrap w:val="0"/>
            <w:vAlign w:val="center"/>
          </w:tcPr>
          <w:p w14:paraId="3E1BB3EE">
            <w:pPr>
              <w:spacing w:line="360" w:lineRule="auto"/>
              <w:jc w:val="center"/>
              <w:rPr>
                <w:rFonts w:hint="eastAsia" w:ascii="宋体" w:hAnsi="宋体" w:eastAsia="宋体" w:cs="宋体"/>
                <w:sz w:val="21"/>
                <w:szCs w:val="21"/>
              </w:rPr>
            </w:pPr>
            <w:r>
              <w:rPr>
                <w:rFonts w:hint="eastAsia" w:ascii="宋体" w:hAnsi="宋体" w:eastAsia="宋体" w:cs="宋体"/>
                <w:b/>
                <w:bCs/>
                <w:sz w:val="21"/>
                <w:szCs w:val="21"/>
              </w:rPr>
              <w:t>评分标准</w:t>
            </w:r>
          </w:p>
        </w:tc>
      </w:tr>
      <w:tr w14:paraId="0FF2852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0" w:type="auto"/>
            <w:noWrap w:val="0"/>
            <w:vAlign w:val="center"/>
          </w:tcPr>
          <w:p w14:paraId="3C932B1C">
            <w:pPr>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3.</w:t>
            </w:r>
            <w:r>
              <w:rPr>
                <w:rFonts w:hint="eastAsia" w:ascii="宋体" w:hAnsi="宋体" w:eastAsia="宋体" w:cs="宋体"/>
                <w:b/>
                <w:bCs/>
                <w:sz w:val="21"/>
                <w:szCs w:val="21"/>
                <w:lang w:val="en-US" w:eastAsia="zh-CN"/>
              </w:rPr>
              <w:t>1</w:t>
            </w:r>
          </w:p>
        </w:tc>
        <w:tc>
          <w:tcPr>
            <w:tcW w:w="0" w:type="auto"/>
            <w:noWrap w:val="0"/>
            <w:vAlign w:val="center"/>
          </w:tcPr>
          <w:p w14:paraId="5A3FD951">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lang w:val="zh-TW"/>
              </w:rPr>
              <w:t>类似业绩评价</w:t>
            </w:r>
            <w:r>
              <w:rPr>
                <w:rFonts w:hint="eastAsia" w:ascii="宋体" w:hAnsi="宋体" w:eastAsia="宋体" w:cs="宋体"/>
                <w:b/>
                <w:bCs/>
                <w:sz w:val="21"/>
                <w:szCs w:val="21"/>
              </w:rPr>
              <w:t>（客观分）</w:t>
            </w:r>
          </w:p>
        </w:tc>
        <w:tc>
          <w:tcPr>
            <w:tcW w:w="0" w:type="auto"/>
            <w:noWrap w:val="0"/>
            <w:vAlign w:val="center"/>
          </w:tcPr>
          <w:p w14:paraId="18C7A3C4">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5</w:t>
            </w:r>
          </w:p>
        </w:tc>
        <w:tc>
          <w:tcPr>
            <w:tcW w:w="0" w:type="auto"/>
            <w:noWrap w:val="0"/>
            <w:vAlign w:val="center"/>
          </w:tcPr>
          <w:p w14:paraId="1D89B97E">
            <w:pPr>
              <w:spacing w:line="360" w:lineRule="auto"/>
              <w:ind w:firstLine="420" w:firstLineChars="200"/>
              <w:jc w:val="left"/>
              <w:rPr>
                <w:rFonts w:hint="eastAsia" w:ascii="宋体" w:hAnsi="宋体" w:eastAsia="宋体" w:cs="宋体"/>
                <w:sz w:val="21"/>
                <w:szCs w:val="21"/>
                <w:lang w:val="zh-TW"/>
              </w:rPr>
            </w:pPr>
            <w:r>
              <w:rPr>
                <w:rFonts w:hint="eastAsia" w:ascii="宋体" w:hAnsi="宋体" w:eastAsia="宋体" w:cs="宋体"/>
                <w:sz w:val="21"/>
                <w:szCs w:val="21"/>
                <w:lang w:val="zh-TW"/>
              </w:rPr>
              <w:t>评审小组根据供应商提供的20</w:t>
            </w:r>
            <w:r>
              <w:rPr>
                <w:rFonts w:hint="eastAsia" w:ascii="宋体" w:hAnsi="宋体" w:eastAsia="宋体" w:cs="宋体"/>
                <w:sz w:val="21"/>
                <w:szCs w:val="21"/>
              </w:rPr>
              <w:t>21</w:t>
            </w:r>
            <w:r>
              <w:rPr>
                <w:rFonts w:hint="eastAsia" w:ascii="宋体" w:hAnsi="宋体" w:eastAsia="宋体" w:cs="宋体"/>
                <w:sz w:val="21"/>
                <w:szCs w:val="21"/>
                <w:lang w:val="zh-TW"/>
              </w:rPr>
              <w:t>年1月1日（</w:t>
            </w:r>
            <w:r>
              <w:rPr>
                <w:rFonts w:hint="eastAsia" w:ascii="宋体" w:hAnsi="宋体" w:eastAsia="宋体" w:cs="宋体"/>
                <w:sz w:val="21"/>
                <w:szCs w:val="21"/>
              </w:rPr>
              <w:t>以合同签订日期为准</w:t>
            </w:r>
            <w:r>
              <w:rPr>
                <w:rFonts w:hint="eastAsia" w:ascii="宋体" w:hAnsi="宋体" w:eastAsia="宋体" w:cs="宋体"/>
                <w:sz w:val="21"/>
                <w:szCs w:val="21"/>
                <w:lang w:val="zh-TW"/>
              </w:rPr>
              <w:t>）至今所投</w:t>
            </w:r>
            <w:r>
              <w:rPr>
                <w:rFonts w:hint="eastAsia" w:ascii="宋体" w:hAnsi="宋体" w:eastAsia="宋体" w:cs="宋体"/>
                <w:sz w:val="21"/>
                <w:szCs w:val="21"/>
                <w:lang w:val="en-US" w:eastAsia="zh-CN"/>
              </w:rPr>
              <w:t>类似</w:t>
            </w:r>
            <w:r>
              <w:rPr>
                <w:rFonts w:hint="eastAsia" w:ascii="宋体" w:hAnsi="宋体" w:eastAsia="宋体" w:cs="宋体"/>
                <w:sz w:val="21"/>
                <w:szCs w:val="21"/>
                <w:lang w:val="zh-TW"/>
              </w:rPr>
              <w:t>的销售业绩进行评审：</w:t>
            </w:r>
          </w:p>
          <w:p w14:paraId="2638BBF8">
            <w:pPr>
              <w:spacing w:line="360" w:lineRule="auto"/>
              <w:ind w:firstLine="420" w:firstLineChars="200"/>
              <w:jc w:val="left"/>
              <w:rPr>
                <w:rFonts w:hint="eastAsia" w:ascii="宋体" w:hAnsi="宋体" w:eastAsia="宋体" w:cs="宋体"/>
                <w:sz w:val="21"/>
                <w:szCs w:val="21"/>
                <w:lang w:val="zh-TW"/>
              </w:rPr>
            </w:pPr>
            <w:r>
              <w:rPr>
                <w:rFonts w:hint="eastAsia" w:ascii="宋体" w:hAnsi="宋体" w:eastAsia="宋体" w:cs="宋体"/>
                <w:sz w:val="21"/>
                <w:szCs w:val="21"/>
                <w:lang w:val="zh-TW"/>
              </w:rPr>
              <w:t>供应商每提供1份业绩得</w:t>
            </w:r>
            <w:r>
              <w:rPr>
                <w:rFonts w:hint="eastAsia" w:ascii="宋体" w:hAnsi="宋体" w:eastAsia="宋体" w:cs="宋体"/>
                <w:sz w:val="21"/>
                <w:szCs w:val="21"/>
                <w:lang w:val="en-US" w:eastAsia="zh-CN"/>
              </w:rPr>
              <w:t>3</w:t>
            </w:r>
            <w:r>
              <w:rPr>
                <w:rFonts w:hint="eastAsia" w:ascii="宋体" w:hAnsi="宋体" w:eastAsia="宋体" w:cs="宋体"/>
                <w:sz w:val="21"/>
                <w:szCs w:val="21"/>
                <w:lang w:val="zh-TW"/>
              </w:rPr>
              <w:t>分，最多得</w:t>
            </w:r>
            <w:r>
              <w:rPr>
                <w:rFonts w:hint="eastAsia" w:ascii="宋体" w:hAnsi="宋体" w:eastAsia="宋体" w:cs="宋体"/>
                <w:sz w:val="21"/>
                <w:szCs w:val="21"/>
                <w:lang w:val="en-US" w:eastAsia="zh-CN"/>
              </w:rPr>
              <w:t>1</w:t>
            </w:r>
            <w:r>
              <w:rPr>
                <w:rFonts w:hint="eastAsia" w:ascii="宋体" w:hAnsi="宋体" w:eastAsia="宋体" w:cs="宋体"/>
                <w:sz w:val="21"/>
                <w:szCs w:val="21"/>
              </w:rPr>
              <w:t>5</w:t>
            </w:r>
            <w:r>
              <w:rPr>
                <w:rFonts w:hint="eastAsia" w:ascii="宋体" w:hAnsi="宋体" w:eastAsia="宋体" w:cs="宋体"/>
                <w:sz w:val="21"/>
                <w:szCs w:val="21"/>
                <w:lang w:val="zh-TW"/>
              </w:rPr>
              <w:t>分；</w:t>
            </w:r>
          </w:p>
          <w:p w14:paraId="2CE49046">
            <w:pPr>
              <w:spacing w:line="360" w:lineRule="auto"/>
              <w:jc w:val="left"/>
              <w:rPr>
                <w:rFonts w:hint="eastAsia" w:ascii="宋体" w:hAnsi="宋体" w:eastAsia="宋体" w:cs="宋体"/>
                <w:sz w:val="21"/>
                <w:szCs w:val="21"/>
                <w:lang w:val="zh-TW"/>
              </w:rPr>
            </w:pPr>
            <w:r>
              <w:rPr>
                <w:rFonts w:hint="eastAsia" w:ascii="宋体" w:hAnsi="宋体" w:eastAsia="宋体" w:cs="宋体"/>
                <w:sz w:val="21"/>
                <w:szCs w:val="21"/>
                <w:lang w:val="zh-TW"/>
              </w:rPr>
              <w:t>注：证明材料</w:t>
            </w:r>
            <w:r>
              <w:rPr>
                <w:rFonts w:hint="eastAsia" w:ascii="宋体" w:hAnsi="宋体" w:eastAsia="宋体" w:cs="宋体"/>
                <w:sz w:val="21"/>
                <w:szCs w:val="21"/>
              </w:rPr>
              <w:t>指</w:t>
            </w:r>
            <w:r>
              <w:rPr>
                <w:rFonts w:hint="eastAsia" w:ascii="宋体" w:hAnsi="宋体" w:eastAsia="宋体" w:cs="宋体"/>
                <w:sz w:val="21"/>
                <w:szCs w:val="21"/>
                <w:lang w:val="zh-TW"/>
              </w:rPr>
              <w:t>该产品</w:t>
            </w:r>
            <w:r>
              <w:rPr>
                <w:rFonts w:hint="eastAsia" w:ascii="宋体" w:hAnsi="宋体" w:eastAsia="宋体" w:cs="宋体"/>
                <w:sz w:val="21"/>
                <w:szCs w:val="21"/>
              </w:rPr>
              <w:t>的销售</w:t>
            </w:r>
            <w:r>
              <w:rPr>
                <w:rFonts w:hint="eastAsia" w:ascii="宋体" w:hAnsi="宋体" w:eastAsia="宋体" w:cs="宋体"/>
                <w:sz w:val="21"/>
                <w:szCs w:val="21"/>
                <w:lang w:val="zh-TW"/>
              </w:rPr>
              <w:t>合同复印件或扫描件。</w:t>
            </w:r>
          </w:p>
        </w:tc>
      </w:tr>
      <w:tr w14:paraId="717DF4B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7" w:hRule="atLeast"/>
        </w:trPr>
        <w:tc>
          <w:tcPr>
            <w:tcW w:w="0" w:type="auto"/>
            <w:noWrap w:val="0"/>
            <w:vAlign w:val="center"/>
          </w:tcPr>
          <w:p w14:paraId="4C399C8C">
            <w:pPr>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3.2</w:t>
            </w:r>
          </w:p>
        </w:tc>
        <w:tc>
          <w:tcPr>
            <w:tcW w:w="0" w:type="auto"/>
            <w:noWrap w:val="0"/>
            <w:vAlign w:val="center"/>
          </w:tcPr>
          <w:p w14:paraId="671021F8">
            <w:pPr>
              <w:spacing w:line="360" w:lineRule="auto"/>
              <w:jc w:val="center"/>
              <w:rPr>
                <w:rFonts w:hint="eastAsia" w:ascii="宋体" w:hAnsi="宋体" w:eastAsia="宋体" w:cs="宋体"/>
                <w:b/>
                <w:bCs/>
                <w:sz w:val="21"/>
                <w:szCs w:val="21"/>
                <w:lang w:val="zh-TW"/>
              </w:rPr>
            </w:pPr>
            <w:r>
              <w:rPr>
                <w:rFonts w:hint="eastAsia" w:ascii="宋体" w:hAnsi="宋体" w:eastAsia="宋体" w:cs="宋体"/>
                <w:b/>
                <w:bCs/>
                <w:sz w:val="21"/>
                <w:szCs w:val="21"/>
                <w:lang w:val="zh-TW"/>
              </w:rPr>
              <w:t>企业实力及服务团队评价（客观分）</w:t>
            </w:r>
          </w:p>
        </w:tc>
        <w:tc>
          <w:tcPr>
            <w:tcW w:w="0" w:type="auto"/>
            <w:noWrap w:val="0"/>
            <w:vAlign w:val="center"/>
          </w:tcPr>
          <w:p w14:paraId="7401892A">
            <w:pPr>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24</w:t>
            </w:r>
          </w:p>
        </w:tc>
        <w:tc>
          <w:tcPr>
            <w:tcW w:w="0" w:type="auto"/>
            <w:noWrap w:val="0"/>
            <w:vAlign w:val="center"/>
          </w:tcPr>
          <w:p w14:paraId="37511073">
            <w:pPr>
              <w:spacing w:line="400" w:lineRule="exact"/>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评审小组根据供应商拟投入本项目的服务团队进行评价：</w:t>
            </w:r>
          </w:p>
          <w:p w14:paraId="3F345D74">
            <w:pPr>
              <w:spacing w:line="40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企业实力：</w:t>
            </w:r>
          </w:p>
          <w:p w14:paraId="776A3A4D">
            <w:pPr>
              <w:spacing w:line="40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（1）投标供应商具有机电设备安装服务企业资质证书或有净化工程设计、施工及维护企业能力一级证书的，得6分；二级证书的，得3分，其余不得分。</w:t>
            </w:r>
          </w:p>
          <w:p w14:paraId="2F0D2CBA">
            <w:pPr>
              <w:spacing w:line="40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服务团队：</w:t>
            </w:r>
          </w:p>
          <w:p w14:paraId="046510F2">
            <w:pPr>
              <w:spacing w:line="400" w:lineRule="exact"/>
              <w:ind w:firstLine="420" w:firstLineChars="20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配备的</w:t>
            </w:r>
            <w:r>
              <w:rPr>
                <w:rFonts w:hint="eastAsia" w:ascii="宋体" w:hAnsi="宋体" w:eastAsia="宋体" w:cs="宋体"/>
                <w:color w:val="000000"/>
                <w:sz w:val="21"/>
                <w:szCs w:val="21"/>
                <w:highlight w:val="none"/>
                <w:lang w:val="en-US" w:eastAsia="zh-CN"/>
              </w:rPr>
              <w:t>项目负责人具有特种作业操作证（作业类别含制冷与空调作业）的</w:t>
            </w:r>
            <w:r>
              <w:rPr>
                <w:rFonts w:hint="eastAsia" w:ascii="宋体" w:hAnsi="宋体" w:eastAsia="宋体" w:cs="宋体"/>
                <w:color w:val="000000"/>
                <w:sz w:val="21"/>
                <w:szCs w:val="21"/>
                <w:highlight w:val="none"/>
              </w:rPr>
              <w:t>，得</w:t>
            </w: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分。</w:t>
            </w:r>
          </w:p>
          <w:p w14:paraId="42646E86">
            <w:pPr>
              <w:spacing w:line="400" w:lineRule="exact"/>
              <w:ind w:firstLine="420" w:firstLineChars="200"/>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（2）配备的团队成员中具有特种作业操作证（作业类别含焊接与热切割作业、电工作业、高处作业等）的，每提供1人得3分，最高得15分。</w:t>
            </w:r>
          </w:p>
          <w:p w14:paraId="05E0FD4A">
            <w:pPr>
              <w:spacing w:line="400" w:lineRule="exact"/>
              <w:ind w:firstLine="420" w:firstLineChars="200"/>
              <w:rPr>
                <w:rFonts w:hint="eastAsia" w:ascii="宋体" w:hAnsi="宋体" w:eastAsia="宋体" w:cs="宋体"/>
                <w:kern w:val="2"/>
                <w:sz w:val="21"/>
                <w:szCs w:val="21"/>
                <w:highlight w:val="none"/>
                <w:lang w:val="zh-TW" w:eastAsia="zh-CN" w:bidi="ar-SA"/>
              </w:rPr>
            </w:pPr>
            <w:r>
              <w:rPr>
                <w:rFonts w:hint="eastAsia" w:ascii="宋体" w:hAnsi="宋体" w:eastAsia="宋体" w:cs="宋体"/>
                <w:color w:val="000000"/>
                <w:sz w:val="21"/>
                <w:szCs w:val="21"/>
                <w:highlight w:val="none"/>
                <w:lang w:val="en-US" w:eastAsia="zh-CN"/>
              </w:rPr>
              <w:t xml:space="preserve">注：①须提供身份证及证书等证明材料复印件加盖公章；②同一人员不重复计分。  </w:t>
            </w:r>
          </w:p>
        </w:tc>
      </w:tr>
      <w:tr w14:paraId="60CBBA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128" w:hRule="atLeast"/>
        </w:trPr>
        <w:tc>
          <w:tcPr>
            <w:tcW w:w="0" w:type="auto"/>
            <w:noWrap w:val="0"/>
            <w:vAlign w:val="center"/>
          </w:tcPr>
          <w:p w14:paraId="2973AB25">
            <w:pPr>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rPr>
              <w:t>3.</w:t>
            </w:r>
            <w:r>
              <w:rPr>
                <w:rFonts w:hint="eastAsia" w:ascii="宋体" w:hAnsi="宋体" w:eastAsia="宋体" w:cs="宋体"/>
                <w:b/>
                <w:bCs/>
                <w:sz w:val="21"/>
                <w:szCs w:val="21"/>
                <w:lang w:val="en-US" w:eastAsia="zh-CN"/>
              </w:rPr>
              <w:t>3</w:t>
            </w:r>
          </w:p>
        </w:tc>
        <w:tc>
          <w:tcPr>
            <w:tcW w:w="1488" w:type="dxa"/>
            <w:noWrap w:val="0"/>
            <w:vAlign w:val="center"/>
          </w:tcPr>
          <w:p w14:paraId="3DAF76B8">
            <w:pPr>
              <w:spacing w:line="400" w:lineRule="exact"/>
              <w:jc w:val="center"/>
              <w:rPr>
                <w:rFonts w:hint="eastAsia" w:ascii="宋体" w:hAnsi="宋体" w:eastAsia="宋体" w:cs="宋体"/>
                <w:b/>
                <w:bCs/>
                <w:sz w:val="21"/>
                <w:szCs w:val="21"/>
                <w:lang w:val="zh-TW"/>
              </w:rPr>
            </w:pPr>
            <w:r>
              <w:rPr>
                <w:rFonts w:hint="eastAsia" w:ascii="宋体" w:hAnsi="宋体" w:eastAsia="宋体" w:cs="宋体"/>
                <w:b/>
                <w:bCs/>
                <w:sz w:val="21"/>
                <w:szCs w:val="21"/>
                <w:highlight w:val="none"/>
                <w:lang w:val="en-US" w:eastAsia="zh-CN"/>
              </w:rPr>
              <w:t>供应商承诺评价</w:t>
            </w:r>
            <w:r>
              <w:rPr>
                <w:rFonts w:hint="eastAsia" w:ascii="宋体" w:hAnsi="宋体" w:eastAsia="宋体" w:cs="宋体"/>
                <w:b/>
                <w:bCs/>
                <w:color w:val="000000"/>
                <w:sz w:val="21"/>
                <w:szCs w:val="21"/>
                <w:highlight w:val="none"/>
                <w:lang w:eastAsia="zh-CN"/>
              </w:rPr>
              <w:t>（</w:t>
            </w:r>
            <w:r>
              <w:rPr>
                <w:rFonts w:hint="eastAsia" w:ascii="宋体" w:hAnsi="宋体" w:eastAsia="宋体" w:cs="宋体"/>
                <w:b/>
                <w:bCs/>
                <w:color w:val="000000"/>
                <w:sz w:val="21"/>
                <w:szCs w:val="21"/>
                <w:highlight w:val="none"/>
                <w:lang w:val="en-US" w:eastAsia="zh-CN"/>
              </w:rPr>
              <w:t>客观分</w:t>
            </w:r>
            <w:r>
              <w:rPr>
                <w:rFonts w:hint="eastAsia" w:ascii="宋体" w:hAnsi="宋体" w:eastAsia="宋体" w:cs="宋体"/>
                <w:b/>
                <w:bCs/>
                <w:color w:val="000000"/>
                <w:sz w:val="21"/>
                <w:szCs w:val="21"/>
                <w:highlight w:val="none"/>
                <w:lang w:eastAsia="zh-CN"/>
              </w:rPr>
              <w:t>）</w:t>
            </w:r>
          </w:p>
        </w:tc>
        <w:tc>
          <w:tcPr>
            <w:tcW w:w="480" w:type="dxa"/>
            <w:noWrap w:val="0"/>
            <w:vAlign w:val="center"/>
          </w:tcPr>
          <w:p w14:paraId="1ACFBEBF">
            <w:pPr>
              <w:widowControl/>
              <w:snapToGrid w:val="0"/>
              <w:spacing w:line="400" w:lineRule="exact"/>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6</w:t>
            </w:r>
          </w:p>
        </w:tc>
        <w:tc>
          <w:tcPr>
            <w:tcW w:w="6426" w:type="dxa"/>
            <w:noWrap w:val="0"/>
            <w:vAlign w:val="center"/>
          </w:tcPr>
          <w:p w14:paraId="0701E8D7">
            <w:pPr>
              <w:spacing w:line="400" w:lineRule="exact"/>
              <w:rPr>
                <w:rFonts w:hint="eastAsia" w:ascii="宋体" w:hAnsi="宋体" w:eastAsia="宋体" w:cs="宋体"/>
                <w:b/>
                <w:bCs/>
                <w:color w:val="000000"/>
                <w:sz w:val="21"/>
                <w:szCs w:val="21"/>
                <w:highlight w:val="none"/>
                <w:lang w:val="en-US" w:eastAsia="zh-CN"/>
              </w:rPr>
            </w:pPr>
            <w:r>
              <w:rPr>
                <w:rFonts w:hint="eastAsia" w:ascii="宋体" w:hAnsi="宋体" w:eastAsia="宋体" w:cs="宋体"/>
                <w:b/>
                <w:bCs/>
                <w:color w:val="000000"/>
                <w:sz w:val="21"/>
                <w:szCs w:val="21"/>
                <w:highlight w:val="none"/>
                <w:lang w:val="en-US" w:eastAsia="zh-CN"/>
              </w:rPr>
              <w:t>评审小组根据供应商的承诺进行评价：</w:t>
            </w:r>
          </w:p>
          <w:p w14:paraId="2EAE53F1">
            <w:pPr>
              <w:numPr>
                <w:ilvl w:val="0"/>
                <w:numId w:val="0"/>
              </w:numPr>
              <w:spacing w:line="400" w:lineRule="exact"/>
              <w:ind w:firstLine="420" w:firstLineChars="200"/>
              <w:rPr>
                <w:rFonts w:hint="eastAsia" w:ascii="宋体" w:hAnsi="宋体" w:eastAsia="宋体" w:cs="宋体"/>
                <w:kern w:val="2"/>
                <w:sz w:val="21"/>
                <w:szCs w:val="21"/>
                <w:highlight w:val="none"/>
                <w:lang w:val="zh-TW" w:eastAsia="zh-CN" w:bidi="ar-SA"/>
              </w:rPr>
            </w:pPr>
            <w:r>
              <w:rPr>
                <w:rFonts w:hint="eastAsia" w:ascii="宋体" w:hAnsi="宋体" w:eastAsia="宋体" w:cs="宋体"/>
                <w:kern w:val="2"/>
                <w:sz w:val="21"/>
                <w:szCs w:val="21"/>
                <w:highlight w:val="none"/>
                <w:lang w:val="zh-TW" w:eastAsia="zh-CN" w:bidi="ar-SA"/>
              </w:rPr>
              <w:t>遇紧急事件，应急处理时间响应情况评价：</w:t>
            </w:r>
          </w:p>
          <w:p w14:paraId="5668292F">
            <w:pPr>
              <w:numPr>
                <w:ilvl w:val="0"/>
                <w:numId w:val="0"/>
              </w:numPr>
              <w:spacing w:line="400" w:lineRule="exact"/>
              <w:ind w:firstLine="420" w:firstLineChars="200"/>
              <w:rPr>
                <w:rFonts w:hint="eastAsia" w:ascii="宋体" w:hAnsi="宋体" w:eastAsia="宋体" w:cs="宋体"/>
                <w:kern w:val="2"/>
                <w:sz w:val="21"/>
                <w:szCs w:val="21"/>
                <w:highlight w:val="none"/>
                <w:lang w:val="zh-TW" w:eastAsia="zh-CN" w:bidi="ar-SA"/>
              </w:rPr>
            </w:pPr>
            <w:r>
              <w:rPr>
                <w:rFonts w:hint="eastAsia" w:ascii="宋体" w:hAnsi="宋体" w:eastAsia="宋体" w:cs="宋体"/>
                <w:kern w:val="2"/>
                <w:sz w:val="21"/>
                <w:szCs w:val="21"/>
                <w:highlight w:val="none"/>
                <w:lang w:val="en-US" w:eastAsia="zh-CN" w:bidi="ar-SA"/>
              </w:rPr>
              <w:t>①</w:t>
            </w:r>
            <w:r>
              <w:rPr>
                <w:rFonts w:hint="eastAsia" w:ascii="宋体" w:hAnsi="宋体" w:eastAsia="宋体" w:cs="宋体"/>
                <w:kern w:val="2"/>
                <w:sz w:val="21"/>
                <w:szCs w:val="21"/>
                <w:highlight w:val="none"/>
                <w:lang w:val="zh-TW" w:eastAsia="zh-CN" w:bidi="ar-SA"/>
              </w:rPr>
              <w:t>能15分钟内赶到现场并提出解决措施的得</w:t>
            </w:r>
            <w:r>
              <w:rPr>
                <w:rFonts w:hint="eastAsia" w:ascii="宋体" w:hAnsi="宋体" w:eastAsia="宋体" w:cs="宋体"/>
                <w:kern w:val="2"/>
                <w:sz w:val="21"/>
                <w:szCs w:val="21"/>
                <w:highlight w:val="none"/>
                <w:lang w:val="en-US" w:eastAsia="zh-CN" w:bidi="ar-SA"/>
              </w:rPr>
              <w:t>6</w:t>
            </w:r>
            <w:r>
              <w:rPr>
                <w:rFonts w:hint="eastAsia" w:ascii="宋体" w:hAnsi="宋体" w:eastAsia="宋体" w:cs="宋体"/>
                <w:kern w:val="2"/>
                <w:sz w:val="21"/>
                <w:szCs w:val="21"/>
                <w:highlight w:val="none"/>
                <w:lang w:val="zh-TW" w:eastAsia="zh-CN" w:bidi="ar-SA"/>
              </w:rPr>
              <w:t>分；</w:t>
            </w:r>
          </w:p>
          <w:p w14:paraId="6B47CC85">
            <w:pPr>
              <w:numPr>
                <w:ilvl w:val="0"/>
                <w:numId w:val="0"/>
              </w:numPr>
              <w:spacing w:line="400" w:lineRule="exact"/>
              <w:ind w:firstLine="420" w:firstLineChars="200"/>
              <w:rPr>
                <w:rFonts w:hint="eastAsia" w:ascii="宋体" w:hAnsi="宋体" w:eastAsia="宋体" w:cs="宋体"/>
                <w:kern w:val="2"/>
                <w:sz w:val="21"/>
                <w:szCs w:val="21"/>
                <w:highlight w:val="none"/>
                <w:lang w:val="zh-TW" w:eastAsia="zh-CN" w:bidi="ar-SA"/>
              </w:rPr>
            </w:pPr>
            <w:r>
              <w:rPr>
                <w:rFonts w:hint="eastAsia" w:ascii="宋体" w:hAnsi="宋体" w:eastAsia="宋体" w:cs="宋体"/>
                <w:kern w:val="2"/>
                <w:sz w:val="21"/>
                <w:szCs w:val="21"/>
                <w:highlight w:val="none"/>
                <w:lang w:val="en-US" w:eastAsia="zh-CN" w:bidi="ar-SA"/>
              </w:rPr>
              <w:t>②</w:t>
            </w:r>
            <w:r>
              <w:rPr>
                <w:rFonts w:hint="eastAsia" w:ascii="宋体" w:hAnsi="宋体" w:eastAsia="宋体" w:cs="宋体"/>
                <w:kern w:val="2"/>
                <w:sz w:val="21"/>
                <w:szCs w:val="21"/>
                <w:highlight w:val="none"/>
                <w:lang w:val="zh-TW" w:eastAsia="zh-CN" w:bidi="ar-SA"/>
              </w:rPr>
              <w:t>15分钟＜到场时间≤30分钟并能提出解决措施的得</w:t>
            </w:r>
            <w:r>
              <w:rPr>
                <w:rFonts w:hint="eastAsia" w:ascii="宋体" w:hAnsi="宋体" w:eastAsia="宋体" w:cs="宋体"/>
                <w:kern w:val="2"/>
                <w:sz w:val="21"/>
                <w:szCs w:val="21"/>
                <w:highlight w:val="none"/>
                <w:lang w:val="en-US" w:eastAsia="zh-CN" w:bidi="ar-SA"/>
              </w:rPr>
              <w:t>3</w:t>
            </w:r>
            <w:r>
              <w:rPr>
                <w:rFonts w:hint="eastAsia" w:ascii="宋体" w:hAnsi="宋体" w:eastAsia="宋体" w:cs="宋体"/>
                <w:kern w:val="2"/>
                <w:sz w:val="21"/>
                <w:szCs w:val="21"/>
                <w:highlight w:val="none"/>
                <w:lang w:val="zh-TW" w:eastAsia="zh-CN" w:bidi="ar-SA"/>
              </w:rPr>
              <w:t>分；</w:t>
            </w:r>
          </w:p>
          <w:p w14:paraId="36015B18">
            <w:pPr>
              <w:numPr>
                <w:ilvl w:val="0"/>
                <w:numId w:val="0"/>
              </w:numPr>
              <w:spacing w:line="400" w:lineRule="exact"/>
              <w:ind w:firstLine="420" w:firstLineChars="200"/>
              <w:rPr>
                <w:rFonts w:hint="eastAsia" w:ascii="宋体" w:hAnsi="宋体" w:eastAsia="宋体" w:cs="宋体"/>
                <w:kern w:val="2"/>
                <w:sz w:val="21"/>
                <w:szCs w:val="21"/>
                <w:highlight w:val="none"/>
                <w:lang w:val="zh-TW" w:eastAsia="zh-CN" w:bidi="ar-SA"/>
              </w:rPr>
            </w:pPr>
            <w:r>
              <w:rPr>
                <w:rFonts w:hint="eastAsia" w:ascii="宋体" w:hAnsi="宋体" w:eastAsia="宋体" w:cs="宋体"/>
                <w:kern w:val="2"/>
                <w:sz w:val="21"/>
                <w:szCs w:val="21"/>
                <w:highlight w:val="none"/>
                <w:lang w:val="en-US" w:eastAsia="zh-CN" w:bidi="ar-SA"/>
              </w:rPr>
              <w:t>③</w:t>
            </w:r>
            <w:r>
              <w:rPr>
                <w:rFonts w:hint="eastAsia" w:ascii="宋体" w:hAnsi="宋体" w:eastAsia="宋体" w:cs="宋体"/>
                <w:kern w:val="2"/>
                <w:sz w:val="21"/>
                <w:szCs w:val="21"/>
                <w:highlight w:val="none"/>
                <w:lang w:val="zh-TW" w:eastAsia="zh-CN" w:bidi="ar-SA"/>
              </w:rPr>
              <w:t>超过30分钟到场的不得分。</w:t>
            </w:r>
          </w:p>
          <w:p w14:paraId="3EC27112">
            <w:pPr>
              <w:numPr>
                <w:ilvl w:val="0"/>
                <w:numId w:val="0"/>
              </w:numPr>
              <w:spacing w:line="400" w:lineRule="exact"/>
              <w:ind w:left="0" w:leftChars="0" w:firstLine="420" w:firstLineChars="200"/>
              <w:rPr>
                <w:rFonts w:hint="eastAsia" w:ascii="宋体" w:hAnsi="宋体" w:eastAsia="宋体" w:cs="宋体"/>
                <w:sz w:val="21"/>
                <w:szCs w:val="21"/>
                <w:lang w:val="zh-TW"/>
              </w:rPr>
            </w:pPr>
            <w:r>
              <w:rPr>
                <w:rFonts w:hint="eastAsia" w:ascii="宋体" w:hAnsi="宋体" w:eastAsia="宋体" w:cs="宋体"/>
                <w:kern w:val="2"/>
                <w:sz w:val="21"/>
                <w:szCs w:val="21"/>
                <w:highlight w:val="none"/>
                <w:lang w:val="zh-TW" w:eastAsia="zh-CN" w:bidi="ar-SA"/>
              </w:rPr>
              <w:t>注：提供投标人承诺函。</w:t>
            </w:r>
          </w:p>
        </w:tc>
      </w:tr>
    </w:tbl>
    <w:p w14:paraId="297256B0">
      <w:bookmarkStart w:id="0" w:name="_GoBack"/>
      <w:bookmarkEnd w:id="0"/>
    </w:p>
    <w:sectPr>
      <w:pgSz w:w="11906" w:h="16838"/>
      <w:pgMar w:top="1701" w:right="1800"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B4371A"/>
    <w:rsid w:val="49B4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next w:val="1"/>
    <w:unhideWhenUsed/>
    <w:qFormat/>
    <w:uiPriority w:val="0"/>
    <w:pPr>
      <w:widowControl w:val="0"/>
      <w:ind w:left="420" w:leftChars="20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2026-06-12T03:35:00Z</dcterms:created>
  <dc:creator>禄晨捷</dc:creator>
  <cp:lastModifiedBy>禄晨捷</cp:lastModifiedBy>
  <dcterms:modified xsi:type="dcterms:W3CDTF">2026-06-12T03:35:28Z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A3F7E758E62446DBA6B5DF419C148460_11</vt:lpwstr>
  </property>
  <property fmtid="{D5CDD505-2E9C-101B-9397-08002B2CF9AE}" pid="4" name="KSOTemplateDocerSaveRecord">
    <vt:lpwstr>eyJoZGlkIjoiOWNiZjY0ZWNhNDE4NzllYWY1Y2FjNjE5Mzk5NGE4YjYiLCJ1c2VySWQiOiIxNDUxOTY0NzA1In0=</vt:lpwstr>
  </property>
</Properties>
</file>