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0A7E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46D15DC0">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b/>
          <w:bCs/>
          <w:sz w:val="28"/>
          <w:szCs w:val="36"/>
          <w:lang w:val="en-US" w:eastAsia="zh-CN"/>
        </w:rPr>
      </w:pPr>
      <w:r>
        <w:rPr>
          <w:rFonts w:hint="eastAsia"/>
          <w:b/>
          <w:bCs/>
          <w:sz w:val="28"/>
          <w:szCs w:val="36"/>
          <w:lang w:val="en-US" w:eastAsia="zh-CN"/>
        </w:rPr>
        <w:t>附件2</w:t>
      </w:r>
    </w:p>
    <w:p w14:paraId="5A4EF458">
      <w:pPr>
        <w:rPr>
          <w:rFonts w:hint="eastAsia" w:ascii="仿宋_GB2312" w:hAnsi="仿宋_GB2312" w:eastAsia="仿宋_GB2312" w:cs="仿宋_GB2312"/>
          <w:sz w:val="36"/>
          <w:szCs w:val="36"/>
          <w:lang w:val="en-US" w:eastAsia="zh-CN"/>
        </w:rPr>
      </w:pPr>
    </w:p>
    <w:p w14:paraId="3952711E">
      <w:pPr>
        <w:jc w:val="center"/>
        <w:rPr>
          <w:rFonts w:hint="eastAsia" w:ascii="宋体" w:hAnsi="宋体" w:eastAsia="宋体" w:cs="宋体"/>
          <w:b/>
          <w:bCs/>
          <w:i w:val="0"/>
          <w:iCs w:val="0"/>
          <w:color w:val="000000"/>
          <w:kern w:val="0"/>
          <w:sz w:val="32"/>
          <w:szCs w:val="32"/>
          <w:u w:val="none"/>
          <w:lang w:val="en-US" w:eastAsia="zh-CN" w:bidi="ar"/>
        </w:rPr>
      </w:pPr>
      <w:bookmarkStart w:id="0" w:name="_GoBack"/>
      <w:r>
        <w:rPr>
          <w:rFonts w:hint="eastAsia" w:ascii="宋体" w:hAnsi="宋体" w:eastAsia="宋体" w:cs="宋体"/>
          <w:b/>
          <w:bCs/>
          <w:i w:val="0"/>
          <w:iCs w:val="0"/>
          <w:color w:val="000000"/>
          <w:kern w:val="0"/>
          <w:sz w:val="32"/>
          <w:szCs w:val="32"/>
          <w:u w:val="none"/>
          <w:lang w:val="en-US" w:eastAsia="zh-CN" w:bidi="ar"/>
        </w:rPr>
        <w:t>威宁自治县第三人民医院</w:t>
      </w:r>
    </w:p>
    <w:p w14:paraId="2583C2EC">
      <w:pPr>
        <w:jc w:val="center"/>
        <w:rPr>
          <w:rFonts w:hint="eastAsia" w:ascii="宋体" w:hAnsi="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体育活动场地硬化及围栏项目采购</w:t>
      </w:r>
      <w:r>
        <w:rPr>
          <w:rFonts w:hint="eastAsia" w:ascii="宋体" w:hAnsi="宋体" w:cs="宋体"/>
          <w:b/>
          <w:bCs/>
          <w:i w:val="0"/>
          <w:iCs w:val="0"/>
          <w:color w:val="000000"/>
          <w:kern w:val="0"/>
          <w:sz w:val="32"/>
          <w:szCs w:val="32"/>
          <w:u w:val="none"/>
          <w:lang w:val="en-US" w:eastAsia="zh-CN" w:bidi="ar"/>
        </w:rPr>
        <w:t>评分标准</w:t>
      </w:r>
    </w:p>
    <w:bookmarkEnd w:id="0"/>
    <w:p w14:paraId="034729CF">
      <w:pPr>
        <w:jc w:val="center"/>
        <w:rPr>
          <w:rFonts w:hint="default" w:ascii="宋体" w:hAnsi="宋体" w:cs="宋体"/>
          <w:b/>
          <w:bCs/>
          <w:i w:val="0"/>
          <w:iCs w:val="0"/>
          <w:color w:val="000000"/>
          <w:kern w:val="0"/>
          <w:sz w:val="32"/>
          <w:szCs w:val="32"/>
          <w:u w:val="none"/>
          <w:lang w:val="en-US" w:eastAsia="zh-CN" w:bidi="ar"/>
        </w:rPr>
      </w:pPr>
    </w:p>
    <w:tbl>
      <w:tblPr>
        <w:tblStyle w:val="7"/>
        <w:tblW w:w="4973" w:type="pct"/>
        <w:tblInd w:w="0" w:type="dxa"/>
        <w:tblLayout w:type="fixed"/>
        <w:tblCellMar>
          <w:top w:w="0" w:type="dxa"/>
          <w:left w:w="0" w:type="dxa"/>
          <w:bottom w:w="0" w:type="dxa"/>
          <w:right w:w="0" w:type="dxa"/>
        </w:tblCellMar>
      </w:tblPr>
      <w:tblGrid>
        <w:gridCol w:w="1089"/>
        <w:gridCol w:w="882"/>
        <w:gridCol w:w="8113"/>
      </w:tblGrid>
      <w:tr w14:paraId="02D11666">
        <w:tblPrEx>
          <w:tblCellMar>
            <w:top w:w="0" w:type="dxa"/>
            <w:left w:w="0" w:type="dxa"/>
            <w:bottom w:w="0" w:type="dxa"/>
            <w:right w:w="0" w:type="dxa"/>
          </w:tblCellMar>
        </w:tblPrEx>
        <w:trPr>
          <w:trHeight w:val="531" w:hRule="atLeast"/>
        </w:trPr>
        <w:tc>
          <w:tcPr>
            <w:tcW w:w="539" w:type="pct"/>
            <w:tcBorders>
              <w:top w:val="single" w:color="000000" w:sz="6" w:space="0"/>
              <w:left w:val="single" w:color="000000" w:sz="6" w:space="0"/>
              <w:bottom w:val="single" w:color="000000" w:sz="6" w:space="0"/>
              <w:right w:val="single" w:color="000000" w:sz="6" w:space="0"/>
            </w:tcBorders>
            <w:noWrap w:val="0"/>
            <w:tcMar>
              <w:top w:w="150" w:type="dxa"/>
              <w:left w:w="150" w:type="dxa"/>
              <w:bottom w:w="150" w:type="dxa"/>
              <w:right w:w="150" w:type="dxa"/>
            </w:tcMar>
            <w:vAlign w:val="center"/>
          </w:tcPr>
          <w:p w14:paraId="436F1ED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rPr>
              <w:t>项</w:t>
            </w:r>
            <w:r>
              <w:rPr>
                <w:rFonts w:hint="eastAsia" w:ascii="宋体" w:hAnsi="宋体" w:eastAsia="宋体" w:cs="宋体"/>
                <w:b/>
                <w:sz w:val="24"/>
                <w:szCs w:val="24"/>
                <w:lang w:val="en-US" w:eastAsia="zh-CN"/>
              </w:rPr>
              <w:t>目</w:t>
            </w:r>
          </w:p>
        </w:tc>
        <w:tc>
          <w:tcPr>
            <w:tcW w:w="437" w:type="pct"/>
            <w:tcBorders>
              <w:top w:val="single" w:color="000000" w:sz="6" w:space="0"/>
              <w:left w:val="single" w:color="000000" w:sz="6" w:space="0"/>
              <w:bottom w:val="single" w:color="000000" w:sz="6" w:space="0"/>
              <w:right w:val="single" w:color="000000" w:sz="6" w:space="0"/>
            </w:tcBorders>
            <w:noWrap w:val="0"/>
            <w:tcMar>
              <w:top w:w="150" w:type="dxa"/>
              <w:left w:w="150" w:type="dxa"/>
              <w:bottom w:w="150" w:type="dxa"/>
              <w:right w:w="150" w:type="dxa"/>
            </w:tcMar>
            <w:vAlign w:val="center"/>
          </w:tcPr>
          <w:p w14:paraId="375253F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分项名称</w:t>
            </w:r>
          </w:p>
        </w:tc>
        <w:tc>
          <w:tcPr>
            <w:tcW w:w="4022" w:type="pct"/>
            <w:tcBorders>
              <w:top w:val="single" w:color="000000" w:sz="6" w:space="0"/>
              <w:left w:val="single" w:color="000000" w:sz="6" w:space="0"/>
              <w:bottom w:val="single" w:color="000000" w:sz="6" w:space="0"/>
              <w:right w:val="single" w:color="000000" w:sz="6" w:space="0"/>
            </w:tcBorders>
            <w:noWrap w:val="0"/>
            <w:tcMar>
              <w:top w:w="150" w:type="dxa"/>
              <w:left w:w="150" w:type="dxa"/>
              <w:bottom w:w="150" w:type="dxa"/>
              <w:right w:w="150" w:type="dxa"/>
            </w:tcMar>
            <w:vAlign w:val="center"/>
          </w:tcPr>
          <w:p w14:paraId="06EE12D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b/>
                <w:sz w:val="24"/>
                <w:szCs w:val="24"/>
                <w:lang w:eastAsia="zh-CN"/>
              </w:rPr>
            </w:pPr>
            <w:r>
              <w:rPr>
                <w:rFonts w:hint="eastAsia" w:ascii="宋体" w:hAnsi="宋体" w:eastAsia="宋体" w:cs="宋体"/>
                <w:b/>
                <w:sz w:val="24"/>
                <w:szCs w:val="24"/>
                <w:lang w:val="en-US" w:eastAsia="zh-CN"/>
              </w:rPr>
              <w:t>评分标准</w:t>
            </w:r>
          </w:p>
        </w:tc>
      </w:tr>
      <w:tr w14:paraId="085D45C5">
        <w:tblPrEx>
          <w:tblCellMar>
            <w:top w:w="0" w:type="dxa"/>
            <w:left w:w="0" w:type="dxa"/>
            <w:bottom w:w="0" w:type="dxa"/>
            <w:right w:w="0" w:type="dxa"/>
          </w:tblCellMar>
        </w:tblPrEx>
        <w:trPr>
          <w:trHeight w:val="1110" w:hRule="atLeast"/>
        </w:trPr>
        <w:tc>
          <w:tcPr>
            <w:tcW w:w="539" w:type="pct"/>
            <w:tcBorders>
              <w:top w:val="single" w:color="000000" w:sz="6" w:space="0"/>
              <w:left w:val="single" w:color="000000" w:sz="6" w:space="0"/>
              <w:bottom w:val="single" w:color="000000" w:sz="6" w:space="0"/>
              <w:right w:val="single" w:color="000000" w:sz="6" w:space="0"/>
            </w:tcBorders>
            <w:noWrap w:val="0"/>
            <w:tcMar>
              <w:top w:w="150" w:type="dxa"/>
              <w:left w:w="150" w:type="dxa"/>
              <w:bottom w:w="150" w:type="dxa"/>
              <w:right w:w="150" w:type="dxa"/>
            </w:tcMar>
            <w:vAlign w:val="center"/>
          </w:tcPr>
          <w:p w14:paraId="390F114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价格部分(</w:t>
            </w:r>
            <w:r>
              <w:rPr>
                <w:rFonts w:hint="eastAsia" w:ascii="宋体" w:hAnsi="宋体" w:eastAsia="宋体" w:cs="宋体"/>
                <w:color w:val="000000" w:themeColor="text1"/>
                <w:sz w:val="24"/>
                <w:szCs w:val="24"/>
                <w:lang w:val="en-US" w:eastAsia="zh-CN"/>
                <w14:textFill>
                  <w14:solidFill>
                    <w14:schemeClr w14:val="tx1"/>
                  </w14:solidFill>
                </w14:textFill>
              </w:rPr>
              <w:t>40</w:t>
            </w:r>
            <w:r>
              <w:rPr>
                <w:rFonts w:ascii="宋体" w:hAnsi="宋体" w:eastAsia="宋体" w:cs="宋体"/>
                <w:color w:val="000000" w:themeColor="text1"/>
                <w:sz w:val="24"/>
                <w:szCs w:val="24"/>
                <w14:textFill>
                  <w14:solidFill>
                    <w14:schemeClr w14:val="tx1"/>
                  </w14:solidFill>
                </w14:textFill>
              </w:rPr>
              <w:t>)</w:t>
            </w:r>
          </w:p>
        </w:tc>
        <w:tc>
          <w:tcPr>
            <w:tcW w:w="437" w:type="pct"/>
            <w:tcBorders>
              <w:top w:val="single" w:color="000000" w:sz="6" w:space="0"/>
              <w:left w:val="single" w:color="000000" w:sz="6" w:space="0"/>
              <w:bottom w:val="single" w:color="000000" w:sz="6" w:space="0"/>
              <w:right w:val="single" w:color="000000" w:sz="6" w:space="0"/>
            </w:tcBorders>
            <w:noWrap w:val="0"/>
            <w:tcMar>
              <w:top w:w="150" w:type="dxa"/>
              <w:left w:w="150" w:type="dxa"/>
              <w:bottom w:w="150" w:type="dxa"/>
              <w:right w:w="150" w:type="dxa"/>
            </w:tcMar>
            <w:vAlign w:val="center"/>
          </w:tcPr>
          <w:p w14:paraId="7DB6BD92">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报价得分</w:t>
            </w:r>
          </w:p>
        </w:tc>
        <w:tc>
          <w:tcPr>
            <w:tcW w:w="4022" w:type="pct"/>
            <w:tcBorders>
              <w:top w:val="single" w:color="000000" w:sz="6" w:space="0"/>
              <w:left w:val="single" w:color="000000" w:sz="6" w:space="0"/>
              <w:bottom w:val="single" w:color="000000" w:sz="6" w:space="0"/>
              <w:right w:val="single" w:color="000000" w:sz="6" w:space="0"/>
            </w:tcBorders>
            <w:noWrap w:val="0"/>
            <w:tcMar>
              <w:top w:w="150" w:type="dxa"/>
              <w:left w:w="150" w:type="dxa"/>
              <w:bottom w:w="150" w:type="dxa"/>
              <w:right w:w="150" w:type="dxa"/>
            </w:tcMar>
            <w:vAlign w:val="center"/>
          </w:tcPr>
          <w:p w14:paraId="1A1E68A0">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投标报价得分=（评标基准价/</w:t>
            </w:r>
            <w:r>
              <w:rPr>
                <w:rFonts w:hint="eastAsia" w:ascii="宋体" w:hAnsi="宋体" w:eastAsia="宋体" w:cs="宋体"/>
                <w:b w:val="0"/>
                <w:bCs w:val="0"/>
                <w:color w:val="000000" w:themeColor="text1"/>
                <w:sz w:val="24"/>
                <w:szCs w:val="24"/>
                <w:lang w:val="en-US" w:eastAsia="zh-CN"/>
                <w14:textFill>
                  <w14:solidFill>
                    <w14:schemeClr w14:val="tx1"/>
                  </w14:solidFill>
                </w14:textFill>
              </w:rPr>
              <w:t>有效</w:t>
            </w:r>
            <w:r>
              <w:rPr>
                <w:rFonts w:hint="eastAsia" w:ascii="宋体" w:hAnsi="宋体" w:eastAsia="宋体" w:cs="宋体"/>
                <w:b w:val="0"/>
                <w:bCs w:val="0"/>
                <w:color w:val="000000" w:themeColor="text1"/>
                <w:sz w:val="24"/>
                <w:szCs w:val="24"/>
                <w14:textFill>
                  <w14:solidFill>
                    <w14:schemeClr w14:val="tx1"/>
                  </w14:solidFill>
                </w14:textFill>
              </w:rPr>
              <w:t>投标报价）×</w:t>
            </w:r>
            <w:r>
              <w:rPr>
                <w:rFonts w:hint="eastAsia" w:ascii="宋体" w:hAnsi="宋体" w:eastAsia="宋体" w:cs="宋体"/>
                <w:b w:val="0"/>
                <w:bCs w:val="0"/>
                <w:color w:val="000000" w:themeColor="text1"/>
                <w:sz w:val="24"/>
                <w:szCs w:val="24"/>
                <w:lang w:val="en-US" w:eastAsia="zh-CN"/>
                <w14:textFill>
                  <w14:solidFill>
                    <w14:schemeClr w14:val="tx1"/>
                  </w14:solidFill>
                </w14:textFill>
              </w:rPr>
              <w:t>40</w:t>
            </w:r>
            <w:r>
              <w:rPr>
                <w:rFonts w:hint="eastAsia" w:ascii="宋体" w:hAnsi="宋体" w:eastAsia="宋体" w:cs="宋体"/>
                <w:b w:val="0"/>
                <w:bCs w:val="0"/>
                <w:color w:val="000000" w:themeColor="text1"/>
                <w:sz w:val="24"/>
                <w:szCs w:val="24"/>
                <w14:textFill>
                  <w14:solidFill>
                    <w14:schemeClr w14:val="tx1"/>
                  </w14:solidFill>
                </w14:textFill>
              </w:rPr>
              <w:t>，得分保留至小数点后两位。</w:t>
            </w:r>
          </w:p>
        </w:tc>
      </w:tr>
      <w:tr w14:paraId="0EB09BFF">
        <w:tblPrEx>
          <w:tblCellMar>
            <w:top w:w="0" w:type="dxa"/>
            <w:left w:w="0" w:type="dxa"/>
            <w:bottom w:w="0" w:type="dxa"/>
            <w:right w:w="0" w:type="dxa"/>
          </w:tblCellMar>
        </w:tblPrEx>
        <w:trPr>
          <w:trHeight w:val="2381" w:hRule="atLeast"/>
        </w:trPr>
        <w:tc>
          <w:tcPr>
            <w:tcW w:w="539" w:type="pct"/>
            <w:tcBorders>
              <w:top w:val="single" w:color="000000" w:sz="6" w:space="0"/>
              <w:left w:val="single" w:color="000000" w:sz="6" w:space="0"/>
              <w:bottom w:val="single" w:color="000000" w:sz="6" w:space="0"/>
              <w:right w:val="single" w:color="000000" w:sz="6" w:space="0"/>
            </w:tcBorders>
            <w:noWrap w:val="0"/>
            <w:tcMar>
              <w:top w:w="150" w:type="dxa"/>
              <w:left w:w="150" w:type="dxa"/>
              <w:bottom w:w="150" w:type="dxa"/>
              <w:right w:w="150" w:type="dxa"/>
            </w:tcMar>
            <w:vAlign w:val="center"/>
          </w:tcPr>
          <w:p w14:paraId="059F301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技术</w:t>
            </w:r>
          </w:p>
          <w:p w14:paraId="5D80A1F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部分</w:t>
            </w:r>
          </w:p>
          <w:p w14:paraId="6EA4F69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(35)</w:t>
            </w:r>
          </w:p>
        </w:tc>
        <w:tc>
          <w:tcPr>
            <w:tcW w:w="437" w:type="pct"/>
            <w:tcBorders>
              <w:top w:val="single" w:color="000000" w:sz="6" w:space="0"/>
              <w:left w:val="single" w:color="000000" w:sz="6" w:space="0"/>
              <w:bottom w:val="single" w:color="000000" w:sz="6" w:space="0"/>
              <w:right w:val="single" w:color="000000" w:sz="6" w:space="0"/>
            </w:tcBorders>
            <w:noWrap w:val="0"/>
            <w:tcMar>
              <w:top w:w="150" w:type="dxa"/>
              <w:left w:w="150" w:type="dxa"/>
              <w:bottom w:w="150" w:type="dxa"/>
              <w:right w:w="150" w:type="dxa"/>
            </w:tcMar>
            <w:vAlign w:val="center"/>
          </w:tcPr>
          <w:p w14:paraId="03BF240A">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施工设计</w:t>
            </w:r>
          </w:p>
        </w:tc>
        <w:tc>
          <w:tcPr>
            <w:tcW w:w="4022" w:type="pct"/>
            <w:tcBorders>
              <w:top w:val="single" w:color="000000" w:sz="6" w:space="0"/>
              <w:left w:val="single" w:color="000000" w:sz="6" w:space="0"/>
              <w:bottom w:val="single" w:color="000000" w:sz="6" w:space="0"/>
              <w:right w:val="single" w:color="000000" w:sz="6" w:space="0"/>
            </w:tcBorders>
            <w:noWrap w:val="0"/>
            <w:tcMar>
              <w:top w:w="150" w:type="dxa"/>
              <w:left w:w="150" w:type="dxa"/>
              <w:bottom w:w="150" w:type="dxa"/>
              <w:right w:w="150" w:type="dxa"/>
            </w:tcMar>
            <w:vAlign w:val="center"/>
          </w:tcPr>
          <w:p w14:paraId="3CB9AD9B">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kern w:val="2"/>
                <w:sz w:val="24"/>
                <w:szCs w:val="24"/>
                <w:lang w:val="en-US" w:eastAsia="zh-CN" w:bidi="ar-SA"/>
                <w14:textFill>
                  <w14:solidFill>
                    <w14:schemeClr w14:val="tx1"/>
                  </w14:solidFill>
                </w14:textFill>
              </w:rPr>
              <w:t>1、</w:t>
            </w:r>
            <w:r>
              <w:rPr>
                <w:rFonts w:ascii="宋体" w:hAnsi="宋体" w:eastAsia="宋体" w:cs="宋体"/>
                <w:b/>
                <w:bCs/>
                <w:color w:val="000000" w:themeColor="text1"/>
                <w:sz w:val="24"/>
                <w:szCs w:val="24"/>
                <w14:textFill>
                  <w14:solidFill>
                    <w14:schemeClr w14:val="tx1"/>
                  </w14:solidFill>
                </w14:textFill>
              </w:rPr>
              <w:t>施工方案与技术措施</w:t>
            </w:r>
            <w:r>
              <w:rPr>
                <w:rFonts w:ascii="宋体" w:hAnsi="宋体" w:eastAsia="宋体" w:cs="宋体"/>
                <w:color w:val="000000" w:themeColor="text1"/>
                <w:sz w:val="24"/>
                <w:szCs w:val="24"/>
                <w14:textFill>
                  <w14:solidFill>
                    <w14:schemeClr w14:val="tx1"/>
                  </w14:solidFill>
                </w14:textFill>
              </w:rPr>
              <w:t>：施工工艺完整、内容详实，各项措施先进、合理且统筹部署安排完善的得8分；内容完整，主要措施合理、可行的得5分；内容基本完整，主要措施能满足基本需求的得3分；缺项的得0分。</w:t>
            </w:r>
            <w:r>
              <w:rPr>
                <w:rFonts w:ascii="宋体" w:hAnsi="宋体" w:eastAsia="宋体" w:cs="宋体"/>
                <w:b w:val="0"/>
                <w:bCs w:val="0"/>
                <w:color w:val="000000" w:themeColor="text1"/>
                <w:sz w:val="24"/>
                <w:szCs w:val="24"/>
                <w14:textFill>
                  <w14:solidFill>
                    <w14:schemeClr w14:val="tx1"/>
                  </w14:solidFill>
                </w14:textFill>
              </w:rPr>
              <w:t>（满分8分）</w:t>
            </w:r>
          </w:p>
          <w:p w14:paraId="02C6725D">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z w:val="24"/>
                <w:szCs w:val="24"/>
                <w14:textFill>
                  <w14:solidFill>
                    <w14:schemeClr w14:val="tx1"/>
                  </w14:solidFill>
                </w14:textFill>
              </w:rPr>
              <w:t>2、质量保证措施：</w:t>
            </w:r>
            <w:r>
              <w:rPr>
                <w:rFonts w:ascii="宋体" w:hAnsi="宋体" w:eastAsia="宋体" w:cs="宋体"/>
                <w:color w:val="000000" w:themeColor="text1"/>
                <w:sz w:val="24"/>
                <w:szCs w:val="24"/>
                <w14:textFill>
                  <w14:solidFill>
                    <w14:schemeClr w14:val="tx1"/>
                  </w14:solidFill>
                </w14:textFill>
              </w:rPr>
              <w:t>质量措施完整、内容详实，各项措施先进、合理且完善的得8分；内容完整，主要措施合理、可行的得5分；内容基本完整，主要措施能满足基本需求的得3分；缺项的得0分。（满分8分）</w:t>
            </w:r>
          </w:p>
          <w:p w14:paraId="35364A65">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z w:val="24"/>
                <w:szCs w:val="24"/>
                <w14:textFill>
                  <w14:solidFill>
                    <w14:schemeClr w14:val="tx1"/>
                  </w14:solidFill>
                </w14:textFill>
              </w:rPr>
              <w:t>3、施工总进度及保证措施：</w:t>
            </w:r>
            <w:r>
              <w:rPr>
                <w:rFonts w:ascii="宋体" w:hAnsi="宋体" w:eastAsia="宋体" w:cs="宋体"/>
                <w:color w:val="000000" w:themeColor="text1"/>
                <w:sz w:val="24"/>
                <w:szCs w:val="24"/>
                <w14:textFill>
                  <w14:solidFill>
                    <w14:schemeClr w14:val="tx1"/>
                  </w14:solidFill>
                </w14:textFill>
              </w:rPr>
              <w:t>能在保质保量的情况下，按采购人要求的工期内计划完工的得</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ascii="宋体" w:hAnsi="宋体" w:eastAsia="宋体" w:cs="宋体"/>
                <w:color w:val="000000" w:themeColor="text1"/>
                <w:sz w:val="24"/>
                <w:szCs w:val="24"/>
                <w14:textFill>
                  <w14:solidFill>
                    <w14:schemeClr w14:val="tx1"/>
                  </w14:solidFill>
                </w14:textFill>
              </w:rPr>
              <w:t>分；基本能按期完工的得</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ascii="宋体" w:hAnsi="宋体" w:eastAsia="宋体" w:cs="宋体"/>
                <w:color w:val="000000" w:themeColor="text1"/>
                <w:sz w:val="24"/>
                <w:szCs w:val="24"/>
                <w14:textFill>
                  <w14:solidFill>
                    <w14:schemeClr w14:val="tx1"/>
                  </w14:solidFill>
                </w14:textFill>
              </w:rPr>
              <w:t>分；无计划的得0分。（满分</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ascii="宋体" w:hAnsi="宋体" w:eastAsia="宋体" w:cs="宋体"/>
                <w:color w:val="000000" w:themeColor="text1"/>
                <w:sz w:val="24"/>
                <w:szCs w:val="24"/>
                <w14:textFill>
                  <w14:solidFill>
                    <w14:schemeClr w14:val="tx1"/>
                  </w14:solidFill>
                </w14:textFill>
              </w:rPr>
              <w:t>分）</w:t>
            </w:r>
          </w:p>
          <w:p w14:paraId="4AEF65F7">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z w:val="24"/>
                <w:szCs w:val="24"/>
                <w14:textFill>
                  <w14:solidFill>
                    <w14:schemeClr w14:val="tx1"/>
                  </w14:solidFill>
                </w14:textFill>
              </w:rPr>
              <w:t>4、施工安全措施计划：</w:t>
            </w:r>
            <w:r>
              <w:rPr>
                <w:rFonts w:ascii="宋体" w:hAnsi="宋体" w:eastAsia="宋体" w:cs="宋体"/>
                <w:color w:val="000000" w:themeColor="text1"/>
                <w:sz w:val="24"/>
                <w:szCs w:val="24"/>
                <w14:textFill>
                  <w14:solidFill>
                    <w14:schemeClr w14:val="tx1"/>
                  </w14:solidFill>
                </w14:textFill>
              </w:rPr>
              <w:t>在施工过程中安全物资投入充分，能完全保障施工现场内人员安全的得</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ascii="宋体" w:hAnsi="宋体" w:eastAsia="宋体" w:cs="宋体"/>
                <w:color w:val="000000" w:themeColor="text1"/>
                <w:sz w:val="24"/>
                <w:szCs w:val="24"/>
                <w14:textFill>
                  <w14:solidFill>
                    <w14:schemeClr w14:val="tx1"/>
                  </w14:solidFill>
                </w14:textFill>
              </w:rPr>
              <w:t>分；安全物资</w:t>
            </w:r>
            <w:r>
              <w:rPr>
                <w:rFonts w:hint="eastAsia" w:ascii="宋体" w:hAnsi="宋体" w:eastAsia="宋体" w:cs="宋体"/>
                <w:color w:val="000000" w:themeColor="text1"/>
                <w:sz w:val="24"/>
                <w:szCs w:val="24"/>
                <w:lang w:eastAsia="zh-CN"/>
                <w14:textFill>
                  <w14:solidFill>
                    <w14:schemeClr w14:val="tx1"/>
                  </w14:solidFill>
                </w14:textFill>
              </w:rPr>
              <w:t>投入</w:t>
            </w:r>
            <w:r>
              <w:rPr>
                <w:rFonts w:ascii="宋体" w:hAnsi="宋体" w:eastAsia="宋体" w:cs="宋体"/>
                <w:color w:val="000000" w:themeColor="text1"/>
                <w:sz w:val="24"/>
                <w:szCs w:val="24"/>
                <w14:textFill>
                  <w14:solidFill>
                    <w14:schemeClr w14:val="tx1"/>
                  </w14:solidFill>
                </w14:textFill>
              </w:rPr>
              <w:t>基本满足需求的得</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ascii="宋体" w:hAnsi="宋体" w:eastAsia="宋体" w:cs="宋体"/>
                <w:color w:val="000000" w:themeColor="text1"/>
                <w:sz w:val="24"/>
                <w:szCs w:val="24"/>
                <w14:textFill>
                  <w14:solidFill>
                    <w14:schemeClr w14:val="tx1"/>
                  </w14:solidFill>
                </w14:textFill>
              </w:rPr>
              <w:t>分；没有保障的得0分。（满分</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ascii="宋体" w:hAnsi="宋体" w:eastAsia="宋体" w:cs="宋体"/>
                <w:color w:val="000000" w:themeColor="text1"/>
                <w:sz w:val="24"/>
                <w:szCs w:val="24"/>
                <w14:textFill>
                  <w14:solidFill>
                    <w14:schemeClr w14:val="tx1"/>
                  </w14:solidFill>
                </w14:textFill>
              </w:rPr>
              <w:t>分）</w:t>
            </w:r>
          </w:p>
          <w:p w14:paraId="14519E2E">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z w:val="24"/>
                <w:szCs w:val="24"/>
                <w14:textFill>
                  <w14:solidFill>
                    <w14:schemeClr w14:val="tx1"/>
                  </w14:solidFill>
                </w14:textFill>
              </w:rPr>
              <w:t>5、文明施工措施：</w:t>
            </w:r>
            <w:r>
              <w:rPr>
                <w:rFonts w:ascii="宋体" w:hAnsi="宋体" w:eastAsia="宋体" w:cs="宋体"/>
                <w:color w:val="000000" w:themeColor="text1"/>
                <w:sz w:val="24"/>
                <w:szCs w:val="24"/>
                <w14:textFill>
                  <w14:solidFill>
                    <w14:schemeClr w14:val="tx1"/>
                  </w14:solidFill>
                </w14:textFill>
              </w:rPr>
              <w:t>对该项目的施工区域、生活区域规划明确详细的得3分。规划基本明确的得1分，无规划的得0分。（满分3分）</w:t>
            </w:r>
          </w:p>
          <w:p w14:paraId="194AB03F">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z w:val="24"/>
                <w:szCs w:val="24"/>
                <w14:textFill>
                  <w14:solidFill>
                    <w14:schemeClr w14:val="tx1"/>
                  </w14:solidFill>
                </w14:textFill>
              </w:rPr>
              <w:t>6、施工环保措施：</w:t>
            </w:r>
            <w:r>
              <w:rPr>
                <w:rFonts w:ascii="宋体" w:hAnsi="宋体" w:eastAsia="宋体" w:cs="宋体"/>
                <w:color w:val="000000" w:themeColor="text1"/>
                <w:sz w:val="24"/>
                <w:szCs w:val="24"/>
                <w14:textFill>
                  <w14:solidFill>
                    <w14:schemeClr w14:val="tx1"/>
                  </w14:solidFill>
                </w14:textFill>
              </w:rPr>
              <w:t>对该项目临时设施、环境卫生、扬尘、施工噪声防护措施详细、完整，各项措施先进、合理的得3分；防护措施完整、可行的得1分；没有防护措施的得0分。（满分3分）</w:t>
            </w:r>
          </w:p>
          <w:p w14:paraId="4584320B">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b/>
                <w:bCs/>
                <w:color w:val="000000" w:themeColor="text1"/>
                <w:sz w:val="24"/>
                <w:szCs w:val="24"/>
                <w:lang w:val="en-US" w:eastAsia="zh-CN"/>
                <w14:textFill>
                  <w14:solidFill>
                    <w14:schemeClr w14:val="tx1"/>
                  </w14:solidFill>
                </w14:textFill>
              </w:rPr>
              <w:t>应急保障措施：</w:t>
            </w:r>
            <w:r>
              <w:rPr>
                <w:rFonts w:hint="eastAsia" w:ascii="宋体" w:hAnsi="宋体" w:eastAsia="宋体" w:cs="宋体"/>
                <w:b w:val="0"/>
                <w:bCs w:val="0"/>
                <w:color w:val="000000" w:themeColor="text1"/>
                <w:sz w:val="24"/>
                <w:szCs w:val="24"/>
                <w:lang w:val="en-US" w:eastAsia="zh-CN"/>
                <w14:textFill>
                  <w14:solidFill>
                    <w14:schemeClr w14:val="tx1"/>
                  </w14:solidFill>
                </w14:textFill>
              </w:rPr>
              <w:t>针对本项目可能出现的突发情况（如恶劣天气、材料供应延迟、混凝土养护期间遇低温/高温、设备故障、围栏材料缺货等），提出具体可行的应急处理方案。措施详细、可操作性强得4分；基本完整得2分；无预案或明显不合理得0分。</w:t>
            </w:r>
            <w:r>
              <w:rPr>
                <w:rFonts w:ascii="宋体" w:hAnsi="宋体" w:eastAsia="宋体" w:cs="宋体"/>
                <w:color w:val="000000" w:themeColor="text1"/>
                <w:sz w:val="24"/>
                <w:szCs w:val="24"/>
                <w14:textFill>
                  <w14:solidFill>
                    <w14:schemeClr w14:val="tx1"/>
                  </w14:solidFill>
                </w14:textFill>
              </w:rPr>
              <w:t>（满分</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ascii="宋体" w:hAnsi="宋体" w:eastAsia="宋体" w:cs="宋体"/>
                <w:color w:val="000000" w:themeColor="text1"/>
                <w:sz w:val="24"/>
                <w:szCs w:val="24"/>
                <w14:textFill>
                  <w14:solidFill>
                    <w14:schemeClr w14:val="tx1"/>
                  </w14:solidFill>
                </w14:textFill>
              </w:rPr>
              <w:t>分）</w:t>
            </w:r>
          </w:p>
        </w:tc>
      </w:tr>
      <w:tr w14:paraId="7C7BDB71">
        <w:tblPrEx>
          <w:tblCellMar>
            <w:top w:w="0" w:type="dxa"/>
            <w:left w:w="0" w:type="dxa"/>
            <w:bottom w:w="0" w:type="dxa"/>
            <w:right w:w="0" w:type="dxa"/>
          </w:tblCellMar>
        </w:tblPrEx>
        <w:trPr>
          <w:trHeight w:val="1086" w:hRule="atLeast"/>
        </w:trPr>
        <w:tc>
          <w:tcPr>
            <w:tcW w:w="539" w:type="pct"/>
            <w:vMerge w:val="restart"/>
            <w:tcBorders>
              <w:top w:val="single" w:color="000000" w:sz="6" w:space="0"/>
              <w:left w:val="single" w:color="000000" w:sz="6" w:space="0"/>
              <w:right w:val="single" w:color="000000" w:sz="6" w:space="0"/>
            </w:tcBorders>
            <w:noWrap w:val="0"/>
            <w:tcMar>
              <w:top w:w="150" w:type="dxa"/>
              <w:left w:w="150" w:type="dxa"/>
              <w:bottom w:w="150" w:type="dxa"/>
              <w:right w:w="150" w:type="dxa"/>
            </w:tcMar>
            <w:vAlign w:val="center"/>
          </w:tcPr>
          <w:p w14:paraId="0C8830E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14:paraId="10F9A21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14:paraId="7E19738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14:paraId="009AD78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14:paraId="27666C1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14:paraId="130806F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14:paraId="7C14DAD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14:paraId="2AE651B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14:paraId="310616D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14:paraId="041D2D4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14:paraId="7907A0D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14:paraId="56574AD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14:paraId="2C583B1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14:paraId="0985D6A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商务</w:t>
            </w:r>
          </w:p>
          <w:p w14:paraId="5BC006C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部分</w:t>
            </w:r>
          </w:p>
          <w:p w14:paraId="5927E5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（25）</w:t>
            </w:r>
          </w:p>
        </w:tc>
        <w:tc>
          <w:tcPr>
            <w:tcW w:w="437" w:type="pct"/>
            <w:tcBorders>
              <w:top w:val="single" w:color="000000" w:sz="6" w:space="0"/>
              <w:left w:val="single" w:color="000000" w:sz="6" w:space="0"/>
              <w:bottom w:val="single" w:color="000000" w:sz="6" w:space="0"/>
              <w:right w:val="single" w:color="000000" w:sz="6" w:space="0"/>
            </w:tcBorders>
            <w:noWrap w:val="0"/>
            <w:tcMar>
              <w:top w:w="150" w:type="dxa"/>
              <w:left w:w="150" w:type="dxa"/>
              <w:bottom w:w="150" w:type="dxa"/>
              <w:right w:w="150" w:type="dxa"/>
            </w:tcMar>
            <w:vAlign w:val="center"/>
          </w:tcPr>
          <w:p w14:paraId="41E68635">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业绩</w:t>
            </w:r>
          </w:p>
        </w:tc>
        <w:tc>
          <w:tcPr>
            <w:tcW w:w="4022" w:type="pct"/>
            <w:tcBorders>
              <w:top w:val="single" w:color="000000" w:sz="6" w:space="0"/>
              <w:left w:val="single" w:color="000000" w:sz="6" w:space="0"/>
              <w:bottom w:val="single" w:color="000000" w:sz="6" w:space="0"/>
              <w:right w:val="single" w:color="000000" w:sz="6" w:space="0"/>
            </w:tcBorders>
            <w:noWrap w:val="0"/>
            <w:tcMar>
              <w:top w:w="150" w:type="dxa"/>
              <w:left w:w="150" w:type="dxa"/>
              <w:bottom w:w="150" w:type="dxa"/>
              <w:right w:w="150" w:type="dxa"/>
            </w:tcMar>
            <w:vAlign w:val="center"/>
          </w:tcPr>
          <w:p w14:paraId="076A8832">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投标人提供近三年内（指2023年1月1日至投标截止日）类似项目业绩</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如场地硬化、围栏安装、运动场施工、地坪工程等</w:t>
            </w:r>
            <w:r>
              <w:rPr>
                <w:rFonts w:hint="eastAsia" w:ascii="宋体" w:hAnsi="宋体" w:eastAsia="宋体" w:cs="宋体"/>
                <w:color w:val="000000" w:themeColor="text1"/>
                <w:sz w:val="24"/>
                <w:szCs w:val="24"/>
                <w:lang w:eastAsia="zh-CN"/>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，每提供一个得</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ascii="宋体" w:hAnsi="宋体" w:eastAsia="宋体" w:cs="宋体"/>
                <w:color w:val="000000" w:themeColor="text1"/>
                <w:sz w:val="24"/>
                <w:szCs w:val="24"/>
                <w14:textFill>
                  <w14:solidFill>
                    <w14:schemeClr w14:val="tx1"/>
                  </w14:solidFill>
                </w14:textFill>
              </w:rPr>
              <w:t>分，满分</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ascii="宋体" w:hAnsi="宋体" w:eastAsia="宋体" w:cs="宋体"/>
                <w:color w:val="000000" w:themeColor="text1"/>
                <w:sz w:val="24"/>
                <w:szCs w:val="24"/>
                <w14:textFill>
                  <w14:solidFill>
                    <w14:schemeClr w14:val="tx1"/>
                  </w14:solidFill>
                </w14:textFill>
              </w:rPr>
              <w:t>分。注：需提供签订合同或中标通知书相关证明材料复印件并加盖公章进行佐证，不提供不得分。（满分</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ascii="宋体" w:hAnsi="宋体" w:eastAsia="宋体" w:cs="宋体"/>
                <w:color w:val="000000" w:themeColor="text1"/>
                <w:sz w:val="24"/>
                <w:szCs w:val="24"/>
                <w14:textFill>
                  <w14:solidFill>
                    <w14:schemeClr w14:val="tx1"/>
                  </w14:solidFill>
                </w14:textFill>
              </w:rPr>
              <w:t>分）</w:t>
            </w:r>
          </w:p>
        </w:tc>
      </w:tr>
      <w:tr w14:paraId="1D39CF88">
        <w:tblPrEx>
          <w:tblCellMar>
            <w:top w:w="0" w:type="dxa"/>
            <w:left w:w="0" w:type="dxa"/>
            <w:bottom w:w="0" w:type="dxa"/>
            <w:right w:w="0" w:type="dxa"/>
          </w:tblCellMar>
        </w:tblPrEx>
        <w:trPr>
          <w:trHeight w:val="531" w:hRule="atLeast"/>
        </w:trPr>
        <w:tc>
          <w:tcPr>
            <w:tcW w:w="539" w:type="pct"/>
            <w:vMerge w:val="continue"/>
            <w:tcBorders>
              <w:left w:val="single" w:color="000000" w:sz="6" w:space="0"/>
              <w:right w:val="single" w:color="000000" w:sz="6" w:space="0"/>
            </w:tcBorders>
            <w:noWrap w:val="0"/>
            <w:tcMar>
              <w:top w:w="150" w:type="dxa"/>
              <w:left w:w="150" w:type="dxa"/>
              <w:bottom w:w="150" w:type="dxa"/>
              <w:right w:w="150" w:type="dxa"/>
            </w:tcMar>
            <w:vAlign w:val="center"/>
          </w:tcPr>
          <w:p w14:paraId="4CE7916D">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color w:val="000000" w:themeColor="text1"/>
                <w:sz w:val="24"/>
                <w:szCs w:val="24"/>
                <w14:textFill>
                  <w14:solidFill>
                    <w14:schemeClr w14:val="tx1"/>
                  </w14:solidFill>
                </w14:textFill>
              </w:rPr>
            </w:pPr>
          </w:p>
        </w:tc>
        <w:tc>
          <w:tcPr>
            <w:tcW w:w="437" w:type="pct"/>
            <w:tcBorders>
              <w:top w:val="single" w:color="000000" w:sz="6" w:space="0"/>
              <w:left w:val="single" w:color="000000" w:sz="6" w:space="0"/>
              <w:bottom w:val="single" w:color="000000" w:sz="6" w:space="0"/>
              <w:right w:val="single" w:color="000000" w:sz="6" w:space="0"/>
            </w:tcBorders>
            <w:noWrap w:val="0"/>
            <w:tcMar>
              <w:top w:w="150" w:type="dxa"/>
              <w:left w:w="150" w:type="dxa"/>
              <w:bottom w:w="150" w:type="dxa"/>
              <w:right w:w="150" w:type="dxa"/>
            </w:tcMar>
            <w:vAlign w:val="center"/>
          </w:tcPr>
          <w:p w14:paraId="344ABD23">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投入项目人员配备</w:t>
            </w:r>
          </w:p>
        </w:tc>
        <w:tc>
          <w:tcPr>
            <w:tcW w:w="4022" w:type="pct"/>
            <w:tcBorders>
              <w:top w:val="single" w:color="000000" w:sz="6" w:space="0"/>
              <w:left w:val="single" w:color="000000" w:sz="6" w:space="0"/>
              <w:bottom w:val="single" w:color="000000" w:sz="6" w:space="0"/>
              <w:right w:val="single" w:color="000000" w:sz="6" w:space="0"/>
            </w:tcBorders>
            <w:noWrap w:val="0"/>
            <w:tcMar>
              <w:top w:w="150" w:type="dxa"/>
              <w:left w:w="150" w:type="dxa"/>
              <w:bottom w:w="150" w:type="dxa"/>
              <w:right w:w="150" w:type="dxa"/>
            </w:tcMar>
            <w:vAlign w:val="center"/>
          </w:tcPr>
          <w:p w14:paraId="59C2F032">
            <w:pPr>
              <w:keepNext w:val="0"/>
              <w:keepLines w:val="0"/>
              <w:pageBreakBefore w:val="0"/>
              <w:widowControl w:val="0"/>
              <w:numPr>
                <w:ilvl w:val="0"/>
                <w:numId w:val="1"/>
              </w:numPr>
              <w:kinsoku/>
              <w:wordWrap/>
              <w:overflowPunct/>
              <w:topLinePunct w:val="0"/>
              <w:autoSpaceDE/>
              <w:autoSpaceDN/>
              <w:bidi w:val="0"/>
              <w:adjustRightInd/>
              <w:snapToGrid/>
              <w:spacing w:line="0" w:lineRule="atLeast"/>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配备项目负责人</w:t>
            </w:r>
            <w:r>
              <w:rPr>
                <w:rFonts w:hint="eastAsia" w:ascii="宋体" w:hAnsi="宋体" w:eastAsia="宋体" w:cs="宋体"/>
                <w:color w:val="000000" w:themeColor="text1"/>
                <w:sz w:val="24"/>
                <w:szCs w:val="24"/>
                <w:lang w:val="en-US" w:eastAsia="zh-CN"/>
                <w14:textFill>
                  <w14:solidFill>
                    <w14:schemeClr w14:val="tx1"/>
                  </w14:solidFill>
                </w14:textFill>
              </w:rPr>
              <w:t>1名，得2分；</w:t>
            </w:r>
            <w:r>
              <w:rPr>
                <w:rFonts w:ascii="宋体" w:hAnsi="宋体" w:eastAsia="宋体" w:cs="宋体"/>
                <w:color w:val="000000" w:themeColor="text1"/>
                <w:sz w:val="24"/>
                <w:szCs w:val="24"/>
                <w14:textFill>
                  <w14:solidFill>
                    <w14:schemeClr w14:val="tx1"/>
                  </w14:solidFill>
                </w14:textFill>
              </w:rPr>
              <w:t>（满分</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ascii="宋体" w:hAnsi="宋体" w:eastAsia="宋体" w:cs="宋体"/>
                <w:color w:val="000000" w:themeColor="text1"/>
                <w:sz w:val="24"/>
                <w:szCs w:val="24"/>
                <w14:textFill>
                  <w14:solidFill>
                    <w14:schemeClr w14:val="tx1"/>
                  </w14:solidFill>
                </w14:textFill>
              </w:rPr>
              <w:t>分）</w:t>
            </w:r>
          </w:p>
          <w:p w14:paraId="780F99F5">
            <w:pPr>
              <w:keepNext w:val="0"/>
              <w:keepLines w:val="0"/>
              <w:pageBreakBefore w:val="0"/>
              <w:widowControl w:val="0"/>
              <w:numPr>
                <w:ilvl w:val="0"/>
                <w:numId w:val="1"/>
              </w:numPr>
              <w:kinsoku/>
              <w:wordWrap/>
              <w:overflowPunct/>
              <w:topLinePunct w:val="0"/>
              <w:autoSpaceDE/>
              <w:autoSpaceDN/>
              <w:bidi w:val="0"/>
              <w:adjustRightInd/>
              <w:snapToGrid/>
              <w:spacing w:line="0" w:lineRule="atLeast"/>
              <w:jc w:val="left"/>
              <w:textAlignment w:val="auto"/>
              <w:rPr>
                <w:rFonts w:hint="eastAsia"/>
                <w:color w:val="000000" w:themeColor="text1"/>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项目负责人</w:t>
            </w:r>
            <w:r>
              <w:rPr>
                <w:rFonts w:hint="eastAsia" w:ascii="宋体" w:hAnsi="宋体" w:eastAsia="宋体" w:cs="宋体"/>
                <w:color w:val="000000" w:themeColor="text1"/>
                <w:sz w:val="24"/>
                <w:szCs w:val="24"/>
                <w:lang w:val="en-US" w:eastAsia="zh-CN"/>
                <w14:textFill>
                  <w14:solidFill>
                    <w14:schemeClr w14:val="tx1"/>
                  </w14:solidFill>
                </w14:textFill>
              </w:rPr>
              <w:t>具备建筑工程相关专业初级职称，加1分，具备中级及以上职称或二级及以上注册建造师资格，</w:t>
            </w:r>
            <w:r>
              <w:rPr>
                <w:rFonts w:hint="eastAsia" w:ascii="宋体" w:hAnsi="宋体" w:eastAsia="宋体" w:cs="宋体"/>
                <w:color w:val="000000" w:themeColor="text1"/>
                <w:sz w:val="24"/>
                <w:szCs w:val="24"/>
                <w14:textFill>
                  <w14:solidFill>
                    <w14:schemeClr w14:val="tx1"/>
                  </w14:solidFill>
                </w14:textFill>
              </w:rPr>
              <w:t>得</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分</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（提供证书复印件加盖公章）；</w:t>
            </w:r>
            <w:r>
              <w:rPr>
                <w:rFonts w:ascii="宋体" w:hAnsi="宋体" w:eastAsia="宋体" w:cs="宋体"/>
                <w:color w:val="000000" w:themeColor="text1"/>
                <w:sz w:val="24"/>
                <w:szCs w:val="24"/>
                <w14:textFill>
                  <w14:solidFill>
                    <w14:schemeClr w14:val="tx1"/>
                  </w14:solidFill>
                </w14:textFill>
              </w:rPr>
              <w:t>（满分</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ascii="宋体" w:hAnsi="宋体" w:eastAsia="宋体" w:cs="宋体"/>
                <w:color w:val="000000" w:themeColor="text1"/>
                <w:sz w:val="24"/>
                <w:szCs w:val="24"/>
                <w14:textFill>
                  <w14:solidFill>
                    <w14:schemeClr w14:val="tx1"/>
                  </w14:solidFill>
                </w14:textFill>
              </w:rPr>
              <w:t>分）</w:t>
            </w:r>
          </w:p>
          <w:p w14:paraId="562A8FAA">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配备安全员1名（持有安全生产考核合格证C类或安全培训合格证）得2分</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（提供证书复印件加盖公章）；（</w:t>
            </w:r>
            <w:r>
              <w:rPr>
                <w:rFonts w:ascii="宋体" w:hAnsi="宋体" w:eastAsia="宋体" w:cs="宋体"/>
                <w:color w:val="000000" w:themeColor="text1"/>
                <w:sz w:val="24"/>
                <w:szCs w:val="24"/>
                <w14:textFill>
                  <w14:solidFill>
                    <w14:schemeClr w14:val="tx1"/>
                  </w14:solidFill>
                </w14:textFill>
              </w:rPr>
              <w:t>满分</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ascii="宋体" w:hAnsi="宋体" w:eastAsia="宋体" w:cs="宋体"/>
                <w:color w:val="000000" w:themeColor="text1"/>
                <w:sz w:val="24"/>
                <w:szCs w:val="24"/>
                <w14:textFill>
                  <w14:solidFill>
                    <w14:schemeClr w14:val="tx1"/>
                  </w14:solidFill>
                </w14:textFill>
              </w:rPr>
              <w:t>分）</w:t>
            </w:r>
          </w:p>
          <w:p w14:paraId="5757D7FA">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提供上述人员近3个月任意1个月社保缴纳凭证或聘用合同复印件得</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分。</w:t>
            </w:r>
            <w:r>
              <w:rPr>
                <w:rFonts w:hint="eastAsia" w:ascii="宋体" w:hAnsi="宋体" w:eastAsia="宋体" w:cs="宋体"/>
                <w:color w:val="000000" w:themeColor="text1"/>
                <w:sz w:val="24"/>
                <w:szCs w:val="24"/>
                <w:lang w:eastAsia="zh-CN"/>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满分</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ascii="宋体" w:hAnsi="宋体" w:eastAsia="宋体" w:cs="宋体"/>
                <w:color w:val="000000" w:themeColor="text1"/>
                <w:sz w:val="24"/>
                <w:szCs w:val="24"/>
                <w14:textFill>
                  <w14:solidFill>
                    <w14:schemeClr w14:val="tx1"/>
                  </w14:solidFill>
                </w14:textFill>
              </w:rPr>
              <w:t>分）</w:t>
            </w:r>
          </w:p>
          <w:p w14:paraId="5C5692DD">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注：项目负责人与安全员可由同一人兼任，但需同时满足各自的条件方可得分。同一人员满足多项条件的，可累计得分，满分9分</w:t>
            </w:r>
            <w:r>
              <w:rPr>
                <w:rFonts w:hint="eastAsia" w:ascii="宋体" w:hAnsi="宋体" w:eastAsia="宋体" w:cs="宋体"/>
                <w:color w:val="000000" w:themeColor="text1"/>
                <w:sz w:val="24"/>
                <w:szCs w:val="24"/>
                <w:lang w:val="en-US" w:eastAsia="zh-CN"/>
                <w14:textFill>
                  <w14:solidFill>
                    <w14:schemeClr w14:val="tx1"/>
                  </w14:solidFill>
                </w14:textFill>
              </w:rPr>
              <w:t>。</w:t>
            </w:r>
          </w:p>
        </w:tc>
      </w:tr>
      <w:tr w14:paraId="04BF87F3">
        <w:tblPrEx>
          <w:tblCellMar>
            <w:top w:w="0" w:type="dxa"/>
            <w:left w:w="0" w:type="dxa"/>
            <w:bottom w:w="0" w:type="dxa"/>
            <w:right w:w="0" w:type="dxa"/>
          </w:tblCellMar>
        </w:tblPrEx>
        <w:trPr>
          <w:trHeight w:val="531" w:hRule="atLeast"/>
        </w:trPr>
        <w:tc>
          <w:tcPr>
            <w:tcW w:w="539" w:type="pct"/>
            <w:vMerge w:val="continue"/>
            <w:tcBorders>
              <w:left w:val="single" w:color="000000" w:sz="6" w:space="0"/>
              <w:right w:val="single" w:color="000000" w:sz="6" w:space="0"/>
            </w:tcBorders>
            <w:noWrap w:val="0"/>
            <w:tcMar>
              <w:top w:w="150" w:type="dxa"/>
              <w:left w:w="150" w:type="dxa"/>
              <w:bottom w:w="150" w:type="dxa"/>
              <w:right w:w="150" w:type="dxa"/>
            </w:tcMar>
            <w:vAlign w:val="center"/>
          </w:tcPr>
          <w:p w14:paraId="31CB0F31">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color w:val="000000" w:themeColor="text1"/>
                <w:sz w:val="24"/>
                <w:szCs w:val="24"/>
                <w14:textFill>
                  <w14:solidFill>
                    <w14:schemeClr w14:val="tx1"/>
                  </w14:solidFill>
                </w14:textFill>
              </w:rPr>
            </w:pPr>
          </w:p>
        </w:tc>
        <w:tc>
          <w:tcPr>
            <w:tcW w:w="437" w:type="pct"/>
            <w:tcBorders>
              <w:top w:val="single" w:color="000000" w:sz="6" w:space="0"/>
              <w:left w:val="single" w:color="000000" w:sz="6" w:space="0"/>
              <w:bottom w:val="single" w:color="000000" w:sz="6" w:space="0"/>
              <w:right w:val="single" w:color="000000" w:sz="6" w:space="0"/>
            </w:tcBorders>
            <w:noWrap w:val="0"/>
            <w:tcMar>
              <w:top w:w="150" w:type="dxa"/>
              <w:left w:w="150" w:type="dxa"/>
              <w:bottom w:w="150" w:type="dxa"/>
              <w:right w:w="150" w:type="dxa"/>
            </w:tcMar>
            <w:vAlign w:val="center"/>
          </w:tcPr>
          <w:p w14:paraId="60C8A7CA">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维修服务保障</w:t>
            </w:r>
          </w:p>
        </w:tc>
        <w:tc>
          <w:tcPr>
            <w:tcW w:w="4022" w:type="pct"/>
            <w:tcBorders>
              <w:top w:val="single" w:color="000000" w:sz="6" w:space="0"/>
              <w:left w:val="single" w:color="000000" w:sz="6" w:space="0"/>
              <w:bottom w:val="single" w:color="000000" w:sz="6" w:space="0"/>
              <w:right w:val="single" w:color="000000" w:sz="6" w:space="0"/>
            </w:tcBorders>
            <w:noWrap w:val="0"/>
            <w:tcMar>
              <w:top w:w="150" w:type="dxa"/>
              <w:left w:w="150" w:type="dxa"/>
              <w:bottom w:w="150" w:type="dxa"/>
              <w:right w:w="150" w:type="dxa"/>
            </w:tcMar>
            <w:vAlign w:val="center"/>
          </w:tcPr>
          <w:p w14:paraId="098BD41B">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响应时间承诺：投标人承诺在接到采购人通知后2小时内到达现场进行服务得3分；4小时以内的得2分；4小时以上的得1分。不提供承诺（承诺函格式自拟）的不得分。（</w:t>
            </w:r>
            <w:r>
              <w:rPr>
                <w:rFonts w:hint="eastAsia" w:ascii="宋体" w:hAnsi="宋体" w:eastAsia="宋体" w:cs="宋体"/>
                <w:color w:val="000000" w:themeColor="text1"/>
                <w:sz w:val="24"/>
                <w:szCs w:val="24"/>
                <w:lang w:val="en-US" w:eastAsia="zh-CN"/>
                <w14:textFill>
                  <w14:solidFill>
                    <w14:schemeClr w14:val="tx1"/>
                  </w14:solidFill>
                </w14:textFill>
              </w:rPr>
              <w:t>满分3分</w:t>
            </w:r>
            <w:r>
              <w:rPr>
                <w:rFonts w:ascii="宋体" w:hAnsi="宋体" w:eastAsia="宋体" w:cs="宋体"/>
                <w:color w:val="000000" w:themeColor="text1"/>
                <w:sz w:val="24"/>
                <w:szCs w:val="24"/>
                <w14:textFill>
                  <w14:solidFill>
                    <w14:schemeClr w14:val="tx1"/>
                  </w14:solidFill>
                </w14:textFill>
              </w:rPr>
              <w:t>）</w:t>
            </w:r>
          </w:p>
        </w:tc>
      </w:tr>
      <w:tr w14:paraId="65509707">
        <w:tblPrEx>
          <w:tblCellMar>
            <w:top w:w="0" w:type="dxa"/>
            <w:left w:w="0" w:type="dxa"/>
            <w:bottom w:w="0" w:type="dxa"/>
            <w:right w:w="0" w:type="dxa"/>
          </w:tblCellMar>
        </w:tblPrEx>
        <w:trPr>
          <w:trHeight w:val="539" w:hRule="atLeast"/>
        </w:trPr>
        <w:tc>
          <w:tcPr>
            <w:tcW w:w="539" w:type="pct"/>
            <w:vMerge w:val="continue"/>
            <w:tcBorders>
              <w:left w:val="single" w:color="000000" w:sz="6" w:space="0"/>
              <w:right w:val="single" w:color="000000" w:sz="6" w:space="0"/>
            </w:tcBorders>
            <w:noWrap w:val="0"/>
            <w:tcMar>
              <w:top w:w="150" w:type="dxa"/>
              <w:left w:w="150" w:type="dxa"/>
              <w:bottom w:w="150" w:type="dxa"/>
              <w:right w:w="150" w:type="dxa"/>
            </w:tcMar>
            <w:vAlign w:val="center"/>
          </w:tcPr>
          <w:p w14:paraId="69B0DE1E">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color w:val="000000" w:themeColor="text1"/>
                <w:sz w:val="24"/>
                <w:szCs w:val="24"/>
                <w14:textFill>
                  <w14:solidFill>
                    <w14:schemeClr w14:val="tx1"/>
                  </w14:solidFill>
                </w14:textFill>
              </w:rPr>
            </w:pPr>
          </w:p>
        </w:tc>
        <w:tc>
          <w:tcPr>
            <w:tcW w:w="437" w:type="pct"/>
            <w:tcBorders>
              <w:top w:val="single" w:color="000000" w:sz="6" w:space="0"/>
              <w:left w:val="single" w:color="000000" w:sz="6" w:space="0"/>
              <w:bottom w:val="single" w:color="000000" w:sz="6" w:space="0"/>
              <w:right w:val="single" w:color="000000" w:sz="6" w:space="0"/>
            </w:tcBorders>
            <w:noWrap w:val="0"/>
            <w:tcMar>
              <w:top w:w="150" w:type="dxa"/>
              <w:left w:w="150" w:type="dxa"/>
              <w:bottom w:w="150" w:type="dxa"/>
              <w:right w:w="150" w:type="dxa"/>
            </w:tcMar>
            <w:vAlign w:val="center"/>
          </w:tcPr>
          <w:p w14:paraId="158D1F5E">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售后服务及质保承诺</w:t>
            </w:r>
          </w:p>
        </w:tc>
        <w:tc>
          <w:tcPr>
            <w:tcW w:w="4022" w:type="pct"/>
            <w:tcBorders>
              <w:top w:val="single" w:color="000000" w:sz="6" w:space="0"/>
              <w:left w:val="single" w:color="000000" w:sz="6" w:space="0"/>
              <w:bottom w:val="single" w:color="000000" w:sz="6" w:space="0"/>
              <w:right w:val="single" w:color="000000" w:sz="6" w:space="0"/>
            </w:tcBorders>
            <w:noWrap w:val="0"/>
            <w:tcMar>
              <w:top w:w="150" w:type="dxa"/>
              <w:left w:w="150" w:type="dxa"/>
              <w:bottom w:w="150" w:type="dxa"/>
              <w:right w:w="150" w:type="dxa"/>
            </w:tcMar>
            <w:vAlign w:val="center"/>
          </w:tcPr>
          <w:p w14:paraId="455EC1A2">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承诺场地硬化及围栏质保期不少于1年的得2分；</w:t>
            </w:r>
            <w:r>
              <w:rPr>
                <w:rFonts w:hint="eastAsia" w:ascii="宋体" w:hAnsi="宋体" w:eastAsia="宋体" w:cs="宋体"/>
                <w:color w:val="000000" w:themeColor="text1"/>
                <w:sz w:val="24"/>
                <w:szCs w:val="24"/>
                <w:lang w:val="en-US" w:eastAsia="zh-CN"/>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满分</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ascii="宋体" w:hAnsi="宋体" w:eastAsia="宋体" w:cs="宋体"/>
                <w:color w:val="000000" w:themeColor="text1"/>
                <w:sz w:val="24"/>
                <w:szCs w:val="24"/>
                <w14:textFill>
                  <w14:solidFill>
                    <w14:schemeClr w14:val="tx1"/>
                  </w14:solidFill>
                </w14:textFill>
              </w:rPr>
              <w:t>分）</w:t>
            </w:r>
          </w:p>
          <w:p w14:paraId="36EDE523">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提供详细售后响应流程（如故障报修方式、处理时限等）得</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分；</w:t>
            </w:r>
            <w:r>
              <w:rPr>
                <w:rFonts w:hint="eastAsia" w:ascii="宋体" w:hAnsi="宋体" w:eastAsia="宋体" w:cs="宋体"/>
                <w:color w:val="000000" w:themeColor="text1"/>
                <w:sz w:val="24"/>
                <w:szCs w:val="24"/>
                <w:lang w:val="en-US" w:eastAsia="zh-CN"/>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满分</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ascii="宋体" w:hAnsi="宋体" w:eastAsia="宋体" w:cs="宋体"/>
                <w:color w:val="000000" w:themeColor="text1"/>
                <w:sz w:val="24"/>
                <w:szCs w:val="24"/>
                <w14:textFill>
                  <w14:solidFill>
                    <w14:schemeClr w14:val="tx1"/>
                  </w14:solidFill>
                </w14:textFill>
              </w:rPr>
              <w:t>分）</w:t>
            </w:r>
          </w:p>
          <w:p w14:paraId="6D8BADB7">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承诺完工后提供一次免费场地维护指导或巡检的得2分。</w:t>
            </w:r>
            <w:r>
              <w:rPr>
                <w:rFonts w:hint="eastAsia" w:ascii="宋体" w:hAnsi="宋体" w:eastAsia="宋体" w:cs="宋体"/>
                <w:color w:val="000000" w:themeColor="text1"/>
                <w:sz w:val="24"/>
                <w:szCs w:val="24"/>
                <w:lang w:val="en-US" w:eastAsia="zh-CN"/>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满分</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ascii="宋体" w:hAnsi="宋体" w:eastAsia="宋体" w:cs="宋体"/>
                <w:color w:val="000000" w:themeColor="text1"/>
                <w:sz w:val="24"/>
                <w:szCs w:val="24"/>
                <w14:textFill>
                  <w14:solidFill>
                    <w14:schemeClr w14:val="tx1"/>
                  </w14:solidFill>
                </w14:textFill>
              </w:rPr>
              <w:t>分）</w:t>
            </w:r>
          </w:p>
        </w:tc>
      </w:tr>
    </w:tbl>
    <w:p w14:paraId="72F3E8E1">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注：</w:t>
      </w:r>
    </w:p>
    <w:p w14:paraId="35A9150B">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w:t>
      </w:r>
      <w:r>
        <w:rPr>
          <w:rFonts w:hint="eastAsia" w:ascii="宋体" w:hAnsi="宋体" w:eastAsia="宋体" w:cs="宋体"/>
          <w:sz w:val="24"/>
          <w:szCs w:val="24"/>
          <w:lang w:val="en-US" w:eastAsia="zh-CN"/>
        </w:rPr>
        <w:t>评标基准价指满足采购需求要求的所有供应商有效投标价格的最低报价；有效投标报价指满足采购需求要求的各投标供应商的投标报价；</w:t>
      </w:r>
    </w:p>
    <w:p w14:paraId="74C6CB41">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w:t>
      </w:r>
      <w:r>
        <w:rPr>
          <w:rFonts w:hint="eastAsia" w:ascii="宋体" w:hAnsi="宋体" w:eastAsia="宋体" w:cs="宋体"/>
          <w:sz w:val="24"/>
          <w:szCs w:val="24"/>
          <w:lang w:val="en-US" w:eastAsia="zh-CN"/>
        </w:rPr>
        <w:t>因落实政府采购政策进行价格调整的，以调整后的价格计算评标基准价和磋商报价；报价金额大写与小写不一致的，以大写为准，按单价计算金额与总报价不一致的，以按单价计算金额为准。</w:t>
      </w:r>
    </w:p>
    <w:p w14:paraId="5F69D570">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仿宋_GB2312" w:hAnsi="仿宋_GB2312" w:eastAsia="仿宋_GB2312" w:cs="仿宋_GB2312"/>
          <w:sz w:val="32"/>
          <w:szCs w:val="32"/>
          <w:lang w:val="en-US" w:eastAsia="zh-CN"/>
        </w:rPr>
      </w:pPr>
      <w:r>
        <w:rPr>
          <w:rFonts w:hint="default" w:ascii="宋体" w:hAnsi="宋体" w:eastAsia="宋体" w:cs="宋体"/>
          <w:sz w:val="24"/>
          <w:szCs w:val="24"/>
          <w:lang w:val="en-US" w:eastAsia="zh-CN"/>
        </w:rPr>
        <w:t>(3)</w:t>
      </w:r>
      <w:r>
        <w:rPr>
          <w:rFonts w:hint="eastAsia" w:ascii="宋体" w:hAnsi="宋体" w:eastAsia="宋体" w:cs="宋体"/>
          <w:sz w:val="24"/>
          <w:szCs w:val="24"/>
          <w:lang w:val="en-US" w:eastAsia="zh-CN"/>
        </w:rPr>
        <w:t>根据财政部第87号令第六十条规定：评审小组认为供应商的报价明显低于其他通过符合性审查供应商的报价，供应商不能证明其报价合理性的，评标委员会将其作为无效投标处理。</w:t>
      </w:r>
    </w:p>
    <w:p w14:paraId="6B6BDEAC">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仿宋_GB2312" w:hAnsi="仿宋_GB2312" w:eastAsia="仿宋_GB2312" w:cs="仿宋_GB2312"/>
          <w:sz w:val="32"/>
          <w:szCs w:val="32"/>
          <w:lang w:val="en-US" w:eastAsia="zh-CN"/>
        </w:rPr>
      </w:pPr>
    </w:p>
    <w:sectPr>
      <w:footerReference r:id="rId5" w:type="default"/>
      <w:pgSz w:w="11840" w:h="16740"/>
      <w:pgMar w:top="470" w:right="867" w:bottom="714" w:left="1134" w:header="0" w:footer="481"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A0A4F">
    <w:pPr>
      <w:pStyle w:val="3"/>
      <w:spacing w:line="229" w:lineRule="auto"/>
      <w:ind w:left="4744"/>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080EB5">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3080EB5">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AFBC6E"/>
    <w:multiLevelType w:val="singleLevel"/>
    <w:tmpl w:val="21AFBC6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1347A59"/>
    <w:rsid w:val="016E0260"/>
    <w:rsid w:val="04B50EB1"/>
    <w:rsid w:val="04C133B2"/>
    <w:rsid w:val="064F7C9C"/>
    <w:rsid w:val="06633FE0"/>
    <w:rsid w:val="0749768F"/>
    <w:rsid w:val="0938419C"/>
    <w:rsid w:val="099368AF"/>
    <w:rsid w:val="0A1C72DC"/>
    <w:rsid w:val="0B1D155E"/>
    <w:rsid w:val="0F0767AD"/>
    <w:rsid w:val="1424789A"/>
    <w:rsid w:val="148D1662"/>
    <w:rsid w:val="14E31122"/>
    <w:rsid w:val="15D849FF"/>
    <w:rsid w:val="16525EED"/>
    <w:rsid w:val="1A073B05"/>
    <w:rsid w:val="1E676920"/>
    <w:rsid w:val="21CE6CB6"/>
    <w:rsid w:val="25E35426"/>
    <w:rsid w:val="27063B58"/>
    <w:rsid w:val="282B082A"/>
    <w:rsid w:val="2BAE6875"/>
    <w:rsid w:val="2BE9306B"/>
    <w:rsid w:val="2CB23A19"/>
    <w:rsid w:val="2D142369"/>
    <w:rsid w:val="2D263E4A"/>
    <w:rsid w:val="2E903C71"/>
    <w:rsid w:val="30EF4A63"/>
    <w:rsid w:val="349B511E"/>
    <w:rsid w:val="34AC732B"/>
    <w:rsid w:val="39987E7E"/>
    <w:rsid w:val="3D063709"/>
    <w:rsid w:val="3E2952AE"/>
    <w:rsid w:val="40D7128C"/>
    <w:rsid w:val="42164E9D"/>
    <w:rsid w:val="4387343D"/>
    <w:rsid w:val="45E76415"/>
    <w:rsid w:val="46607F75"/>
    <w:rsid w:val="4880581D"/>
    <w:rsid w:val="4C9D7F05"/>
    <w:rsid w:val="4D4F48CE"/>
    <w:rsid w:val="4E1F24C4"/>
    <w:rsid w:val="4E870795"/>
    <w:rsid w:val="4F532425"/>
    <w:rsid w:val="4F905428"/>
    <w:rsid w:val="5099655E"/>
    <w:rsid w:val="5139389D"/>
    <w:rsid w:val="518165E6"/>
    <w:rsid w:val="51D11D27"/>
    <w:rsid w:val="51DF2696"/>
    <w:rsid w:val="529835CD"/>
    <w:rsid w:val="52B604C8"/>
    <w:rsid w:val="53BA6F17"/>
    <w:rsid w:val="56334CBB"/>
    <w:rsid w:val="573B211D"/>
    <w:rsid w:val="57F64296"/>
    <w:rsid w:val="581406F2"/>
    <w:rsid w:val="58DF11CE"/>
    <w:rsid w:val="58E5171C"/>
    <w:rsid w:val="5A706581"/>
    <w:rsid w:val="5BD0328B"/>
    <w:rsid w:val="5C7E0D69"/>
    <w:rsid w:val="5FDB26EF"/>
    <w:rsid w:val="6022031E"/>
    <w:rsid w:val="62491A06"/>
    <w:rsid w:val="646F1658"/>
    <w:rsid w:val="679A4C3E"/>
    <w:rsid w:val="685354AB"/>
    <w:rsid w:val="68662D72"/>
    <w:rsid w:val="6AC16985"/>
    <w:rsid w:val="6CAB51F1"/>
    <w:rsid w:val="71141CEF"/>
    <w:rsid w:val="72FF4856"/>
    <w:rsid w:val="74956EB9"/>
    <w:rsid w:val="759F5B15"/>
    <w:rsid w:val="77CF19CA"/>
    <w:rsid w:val="7B4B6523"/>
    <w:rsid w:val="7B6475E5"/>
    <w:rsid w:val="7C06069C"/>
    <w:rsid w:val="7F872A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szCs w:val="20"/>
    </w:rPr>
  </w:style>
  <w:style w:type="paragraph" w:styleId="3">
    <w:name w:val="Body Text"/>
    <w:basedOn w:val="1"/>
    <w:semiHidden/>
    <w:qFormat/>
    <w:uiPriority w:val="0"/>
    <w:rPr>
      <w:rFonts w:ascii="宋体" w:hAnsi="宋体" w:eastAsia="宋体" w:cs="宋体"/>
      <w:sz w:val="26"/>
      <w:szCs w:val="26"/>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3521</Words>
  <Characters>3789</Characters>
  <TotalTime>34</TotalTime>
  <ScaleCrop>false</ScaleCrop>
  <LinksUpToDate>false</LinksUpToDate>
  <CharactersWithSpaces>3865</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2026-05-20T09:38:00Z</dcterms:created>
  <dc:creator>lenovo</dc:creator>
  <cp:lastModifiedBy>尘埃</cp:lastModifiedBy>
  <cp:lastPrinted>2026-05-22T06:44:00Z</cp:lastPrinted>
  <dcterms:modified xsi:type="dcterms:W3CDTF">2026-05-25T02:46:13Z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2026-05-20T09:38:28Z</vt:filetime>
  </property>
  <property fmtid="{D5CDD505-2E9C-101B-9397-08002B2CF9AE}" pid="4" name="UsrData">
    <vt:lpwstr>1779241089274_116.29_de273b3493c2</vt:lpwstr>
  </property>
  <property fmtid="{D5CDD505-2E9C-101B-9397-08002B2CF9AE}" pid="5" name="KSOTemplateDocerSaveRecord">
    <vt:lpwstr>eyJoZGlkIjoiZTZhNmYwYzZkYmUzMzEwMDQ0NDgxNDQ2YjBiYzk5ODgiLCJ1c2VySWQiOiIzMDI1MjU5MzcifQ==</vt:lpwstr>
  </property>
  <property fmtid="{D5CDD505-2E9C-101B-9397-08002B2CF9AE}" pid="6" name="KSOProductBuildVer">
    <vt:lpwstr>2052-12.1.0.21541</vt:lpwstr>
  </property>
  <property fmtid="{D5CDD505-2E9C-101B-9397-08002B2CF9AE}" pid="7" name="ICV">
    <vt:lpwstr>9FF0D1D3E23E411D9ACADA2493EBB7A0_12</vt:lpwstr>
  </property>
</Properties>
</file>