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F2F25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5" w:after="0" w:line="240" w:lineRule="auto"/>
        <w:ind w:right="0"/>
        <w:jc w:val="center"/>
        <w:textAlignment w:val="baseline"/>
        <w:rPr>
          <w:rFonts w:ascii="黑体" w:hAnsi="黑体" w:eastAsia="黑体" w:cs="黑体"/>
          <w:spacing w:val="10"/>
          <w:sz w:val="44"/>
          <w:szCs w:val="44"/>
        </w:rPr>
      </w:pPr>
      <w:bookmarkStart w:id="0" w:name="_GoBack"/>
      <w:bookmarkEnd w:id="0"/>
      <w:r>
        <w:rPr>
          <w:rFonts w:ascii="黑体" w:hAnsi="黑体" w:eastAsia="黑体" w:cs="黑体"/>
          <w:b/>
          <w:bCs/>
          <w:spacing w:val="15"/>
          <w:sz w:val="44"/>
          <w:szCs w:val="44"/>
        </w:rPr>
        <w:t>《</w:t>
      </w:r>
      <w:r>
        <w:rPr>
          <w:rFonts w:hint="eastAsia" w:ascii="黑体" w:hAnsi="黑体" w:eastAsia="黑体" w:cs="黑体"/>
          <w:b/>
          <w:bCs/>
          <w:spacing w:val="15"/>
          <w:sz w:val="44"/>
          <w:szCs w:val="44"/>
          <w:lang w:val="en-US" w:eastAsia="zh-CN"/>
        </w:rPr>
        <w:t>人民健康馆社区服务与管理指南</w:t>
      </w:r>
      <w:r>
        <w:rPr>
          <w:rFonts w:ascii="黑体" w:hAnsi="黑体" w:eastAsia="黑体" w:cs="黑体"/>
          <w:b/>
          <w:bCs/>
          <w:spacing w:val="15"/>
          <w:sz w:val="44"/>
          <w:szCs w:val="44"/>
        </w:rPr>
        <w:t>》</w:t>
      </w:r>
      <w:r>
        <w:rPr>
          <w:rFonts w:ascii="黑体" w:hAnsi="黑体" w:eastAsia="黑体" w:cs="黑体"/>
          <w:spacing w:val="10"/>
          <w:sz w:val="44"/>
          <w:szCs w:val="44"/>
        </w:rPr>
        <w:t xml:space="preserve"> </w:t>
      </w:r>
    </w:p>
    <w:p w14:paraId="76AC113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5" w:after="0" w:line="240" w:lineRule="auto"/>
        <w:ind w:right="0"/>
        <w:jc w:val="center"/>
        <w:textAlignment w:val="baseline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b/>
          <w:bCs/>
          <w:spacing w:val="10"/>
          <w:sz w:val="44"/>
          <w:szCs w:val="44"/>
        </w:rPr>
        <w:t>团体标准编制说明</w:t>
      </w:r>
    </w:p>
    <w:p w14:paraId="5DC112DD">
      <w:pPr>
        <w:spacing w:before="133" w:after="0" w:line="360" w:lineRule="auto"/>
        <w:ind w:firstLineChars="200"/>
        <w:rPr>
          <w:rFonts w:ascii="黑体" w:hAnsi="黑体" w:eastAsia="黑体" w:cs="黑体"/>
          <w:spacing w:val="8"/>
          <w:sz w:val="31"/>
          <w:szCs w:val="31"/>
        </w:rPr>
      </w:pPr>
    </w:p>
    <w:p w14:paraId="5A10EE22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left="560" w:leftChars="0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标准编制背景及任务来源</w:t>
      </w:r>
    </w:p>
    <w:p w14:paraId="B39E7A41"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wordWrap/>
        <w:overflowPunct/>
        <w:topLinePunct w:val="0"/>
        <w:bidi w:val="0"/>
        <w:spacing w:after="0" w:line="360" w:lineRule="auto"/>
        <w:ind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标准编制背景</w:t>
      </w:r>
    </w:p>
    <w:p w14:paraId="74C35A7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</w:rPr>
      </w:pP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健康是促进人的全面发展的必然要求，是民族昌盛和国家富强的重要标志。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党的十八大以来，党中央、国务院高度重视人民健康，明确提出“把人民健康放在优先发展的战略位置”，全面推进健康中国建设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《“健康中国2030”规划纲要》强调，要坚持以基层为重点，推动医疗卫生工作重心下移、资源下沉，实现人人享有基本医疗卫生服务的目标。</w:t>
      </w:r>
    </w:p>
    <w:p w14:paraId="388D2DA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2023年，国家卫生健康委等多部门联合印发《关于推进家庭医生签约服务高质量发展的指导意见》，明确提出“拓展签约服务供给主体，支持社会力量参与基层健康服务”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《中医药发展战略规划纲要（2016—2030年）》进一步指出，要发挥中医药在治未病、重大疾病治疗和疾病康复中的重要作用，推动中医药进社区、进家庭、进养老机构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2025年，国家卫生健康委等五部门印发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eastAsia="zh-CN"/>
        </w:rPr>
        <w:t>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关于开展医养结合促进行动通知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eastAsia="zh-CN"/>
        </w:rPr>
        <w:t>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中明确指出“要发展居家和社区服务，加强老年人健康管理，提升家庭医生的签约质效，提供社区嵌入服务”等要求，为城乡社区65岁及以上老年人规范开展中医药健康管理服务，推动家庭医生签约服务，提供健康知识宣教、健康管理咨询、中医适宜技术体验、食养药膳指导，推进“互联网+医疗健康”“互联网+护理服务”，为有需求的老年人提供居家医疗服务。</w:t>
      </w:r>
    </w:p>
    <w:p w14:paraId="328F26F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在此背景下，人民健康馆作为社区嵌入式公益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性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中医健康服务平台，积极响应国家号召，以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促进健康中国健康细胞建设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为使命，以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中医健康服务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为核心功能，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尤其针对经济困难、半失能/失能失智老人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的健康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</w:rPr>
        <w:t>，探索一条“公益普惠、专业支撑、社会协同、可持续发展”的基层健康服务新路径。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B2D33"/>
          <w:spacing w:val="0"/>
          <w:sz w:val="28"/>
          <w:szCs w:val="28"/>
          <w:shd w:val="clear" w:fill="FFFFFF"/>
          <w:lang w:val="en-US" w:eastAsia="zh-CN"/>
        </w:rPr>
        <w:t>因此，特决定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制定《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人民健康馆社区服务与管理指南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》团体标准，以规范行业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高质量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发展。</w:t>
      </w:r>
    </w:p>
    <w:p w14:paraId="D4513F9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left="3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（二）任务来源</w:t>
      </w:r>
    </w:p>
    <w:p w14:paraId="5B7F5123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left="3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中国民族卫生协会是经国务院批准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，在国家民政部注册登记，国家卫生健康委员会直管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的国家一级非营利性社会团体，以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繁荣民族卫生、振兴民族医药、增进民族健康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为宗旨。</w:t>
      </w:r>
    </w:p>
    <w:p w14:paraId="602B9D80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left="3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为贯彻落实中医药传承创新发展、基层医疗卫生服务提质增效及医养结合相关政策，填补社区公益性中医健康服务场所标准化建设空白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，根据《中国民族卫生协会团体标准管理办法（试行）》的有关规定，202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年经中国民族卫生协会标准化工作委员会研究批准了团体标准《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人民健康馆社区服务与管理指南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》制定项目（项目编号：T/CACM ****-202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）的立项。该标准由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国民族卫生协会、中国社区发展协会、北京融和医学发展基金会、北京英平医疗技术研究所、民族大医院健康产业管理（北京）股份公司、中医科学院(北京)健康科技有限公司、明铭德（北京）中医药文化中心、融科（成都）互联网医院有限公司、中科职业技能培训学校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等多家单位共同起草完成。</w:t>
      </w:r>
    </w:p>
    <w:p w14:paraId="5D1BD6A1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7"/>
          <w:sz w:val="28"/>
          <w:szCs w:val="28"/>
        </w:rPr>
        <w:t>二、主要工作过程</w:t>
      </w:r>
    </w:p>
    <w:p w14:paraId="459B0B5C"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wordWrap/>
        <w:overflowPunct/>
        <w:topLinePunct w:val="0"/>
        <w:bidi w:val="0"/>
        <w:spacing w:after="0" w:line="360" w:lineRule="auto"/>
        <w:ind w:firstLineChars="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1"/>
          <w:sz w:val="28"/>
          <w:szCs w:val="28"/>
        </w:rPr>
        <w:t>预研（202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pacing w:val="1"/>
          <w:sz w:val="28"/>
          <w:szCs w:val="28"/>
        </w:rPr>
        <w:t>年</w:t>
      </w:r>
      <w:r>
        <w:rPr>
          <w:rFonts w:hint="eastAsia"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65"/>
          <w:sz w:val="28"/>
          <w:szCs w:val="28"/>
          <w:lang w:val="en-US"/>
        </w:rPr>
        <w:t>1</w:t>
      </w:r>
      <w:r>
        <w:rPr>
          <w:rFonts w:hint="eastAsia"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1"/>
          <w:sz w:val="28"/>
          <w:szCs w:val="28"/>
        </w:rPr>
        <w:t>月～20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pacing w:val="1"/>
          <w:sz w:val="28"/>
          <w:szCs w:val="28"/>
        </w:rPr>
        <w:t>年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pacing w:val="1"/>
          <w:sz w:val="28"/>
          <w:szCs w:val="28"/>
        </w:rPr>
        <w:t>月）</w:t>
      </w:r>
    </w:p>
    <w:p w14:paraId="586A3116">
      <w:pPr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接到编制任务后，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国民族卫生协会、中国社区发展协会、北京融和医学发展基金会、北京英平医疗技术研究所、民族大医院健康产业管理（北京）股份公司、中医科学院(北京)健康科技有限公司、明铭德（北京）中医药文化中心、融科（成都）互联网医院有限公司、中科职业技能培训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学校、金方膳府(北京)餐饮管理有限公司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/>
        </w:rPr>
        <w:t>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/>
        </w:rPr>
        <w:t>家单位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便成立了工作组，召开了第一次交流会，并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/>
        </w:rPr>
        <w:t>具体分析和讨论了整体研究规划和分步实施计划的思路，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梳理国家及地方基层健康服务、中医药进社区、医养结合、社区嵌入式服务设施等政策文件，调研多地社区健康服务站点、中医养生保健机构、养老服务中心运营现状，明确人民健康馆</w:t>
      </w:r>
      <w:r>
        <w:rPr>
          <w:rStyle w:val="6"/>
          <w:rFonts w:hint="eastAsia" w:ascii="宋体" w:hAnsi="宋体" w:eastAsia="宋体" w:cs="宋体"/>
          <w:b w:val="0"/>
          <w:bCs w:val="0"/>
          <w:color w:val="1F2329"/>
          <w:sz w:val="28"/>
          <w:szCs w:val="28"/>
        </w:rPr>
        <w:t>公益性、普惠性、中医特色、社区嵌入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的核心定位。</w:t>
      </w:r>
    </w:p>
    <w:p w14:paraId="20077C3E">
      <w:pPr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2486025" cy="1593850"/>
            <wp:effectExtent l="0" t="0" r="0" b="6350"/>
            <wp:docPr id="4" name="图片 4" descr="64cef82f03878f46d1b0d1a1727f6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cef82f03878f46d1b0d1a1727f6b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2682240" cy="1592580"/>
            <wp:effectExtent l="0" t="0" r="3810" b="7620"/>
            <wp:docPr id="7" name="图片 7" descr="a32de2e1168908094dc6968575644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2de2e1168908094dc6968575644d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3EE3">
      <w:pPr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2025年11月正式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/>
        </w:rPr>
        <w:t>成立标准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课题组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/>
        </w:rPr>
        <w:t>并启动编制工作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23232"/>
          <w:spacing w:val="0"/>
          <w:sz w:val="28"/>
          <w:szCs w:val="28"/>
          <w:shd w:val="clear" w:fill="FFFFFF"/>
        </w:rPr>
        <w:t>国家卫生健康委副主任、国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</w:rPr>
        <w:t>家疾控局局长王贺胜，中国民族卫生协会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  <w:lang w:val="en-US" w:eastAsia="zh-CN"/>
        </w:rPr>
        <w:t>党支部书记/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</w:rPr>
        <w:t>会长吴英萍、中国社区发展协会会长陈越良，中华医学会原党委书记、清华大学医管院教授饶克勤，中国民族卫生协会常务副会长颜晓文，北京融和医学发展基金会理事长赵艳华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</w:rPr>
        <w:t>中国民族卫生协会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  <w:lang w:val="en-US" w:eastAsia="zh-CN"/>
        </w:rPr>
        <w:t>数字医疗健康工作委员会副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</w:rPr>
        <w:t>主任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  <w:lang w:val="en-US" w:eastAsia="zh-CN"/>
        </w:rPr>
        <w:t>兼秘书长</w:t>
      </w:r>
      <w:r>
        <w:rPr>
          <w:rFonts w:hint="eastAsia" w:ascii="宋体" w:hAnsi="宋体" w:eastAsia="宋体" w:cs="宋体"/>
          <w:i w:val="0"/>
          <w:iCs w:val="0"/>
          <w:caps w:val="0"/>
          <w:color w:val="323232"/>
          <w:spacing w:val="0"/>
          <w:sz w:val="28"/>
          <w:szCs w:val="28"/>
          <w:shd w:val="clear" w:fill="FFFFFF"/>
        </w:rPr>
        <w:t>张育铭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等领导、专家共同参与了课题的启动与揭牌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712460" cy="3658235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A06C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</w:p>
    <w:p w14:paraId="1B3DC156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</w:p>
    <w:p w14:paraId="6EBAC7C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（二）编制（202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月～202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月）</w:t>
      </w:r>
    </w:p>
    <w:p w14:paraId="17C789B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8" w:firstLineChars="200"/>
        <w:textAlignment w:val="baseline"/>
        <w:rPr>
          <w:rFonts w:hint="eastAsia" w:ascii="宋体" w:hAnsi="宋体" w:eastAsia="宋体" w:cs="宋体"/>
          <w:spacing w:val="2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202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5年11月-2026年2月期间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，标准起草小组</w:t>
      </w:r>
      <w:r>
        <w:rPr>
          <w:rFonts w:hint="eastAsia" w:ascii="宋体" w:hAnsi="宋体" w:eastAsia="宋体" w:cs="宋体"/>
          <w:sz w:val="28"/>
          <w:szCs w:val="28"/>
        </w:rPr>
        <w:t>依据 GB/T 1.1—2020《标准化工作导则 第 1 部分：标准化文件的结构和起草规则》确定标准框架为：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确定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人民健康馆社区服务与管理指南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》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标准框架，包含范围、规范性引用文件、术语和定义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建设要求、组织管理、服务内容、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服务流程、运营保障、标准应用与标识管理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的组织实施等章节。</w:t>
      </w:r>
    </w:p>
    <w:p w14:paraId="533FD7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ascii="宋体" w:hAnsi="宋体" w:eastAsia="宋体" w:cs="宋体"/>
          <w:spacing w:val="2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2722880" cy="1676400"/>
            <wp:effectExtent l="0" t="0" r="1270" b="0"/>
            <wp:docPr id="5" name="图片 5" descr="fa349fce46e984cf23d4738b66d83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349fce46e984cf23d4738b66d833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2435860" cy="1676400"/>
            <wp:effectExtent l="0" t="0" r="2540" b="0"/>
            <wp:docPr id="6" name="图片 6" descr="aa9ffdf32c46e4e1ce4dbe780512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9ffdf32c46e4e1ce4dbe780512c8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D92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103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随后，起草小组多次组织内部讨论，并与中国民族卫生协会标委会专家就标准内容的科学性进行探讨，根据专家意见对标准内容进行调整完善，进一步明确了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标准的名称和条款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/>
        </w:rPr>
        <w:t>等关键内容。</w:t>
      </w:r>
    </w:p>
    <w:p w14:paraId="1BB7B418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（三）研讨（202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/>
        </w:rPr>
        <w:t>5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年</w:t>
      </w:r>
      <w:r>
        <w:rPr>
          <w:rFonts w:hint="eastAsia"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45"/>
          <w:sz w:val="28"/>
          <w:szCs w:val="28"/>
          <w:lang w:val="en-US" w:eastAsia="zh-CN"/>
        </w:rPr>
        <w:t xml:space="preserve">3 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月）</w:t>
      </w:r>
    </w:p>
    <w:p w14:paraId="5905A351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在完成标准修订稿的基础上，起草小组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又</w:t>
      </w:r>
      <w:r>
        <w:rPr>
          <w:rFonts w:hint="eastAsia" w:ascii="宋体" w:hAnsi="宋体" w:eastAsia="宋体" w:cs="宋体"/>
          <w:sz w:val="28"/>
          <w:szCs w:val="28"/>
        </w:rPr>
        <w:t>组织中医药、基层卫生、健康管理、养老服务、标准化等领域专家开展多轮论证，重点完善场所建设、功能分区、人员资质、中医适宜技术、感染防控、应急处置、隐私保护、转诊协同等关键条款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对照专家评审意见对草案进行逐条修改，形成征求意见稿。</w:t>
      </w:r>
    </w:p>
    <w:p w14:paraId="6E2D63ED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73350" cy="1571625"/>
            <wp:effectExtent l="0" t="0" r="3175" b="0"/>
            <wp:docPr id="2" name="图片 2" descr="b81584e10ac9d16ecf3fe596805e4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1584e10ac9d16ecf3fe596805e48e0"/>
                    <pic:cNvPicPr>
                      <a:picLocks noChangeAspect="1"/>
                    </pic:cNvPicPr>
                  </pic:nvPicPr>
                  <pic:blipFill>
                    <a:blip r:embed="rId12"/>
                    <a:srcRect b="8185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913380" cy="1570990"/>
            <wp:effectExtent l="0" t="0" r="1270" b="635"/>
            <wp:docPr id="3" name="图片 3" descr="6d24e78efb34cb6c39f3f9205cde8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24e78efb34cb6c39f3f9205cde86fe"/>
                    <pic:cNvPicPr>
                      <a:picLocks noChangeAspect="1"/>
                    </pic:cNvPicPr>
                  </pic:nvPicPr>
                  <pic:blipFill>
                    <a:blip r:embed="rId13"/>
                    <a:srcRect b="9503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2BBC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94F794F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/>
        </w:rPr>
      </w:pPr>
    </w:p>
    <w:p w14:paraId="BA50046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kern w:val="0"/>
          <w:sz w:val="28"/>
          <w:szCs w:val="28"/>
          <w:highlight w:val="none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(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四)审定(计划2026年4月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kern w:val="0"/>
          <w:sz w:val="28"/>
          <w:szCs w:val="28"/>
          <w:highlight w:val="none"/>
          <w:vertAlign w:val="baseline"/>
          <w:lang w:val="en-US" w:eastAsia="en-US" w:bidi="ar-SA"/>
        </w:rPr>
        <w:t>～202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kern w:val="0"/>
          <w:sz w:val="28"/>
          <w:szCs w:val="28"/>
          <w:highlight w:val="none"/>
          <w:vertAlign w:val="baseline"/>
          <w:lang w:val="en-US" w:eastAsia="zh-CN" w:bidi="ar-SA"/>
        </w:rPr>
        <w:t>6年5月完成)</w:t>
      </w:r>
    </w:p>
    <w:p w14:paraId="0763C7A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三、标准编制原则及主要技术内容确定</w:t>
      </w:r>
    </w:p>
    <w:p w14:paraId="0C2270A1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（一）标准编制原则</w:t>
      </w:r>
    </w:p>
    <w:p w14:paraId="174E344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1.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合规性原则：</w:t>
      </w:r>
      <w:r>
        <w:rPr>
          <w:rFonts w:hint="eastAsia" w:ascii="宋体" w:hAnsi="宋体" w:eastAsia="宋体" w:cs="宋体"/>
          <w:sz w:val="28"/>
          <w:szCs w:val="28"/>
        </w:rPr>
        <w:t>严格遵循《基本医疗卫生与健康促进法》《中医药法》《个人信息保护法》等法律法规，与国家基层卫生、中医药、医养结合政策保持一致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。</w:t>
      </w:r>
    </w:p>
    <w:p w14:paraId="56374FA2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2.公益性原则：</w:t>
      </w:r>
      <w:r>
        <w:rPr>
          <w:rFonts w:hint="eastAsia" w:ascii="宋体" w:hAnsi="宋体" w:eastAsia="宋体" w:cs="宋体"/>
          <w:sz w:val="28"/>
          <w:szCs w:val="28"/>
        </w:rPr>
        <w:t>突出人民健康馆</w:t>
      </w:r>
      <w:r>
        <w:rPr>
          <w:rStyle w:val="6"/>
          <w:rFonts w:hint="eastAsia" w:ascii="宋体" w:hAnsi="宋体" w:eastAsia="宋体" w:cs="宋体"/>
          <w:b/>
          <w:bCs/>
          <w:color w:val="1F2329"/>
          <w:sz w:val="28"/>
          <w:szCs w:val="28"/>
        </w:rPr>
        <w:t>社区公益属性</w:t>
      </w:r>
      <w:r>
        <w:rPr>
          <w:rFonts w:hint="eastAsia" w:ascii="宋体" w:hAnsi="宋体" w:eastAsia="宋体" w:cs="宋体"/>
          <w:sz w:val="28"/>
          <w:szCs w:val="28"/>
        </w:rPr>
        <w:t>，聚焦老年、慢病、失能半失能、经济困难等重点人群，服务可及、成本可控、可持续运营。</w:t>
      </w:r>
    </w:p>
    <w:p w14:paraId="4BCBF62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3.中医特色原则：</w:t>
      </w:r>
      <w:r>
        <w:rPr>
          <w:rFonts w:hint="eastAsia" w:ascii="宋体" w:hAnsi="宋体" w:eastAsia="宋体" w:cs="宋体"/>
          <w:sz w:val="28"/>
          <w:szCs w:val="28"/>
        </w:rPr>
        <w:t>以中医健康管理、中医适宜技术、药膳食养、体质辨识、治未病为核心，体现中医药在基层健康服务中的优势。</w:t>
      </w:r>
    </w:p>
    <w:p w14:paraId="26A1F832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4.可操作性原则：</w:t>
      </w:r>
      <w:r>
        <w:rPr>
          <w:rFonts w:hint="eastAsia" w:ascii="宋体" w:hAnsi="宋体" w:eastAsia="宋体" w:cs="宋体"/>
          <w:sz w:val="28"/>
          <w:szCs w:val="28"/>
        </w:rPr>
        <w:t>条款简洁、流程清晰、指标明确，便于社区落地实施、监督检查与评价改进。</w:t>
      </w:r>
    </w:p>
    <w:p w14:paraId="6EE0BA2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5.协调性原则：</w:t>
      </w:r>
      <w:r>
        <w:rPr>
          <w:rFonts w:hint="eastAsia" w:ascii="宋体" w:hAnsi="宋体" w:eastAsia="宋体" w:cs="宋体"/>
          <w:sz w:val="28"/>
          <w:szCs w:val="28"/>
        </w:rPr>
        <w:t>与现行国家标准、行业标准、团体标准衔接，避免冲突，形成互补。</w:t>
      </w:r>
    </w:p>
    <w:p w14:paraId="327C730D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pacing w:val="6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（二）团体标准主要内容确定</w:t>
      </w:r>
    </w:p>
    <w:p w14:paraId="54358196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outlineLvl w:val="0"/>
        <w:rPr>
          <w:rFonts w:hint="eastAsia" w:ascii="宋体" w:hAnsi="宋体" w:eastAsia="宋体" w:cs="宋体"/>
          <w:spacing w:val="6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本标准主要内容如下：</w:t>
      </w:r>
    </w:p>
    <w:p w14:paraId="04D74BA0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84" w:firstLineChars="200"/>
        <w:rPr>
          <w:rFonts w:hint="eastAsia" w:ascii="宋体" w:hAnsi="宋体" w:eastAsia="宋体" w:cs="宋体"/>
          <w:spacing w:val="6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范围：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本文件规定了人民健康馆的术语和定义、建设要求、组织管理、服务内容、质量控制与监督评价等要求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以及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适用于社区公益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性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健康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服务平台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的规划、建设、运营和管理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的范围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。</w:t>
      </w:r>
    </w:p>
    <w:p w14:paraId="6AC0C6E3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84" w:firstLineChars="200"/>
        <w:rPr>
          <w:rFonts w:hint="eastAsia" w:ascii="宋体" w:hAnsi="宋体" w:eastAsia="宋体" w:cs="宋体"/>
          <w:spacing w:val="6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规范性引用文件：列出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了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构成本文件必不可少的条款的引用文件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。</w:t>
      </w:r>
    </w:p>
    <w:p w14:paraId="239832DB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84" w:firstLineChars="200"/>
        <w:rPr>
          <w:rFonts w:hint="eastAsia" w:ascii="宋体" w:hAnsi="宋体" w:eastAsia="宋体" w:cs="宋体"/>
          <w:spacing w:val="6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术语和定义：界定了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人民健康馆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医养通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人民健康采购平台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等相关术语。</w:t>
      </w:r>
    </w:p>
    <w:p w14:paraId="5C02277A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84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建设要求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：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提出了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</w:rPr>
        <w:t>项目定位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</w:rPr>
        <w:t>选址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与场地、面积与功能、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</w:rPr>
        <w:t>设施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与配置、环境与安全等四方面的建设布局与分类管理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。</w:t>
      </w:r>
    </w:p>
    <w:p w14:paraId="0A84A9F0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84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组织管理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：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细化了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运营管理要求、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</w:rPr>
        <w:t>组织架构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人员配置与能力要求、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志愿者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者管理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专业协作机制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信息与档案管理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等六个方面的组织管理要求。</w:t>
      </w:r>
    </w:p>
    <w:p w14:paraId="5CF96211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84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服务内容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/>
        </w:rPr>
        <w:t>：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梳理了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了中医健康管理服务、中医适宜技术体验、药膳食养指导服务、健康宣教服务、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互联网 + 医疗健康服务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重点人群关爱服务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医养通与转诊协同服务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等七项服务内容。</w:t>
      </w:r>
    </w:p>
    <w:p w14:paraId="0ADAE4A0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服务流程：建立了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通用服务流程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健康监测与管理流程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中医适宜技术服务流程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健康宣教与活动流程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转诊与医养通服务流程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志愿服务流程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等六个服务流程。</w:t>
      </w:r>
    </w:p>
    <w:p w14:paraId="020896F7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运营保障：确立了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运营原则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资源保障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服务可持续保障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信息与档案保障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安全保障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等五个方面的运营保障机制。</w:t>
      </w:r>
    </w:p>
    <w:p w14:paraId="0E2EE1D1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质量控制与监督改进：构建了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质量控制要求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服务监督机制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考核与评价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持续改进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等质量控制与改进体系。</w:t>
      </w:r>
    </w:p>
    <w:p w14:paraId="3BA94729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标准应用与标识管理：规定了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运营申请与验收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标识与知识产权使用授权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使用管理与监督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>撤销与变更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等四个标准应用、标识授权与使用管理规则。</w:t>
      </w:r>
    </w:p>
    <w:p w14:paraId="D370B11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outlineLvl w:val="0"/>
        <w:rPr>
          <w:rFonts w:hint="eastAsia" w:ascii="宋体" w:hAnsi="宋体" w:eastAsia="宋体" w:cs="宋体"/>
          <w:b/>
          <w:bCs/>
          <w:spacing w:val="7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7"/>
          <w:sz w:val="28"/>
          <w:szCs w:val="28"/>
        </w:rPr>
        <w:t>四、采用国际、国内标准情况</w:t>
      </w:r>
    </w:p>
    <w:p w14:paraId="3E30E63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无直接采用的国际标准，国内参考了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《</w:t>
      </w:r>
      <w:r>
        <w:rPr>
          <w:rFonts w:ascii="宋体" w:hAnsi="宋体" w:eastAsia="宋体" w:cs="宋体"/>
          <w:sz w:val="28"/>
          <w:szCs w:val="28"/>
        </w:rPr>
        <w:t>中华人民共和国基本医疗卫生与健康促进法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》《</w:t>
      </w:r>
      <w:r>
        <w:rPr>
          <w:rFonts w:ascii="宋体" w:hAnsi="宋体" w:eastAsia="宋体" w:cs="宋体"/>
          <w:sz w:val="28"/>
          <w:szCs w:val="28"/>
        </w:rPr>
        <w:t>中华人民共和国中医药法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》《</w:t>
      </w:r>
      <w:r>
        <w:rPr>
          <w:rFonts w:ascii="宋体" w:hAnsi="宋体" w:eastAsia="宋体" w:cs="宋体"/>
          <w:sz w:val="28"/>
          <w:szCs w:val="28"/>
        </w:rPr>
        <w:t>中华人民共和国个人信息保护法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》《</w:t>
      </w:r>
      <w:r>
        <w:rPr>
          <w:rFonts w:ascii="宋体" w:hAnsi="宋体" w:eastAsia="宋体" w:cs="宋体"/>
          <w:sz w:val="28"/>
          <w:szCs w:val="28"/>
        </w:rPr>
        <w:t>中华人民共和国商标法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sz w:val="28"/>
          <w:szCs w:val="28"/>
          <w:lang w:val="en-US"/>
        </w:rPr>
        <w:t xml:space="preserve">《中华人民共和国食品安全法》、GB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50763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等一系列相关国家标准及文件。</w:t>
      </w:r>
    </w:p>
    <w:p w14:paraId="17646F1D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与现行法律法规和强制性标准的关系</w:t>
      </w:r>
    </w:p>
    <w:p w14:paraId="28659031">
      <w:pPr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8"/>
          <w:kern w:val="0"/>
          <w:sz w:val="28"/>
          <w:szCs w:val="28"/>
          <w:highlight w:val="none"/>
          <w:vertAlign w:val="baseline"/>
          <w:lang w:val="en-US" w:eastAsia="en-US" w:bidi="ar-SA"/>
        </w:rPr>
        <w:t>本标准与现行有关法律法规和强制性标准协调一致。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6"/>
          <w:kern w:val="0"/>
          <w:sz w:val="28"/>
          <w:szCs w:val="28"/>
          <w:highlight w:val="none"/>
          <w:vertAlign w:val="baseline"/>
          <w:lang w:val="en-US" w:eastAsia="en-US" w:bidi="ar-SA"/>
        </w:rPr>
        <w:t>规范的起草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6"/>
          <w:kern w:val="0"/>
          <w:sz w:val="28"/>
          <w:szCs w:val="28"/>
          <w:highlight w:val="none"/>
          <w:vertAlign w:val="baseline"/>
          <w:lang w:val="en-US" w:eastAsia="zh-CN" w:bidi="ar-SA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6"/>
          <w:kern w:val="0"/>
          <w:sz w:val="28"/>
          <w:szCs w:val="28"/>
          <w:highlight w:val="none"/>
          <w:vertAlign w:val="baseline"/>
          <w:lang w:val="en-US" w:eastAsia="en-US" w:bidi="ar-SA"/>
        </w:rPr>
        <w:t>编写格式符合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64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6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GB/T1.1-2020《标准化工导则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7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 第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40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7"/>
          <w:kern w:val="0"/>
          <w:sz w:val="28"/>
          <w:szCs w:val="28"/>
          <w:highlight w:val="none"/>
          <w:vertAlign w:val="baseline"/>
          <w:lang w:val="en-US" w:eastAsia="en-US" w:bidi="ar-SA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52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7"/>
          <w:kern w:val="0"/>
          <w:sz w:val="28"/>
          <w:szCs w:val="28"/>
          <w:highlight w:val="none"/>
          <w:vertAlign w:val="baseline"/>
          <w:lang w:val="en-US" w:eastAsia="en-US" w:bidi="ar-SA"/>
        </w:rPr>
        <w:t>部分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7"/>
          <w:kern w:val="0"/>
          <w:sz w:val="28"/>
          <w:szCs w:val="28"/>
          <w:highlight w:val="none"/>
          <w:vertAlign w:val="baseline"/>
          <w:lang w:val="en-US" w:eastAsia="zh-CN" w:bidi="ar-SA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1"/>
          <w:kern w:val="0"/>
          <w:sz w:val="28"/>
          <w:szCs w:val="28"/>
          <w:highlight w:val="none"/>
          <w:vertAlign w:val="baseline"/>
          <w:lang w:val="en-US" w:eastAsia="en-US" w:bidi="ar-SA"/>
        </w:rPr>
        <w:t>标准化文件的结构和起草规则》、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kern w:val="0"/>
          <w:sz w:val="28"/>
          <w:szCs w:val="28"/>
          <w:highlight w:val="none"/>
          <w:vertAlign w:val="baseline"/>
          <w:lang w:val="en-US" w:eastAsia="en-US" w:bidi="ar-SA"/>
        </w:rPr>
        <w:t>GB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1"/>
          <w:kern w:val="0"/>
          <w:sz w:val="28"/>
          <w:szCs w:val="28"/>
          <w:highlight w:val="none"/>
          <w:vertAlign w:val="baseline"/>
          <w:lang w:val="en-US" w:eastAsia="en-US" w:bidi="ar-SA"/>
        </w:rPr>
        <w:t>/T1.2-2002《标准化工导则  第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39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1"/>
          <w:kern w:val="0"/>
          <w:sz w:val="28"/>
          <w:szCs w:val="28"/>
          <w:highlight w:val="none"/>
          <w:vertAlign w:val="baseline"/>
          <w:lang w:val="en-US" w:eastAsia="en-US" w:bidi="ar-SA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47"/>
          <w:kern w:val="0"/>
          <w:sz w:val="28"/>
          <w:szCs w:val="28"/>
          <w:highlight w:val="none"/>
          <w:vertAlign w:val="baseline"/>
          <w:lang w:val="en-US" w:eastAsia="en-US" w:bidi="ar-SA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1"/>
          <w:kern w:val="0"/>
          <w:sz w:val="28"/>
          <w:szCs w:val="28"/>
          <w:highlight w:val="none"/>
          <w:vertAlign w:val="baseline"/>
          <w:lang w:val="en-US" w:eastAsia="en-US" w:bidi="ar-SA"/>
        </w:rPr>
        <w:t>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napToGrid w:val="0"/>
          <w:color w:val="000000"/>
          <w:spacing w:val="-1"/>
          <w:kern w:val="0"/>
          <w:sz w:val="28"/>
          <w:szCs w:val="28"/>
          <w:highlight w:val="none"/>
          <w:vertAlign w:val="baseline"/>
          <w:lang w:val="en-US" w:eastAsia="en-US" w:bidi="ar-SA"/>
        </w:rPr>
        <w:t>分：标准中规范性技术要素内容的确定方法》的规格。</w:t>
      </w:r>
    </w:p>
    <w:p w14:paraId="58BDA7C6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7"/>
          <w:sz w:val="28"/>
          <w:szCs w:val="28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spacing w:val="7"/>
          <w:sz w:val="28"/>
          <w:szCs w:val="28"/>
        </w:rPr>
        <w:t>重大分歧意见</w:t>
      </w:r>
      <w:r>
        <w:rPr>
          <w:rFonts w:hint="eastAsia" w:ascii="宋体" w:hAnsi="宋体" w:eastAsia="宋体" w:cs="宋体"/>
          <w:b/>
          <w:bCs/>
          <w:spacing w:val="7"/>
          <w:sz w:val="28"/>
          <w:szCs w:val="28"/>
          <w:lang w:val="en-US" w:eastAsia="zh-CN"/>
        </w:rPr>
        <w:t>处理</w:t>
      </w:r>
      <w:r>
        <w:rPr>
          <w:rFonts w:hint="eastAsia" w:ascii="宋体" w:hAnsi="宋体" w:eastAsia="宋体" w:cs="宋体"/>
          <w:b/>
          <w:bCs/>
          <w:spacing w:val="5"/>
          <w:sz w:val="28"/>
          <w:szCs w:val="28"/>
        </w:rPr>
        <w:t xml:space="preserve"> </w:t>
      </w:r>
    </w:p>
    <w:p w14:paraId="FDB6F4B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right="523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无</w:t>
      </w:r>
    </w:p>
    <w:p w14:paraId="42E3881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leftChars="0" w:right="0" w:right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b/>
          <w:bCs/>
          <w:spacing w:val="9"/>
          <w:sz w:val="28"/>
          <w:szCs w:val="28"/>
        </w:rPr>
        <w:t>标准作为强制性或推荐性标准发布的意见</w:t>
      </w: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 xml:space="preserve"> </w:t>
      </w:r>
    </w:p>
    <w:p w14:paraId="6FA8DFC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right="0" w:rightChars="0" w:firstLine="53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7"/>
          <w:sz w:val="28"/>
          <w:szCs w:val="28"/>
        </w:rPr>
        <w:t>推荐性</w:t>
      </w:r>
    </w:p>
    <w:p w14:paraId="692CBD2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right="5232" w:rightChars="0"/>
        <w:rPr>
          <w:rFonts w:hint="eastAsia" w:ascii="宋体" w:hAnsi="宋体" w:eastAsia="宋体" w:cs="宋体"/>
          <w:b/>
          <w:bCs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  <w:lang w:val="en-US" w:eastAsia="zh-CN"/>
        </w:rPr>
        <w:t>八、</w:t>
      </w: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贯彻标准的建议</w:t>
      </w:r>
    </w:p>
    <w:p w14:paraId="4BA2592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right="5232"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实施推广建议：</w:t>
      </w:r>
    </w:p>
    <w:p w14:paraId="4271869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after="0" w:line="360" w:lineRule="auto"/>
        <w:ind w:right="0" w:firstLine="548"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注重标准内容宣贯，确保标准得到推广和应用。加强对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人民健康馆社区服务与管理指南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》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贯彻落实的考核验收工作，通过报纸、网络等媒介，提升标准在社会中的影响力，形成长效机制。选取参与起草和征求意见单位率先实施标准，总结经验，对取得良好效果的单位和个人实施奖励，吸引其他企业积极参与使用。</w:t>
      </w:r>
    </w:p>
    <w:p w14:paraId="FACA3A8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="548"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本标准起草单位将对本标准进行释义，开展研讨；在标准发布以后，组织宣贯、培训。</w:t>
      </w:r>
    </w:p>
    <w:p w14:paraId="300E1E40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为了保证此规范的实施推广，具体建议如下：</w:t>
      </w:r>
    </w:p>
    <w:p w14:paraId="3344AD80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1. 印刷文本册便于使用者学习和运用，通过相关途径，对规范进行必要的宣传。</w:t>
      </w:r>
    </w:p>
    <w:p w14:paraId="5F86211A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2. 围绕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人民健康馆社区服务与管理指南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》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的内容和流程制作多媒体视频，助推学习者理解。</w:t>
      </w:r>
    </w:p>
    <w:p w14:paraId="3AC1D336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pacing w:val="-3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3. 面向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社区健康服务的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企业、机构等相关单位人员，举办相关培训，提升工作人员的专业技术和管理能力。</w:t>
      </w:r>
    </w:p>
    <w:p w14:paraId="9B765D56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/>
        </w:rPr>
        <w:t>4. 在实践中不断检验、总结经验和完善。</w:t>
      </w:r>
    </w:p>
    <w:p w14:paraId="26BEF2FB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4"/>
          <w:sz w:val="28"/>
          <w:szCs w:val="28"/>
        </w:rPr>
        <w:t>九、经费使用情况</w:t>
      </w:r>
    </w:p>
    <w:p w14:paraId="B1588020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pacing w:val="-14"/>
          <w:sz w:val="28"/>
          <w:szCs w:val="28"/>
        </w:rPr>
      </w:pPr>
      <w:r>
        <w:rPr>
          <w:rFonts w:hint="eastAsia" w:ascii="宋体" w:hAnsi="宋体" w:eastAsia="宋体" w:cs="宋体"/>
          <w:spacing w:val="3"/>
          <w:sz w:val="28"/>
          <w:szCs w:val="28"/>
        </w:rPr>
        <w:t>主要用于：书籍与资料购置、出差调研、材料打印</w:t>
      </w:r>
      <w:r>
        <w:rPr>
          <w:rFonts w:hint="eastAsia" w:ascii="宋体" w:hAnsi="宋体" w:eastAsia="宋体" w:cs="宋体"/>
          <w:spacing w:val="2"/>
          <w:sz w:val="28"/>
          <w:szCs w:val="28"/>
        </w:rPr>
        <w:t>、研讨交流以及项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4"/>
          <w:sz w:val="28"/>
          <w:szCs w:val="28"/>
        </w:rPr>
        <w:t>目评审等。</w:t>
      </w:r>
    </w:p>
    <w:p w14:paraId="656C89F7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</w:rPr>
        <w:t>十、其他应予以说明的事项</w:t>
      </w:r>
      <w:r>
        <w:rPr>
          <w:rFonts w:hint="eastAsia"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7"/>
          <w:sz w:val="28"/>
          <w:szCs w:val="28"/>
        </w:rPr>
        <w:t>附起草人员组成的基本情况</w:t>
      </w:r>
    </w:p>
    <w:tbl>
      <w:tblPr>
        <w:tblStyle w:val="7"/>
        <w:tblW w:w="8840" w:type="dxa"/>
        <w:tblInd w:w="4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1547"/>
        <w:gridCol w:w="850"/>
        <w:gridCol w:w="5611"/>
      </w:tblGrid>
      <w:tr w14:paraId="5DA7A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832" w:type="dxa"/>
          </w:tcPr>
          <w:p w14:paraId="79ADD15A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51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-9"/>
                <w:sz w:val="28"/>
                <w:szCs w:val="28"/>
              </w:rPr>
              <w:t>序号</w:t>
            </w:r>
          </w:p>
        </w:tc>
        <w:tc>
          <w:tcPr>
            <w:tcW w:w="1547" w:type="dxa"/>
          </w:tcPr>
          <w:p w14:paraId="4F6F234B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51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-11"/>
                <w:sz w:val="28"/>
                <w:szCs w:val="28"/>
              </w:rPr>
              <w:t>类别</w:t>
            </w:r>
          </w:p>
        </w:tc>
        <w:tc>
          <w:tcPr>
            <w:tcW w:w="850" w:type="dxa"/>
          </w:tcPr>
          <w:p w14:paraId="62401AAC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59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-8"/>
                <w:sz w:val="28"/>
                <w:szCs w:val="28"/>
              </w:rPr>
              <w:t>数量</w:t>
            </w:r>
          </w:p>
        </w:tc>
        <w:tc>
          <w:tcPr>
            <w:tcW w:w="5611" w:type="dxa"/>
          </w:tcPr>
          <w:p w14:paraId="4DE2788D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2263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-6"/>
                <w:sz w:val="28"/>
                <w:szCs w:val="28"/>
              </w:rPr>
              <w:t>具体情况</w:t>
            </w:r>
          </w:p>
        </w:tc>
      </w:tr>
      <w:tr w14:paraId="6F640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32" w:type="dxa"/>
          </w:tcPr>
          <w:p w14:paraId="59FEE2A6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383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547" w:type="dxa"/>
          </w:tcPr>
          <w:p w14:paraId="0245D7B0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社会组织</w:t>
            </w:r>
          </w:p>
        </w:tc>
        <w:tc>
          <w:tcPr>
            <w:tcW w:w="850" w:type="dxa"/>
          </w:tcPr>
          <w:p w14:paraId="4D5FC7F2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392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5611" w:type="dxa"/>
          </w:tcPr>
          <w:p w14:paraId="9EBE7929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43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中国民族卫生协会</w:t>
            </w:r>
          </w:p>
          <w:p w14:paraId="4A938EE3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43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中国社区发展协会</w:t>
            </w:r>
          </w:p>
          <w:p w14:paraId="1086BD38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43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北京融和医学发展基金会</w:t>
            </w:r>
          </w:p>
          <w:p w14:paraId="13367B95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43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中科职业技能培训学校</w:t>
            </w:r>
          </w:p>
        </w:tc>
      </w:tr>
      <w:tr w14:paraId="5A2BF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832" w:type="dxa"/>
          </w:tcPr>
          <w:p w14:paraId="24278D8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56F1284A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37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</w:t>
            </w:r>
          </w:p>
        </w:tc>
        <w:tc>
          <w:tcPr>
            <w:tcW w:w="1547" w:type="dxa"/>
          </w:tcPr>
          <w:p w14:paraId="1338600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18A70833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-2"/>
                <w:sz w:val="28"/>
                <w:szCs w:val="28"/>
              </w:rPr>
              <w:t>高校</w:t>
            </w:r>
            <w:r>
              <w:rPr>
                <w:rFonts w:hint="eastAsia" w:ascii="宋体" w:hAnsi="宋体" w:eastAsia="宋体" w:cs="宋体"/>
                <w:spacing w:val="-2"/>
                <w:sz w:val="28"/>
                <w:szCs w:val="28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spacing w:val="-2"/>
                <w:sz w:val="28"/>
                <w:szCs w:val="28"/>
                <w:lang w:val="en-US" w:eastAsia="zh-CN"/>
              </w:rPr>
              <w:t>科研</w:t>
            </w:r>
          </w:p>
        </w:tc>
        <w:tc>
          <w:tcPr>
            <w:tcW w:w="850" w:type="dxa"/>
          </w:tcPr>
          <w:p w14:paraId="431A963B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5611" w:type="dxa"/>
          </w:tcPr>
          <w:p w14:paraId="53E48EDE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right="0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清华大学医疗管理研究院</w:t>
            </w:r>
          </w:p>
          <w:p w14:paraId="D33FDA3D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right="0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北京中医药大学</w:t>
            </w:r>
          </w:p>
          <w:p w14:paraId="1273C301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right="0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北京英平医疗技术研究所</w:t>
            </w:r>
          </w:p>
        </w:tc>
      </w:tr>
      <w:tr w14:paraId="69AA9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32" w:type="dxa"/>
          </w:tcPr>
          <w:p w14:paraId="0C650DFB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372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3</w:t>
            </w:r>
          </w:p>
        </w:tc>
        <w:tc>
          <w:tcPr>
            <w:tcW w:w="1547" w:type="dxa"/>
          </w:tcPr>
          <w:p w14:paraId="454C1229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</w:rPr>
              <w:t>医院</w:t>
            </w:r>
          </w:p>
        </w:tc>
        <w:tc>
          <w:tcPr>
            <w:tcW w:w="850" w:type="dxa"/>
          </w:tcPr>
          <w:p w14:paraId="758D26A8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379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5611" w:type="dxa"/>
          </w:tcPr>
          <w:p w14:paraId="2B8C0509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29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中国民族卫生协会北京融科医院</w:t>
            </w:r>
          </w:p>
          <w:p w14:paraId="3282F4EE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23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北京市第一中西医结合医院</w:t>
            </w:r>
          </w:p>
          <w:p w14:paraId="4880DFEE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ind w:left="123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融科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(成都)互联网医院</w:t>
            </w:r>
          </w:p>
        </w:tc>
      </w:tr>
      <w:tr w14:paraId="5B7AA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1" w:hRule="atLeast"/>
        </w:trPr>
        <w:tc>
          <w:tcPr>
            <w:tcW w:w="832" w:type="dxa"/>
          </w:tcPr>
          <w:p w14:paraId="EFF03A8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547" w:type="dxa"/>
          </w:tcPr>
          <w:p w14:paraId="E334B1D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94BC881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18B1033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462C247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相关企业</w:t>
            </w:r>
          </w:p>
        </w:tc>
        <w:tc>
          <w:tcPr>
            <w:tcW w:w="850" w:type="dxa"/>
          </w:tcPr>
          <w:p w14:paraId="8FCD205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/>
              </w:rPr>
              <w:t>10</w:t>
            </w:r>
          </w:p>
        </w:tc>
        <w:tc>
          <w:tcPr>
            <w:tcW w:w="5611" w:type="dxa"/>
          </w:tcPr>
          <w:p w14:paraId="D30C2D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36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民族大医馆健康产业管理(北京)股份公司</w:t>
            </w:r>
          </w:p>
          <w:p w14:paraId="D0330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360" w:lineRule="auto"/>
              <w:jc w:val="left"/>
              <w:textAlignment w:val="baseline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中医科学院(北京)健康科技有限公司</w:t>
            </w:r>
          </w:p>
          <w:p w14:paraId="A2EED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360" w:lineRule="auto"/>
              <w:jc w:val="left"/>
              <w:textAlignment w:val="baseline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铭明德(北京)中医药文化中心</w:t>
            </w:r>
          </w:p>
          <w:p w14:paraId="5C9782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360" w:lineRule="auto"/>
              <w:jc w:val="left"/>
              <w:textAlignment w:val="baseline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金方膳府(北京)餐饮管理有限公司</w:t>
            </w:r>
          </w:p>
          <w:p w14:paraId="EDD00B95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</w:p>
        </w:tc>
      </w:tr>
      <w:tr w14:paraId="E2103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32" w:type="dxa"/>
          </w:tcPr>
          <w:p w14:paraId="623CB4A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547" w:type="dxa"/>
          </w:tcPr>
          <w:p w14:paraId="963E58F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国医大师</w:t>
            </w:r>
          </w:p>
        </w:tc>
        <w:tc>
          <w:tcPr>
            <w:tcW w:w="850" w:type="dxa"/>
          </w:tcPr>
          <w:p w14:paraId="B251AF7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/>
              </w:rPr>
              <w:t>3</w:t>
            </w:r>
          </w:p>
        </w:tc>
        <w:tc>
          <w:tcPr>
            <w:tcW w:w="5611" w:type="dxa"/>
          </w:tcPr>
          <w:p w14:paraId="B2FAFC94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李佃贵、唐祖宣、王世民</w:t>
            </w:r>
          </w:p>
        </w:tc>
      </w:tr>
      <w:tr w14:paraId="4A790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832" w:type="dxa"/>
          </w:tcPr>
          <w:p w14:paraId="02EC0F50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4E717325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547" w:type="dxa"/>
          </w:tcPr>
          <w:p w14:paraId="582A8BF3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7B9D3D06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专业人员</w:t>
            </w:r>
          </w:p>
        </w:tc>
        <w:tc>
          <w:tcPr>
            <w:tcW w:w="850" w:type="dxa"/>
          </w:tcPr>
          <w:p w14:paraId="626D1BD1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0D6B1345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若干</w:t>
            </w:r>
          </w:p>
        </w:tc>
        <w:tc>
          <w:tcPr>
            <w:tcW w:w="5611" w:type="dxa"/>
          </w:tcPr>
          <w:p w14:paraId="47A46708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after="0" w:line="36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吴英萍、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陈越良、王云峰、赵艳华、杨锐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、张育铭、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陈伟、李安、习慧泽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、刘明慧</w:t>
            </w:r>
          </w:p>
        </w:tc>
      </w:tr>
    </w:tbl>
    <w:p w14:paraId="7E26DD6F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rPr>
          <w:rFonts w:hint="eastAsia" w:ascii="宋体" w:hAnsi="宋体" w:eastAsia="宋体" w:cs="宋体"/>
          <w:sz w:val="28"/>
          <w:szCs w:val="28"/>
        </w:rPr>
      </w:pPr>
    </w:p>
    <w:p w14:paraId="5EA752A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firstLineChars="200"/>
        <w:jc w:val="right"/>
        <w:rPr>
          <w:rFonts w:hint="eastAsia" w:ascii="宋体" w:hAnsi="宋体" w:eastAsia="宋体" w:cs="宋体"/>
          <w:sz w:val="28"/>
          <w:szCs w:val="28"/>
        </w:rPr>
      </w:pPr>
    </w:p>
    <w:p w14:paraId="19517209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after="0" w:line="360" w:lineRule="auto"/>
        <w:ind w:right="321"/>
        <w:jc w:val="right"/>
        <w:rPr>
          <w:rFonts w:hint="eastAsia" w:ascii="宋体" w:hAnsi="宋体" w:eastAsia="宋体" w:cs="宋体"/>
          <w:spacing w:val="11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人民健康馆社区服务与管理指南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》</w:t>
      </w:r>
      <w:r>
        <w:rPr>
          <w:rFonts w:hint="eastAsia" w:ascii="宋体" w:hAnsi="宋体" w:eastAsia="宋体" w:cs="宋体"/>
          <w:spacing w:val="8"/>
          <w:sz w:val="28"/>
          <w:szCs w:val="28"/>
          <w:lang w:eastAsia="zh-CN"/>
        </w:rPr>
        <w:t>团体标准</w:t>
      </w:r>
      <w:r>
        <w:rPr>
          <w:rFonts w:hint="eastAsia" w:ascii="宋体" w:hAnsi="宋体" w:eastAsia="宋体" w:cs="宋体"/>
          <w:spacing w:val="8"/>
          <w:sz w:val="28"/>
          <w:szCs w:val="28"/>
        </w:rPr>
        <w:t>起草组</w:t>
      </w:r>
      <w:r>
        <w:rPr>
          <w:rFonts w:hint="eastAsia" w:ascii="宋体" w:hAnsi="宋体" w:eastAsia="宋体" w:cs="宋体"/>
          <w:spacing w:val="11"/>
          <w:sz w:val="28"/>
          <w:szCs w:val="28"/>
        </w:rPr>
        <w:t xml:space="preserve"> </w:t>
      </w:r>
    </w:p>
    <w:p w14:paraId="1A480A5B">
      <w:pPr>
        <w:pStyle w:val="2"/>
        <w:spacing w:before="100" w:after="0" w:line="360" w:lineRule="auto"/>
        <w:ind w:right="321"/>
        <w:jc w:val="right"/>
      </w:pPr>
      <w:r>
        <w:rPr>
          <w:rFonts w:hint="eastAsia" w:ascii="宋体" w:hAnsi="宋体" w:eastAsia="宋体" w:cs="宋体"/>
          <w:spacing w:val="-7"/>
          <w:sz w:val="28"/>
          <w:szCs w:val="28"/>
        </w:rPr>
        <w:t>202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年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4月2日</w:t>
      </w:r>
    </w:p>
    <w:sectPr>
      <w:footerReference r:id="rId5" w:type="default"/>
      <w:pgSz w:w="11906" w:h="16839"/>
      <w:pgMar w:top="1431" w:right="1418" w:bottom="1156" w:left="1486" w:header="0" w:footer="99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22CC1">
    <w:pPr>
      <w:spacing w:line="176" w:lineRule="auto"/>
      <w:ind w:left="444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chineseCounting"/>
      <w:lvlText w:val="（%1）"/>
      <w:lvlJc w:val="left"/>
      <w:pPr>
        <w:ind w:left="1078" w:hanging="420"/>
      </w:pPr>
    </w:lvl>
    <w:lvl w:ilvl="1" w:tentative="0">
      <w:start w:val="1"/>
      <w:numFmt w:val="lowerLetter"/>
      <w:lvlText w:val="%2)"/>
      <w:lvlJc w:val="left"/>
      <w:pPr>
        <w:ind w:left="1498" w:hanging="420"/>
      </w:pPr>
    </w:lvl>
    <w:lvl w:ilvl="2" w:tentative="0">
      <w:start w:val="1"/>
      <w:numFmt w:val="lowerRoman"/>
      <w:lvlText w:val="%3."/>
      <w:lvlJc w:val="right"/>
      <w:pPr>
        <w:ind w:left="1918" w:hanging="420"/>
      </w:pPr>
    </w:lvl>
    <w:lvl w:ilvl="3" w:tentative="0">
      <w:start w:val="1"/>
      <w:numFmt w:val="decimal"/>
      <w:lvlText w:val="%4."/>
      <w:lvlJc w:val="left"/>
      <w:pPr>
        <w:ind w:left="2338" w:hanging="420"/>
      </w:pPr>
    </w:lvl>
    <w:lvl w:ilvl="4" w:tentative="0">
      <w:start w:val="1"/>
      <w:numFmt w:val="lowerLetter"/>
      <w:lvlText w:val="%5)"/>
      <w:lvlJc w:val="left"/>
      <w:pPr>
        <w:ind w:left="2758" w:hanging="420"/>
      </w:pPr>
    </w:lvl>
    <w:lvl w:ilvl="5" w:tentative="0">
      <w:start w:val="1"/>
      <w:numFmt w:val="lowerRoman"/>
      <w:lvlText w:val="%6."/>
      <w:lvlJc w:val="right"/>
      <w:pPr>
        <w:ind w:left="3178" w:hanging="420"/>
      </w:pPr>
    </w:lvl>
    <w:lvl w:ilvl="6" w:tentative="0">
      <w:start w:val="1"/>
      <w:numFmt w:val="decimal"/>
      <w:lvlText w:val="%7."/>
      <w:lvlJc w:val="left"/>
      <w:pPr>
        <w:ind w:left="3598" w:hanging="420"/>
      </w:pPr>
    </w:lvl>
    <w:lvl w:ilvl="7" w:tentative="0">
      <w:start w:val="1"/>
      <w:numFmt w:val="lowerLetter"/>
      <w:lvlText w:val="%8)"/>
      <w:lvlJc w:val="left"/>
      <w:pPr>
        <w:ind w:left="4018" w:hanging="420"/>
      </w:pPr>
    </w:lvl>
    <w:lvl w:ilvl="8" w:tentative="0">
      <w:start w:val="1"/>
      <w:numFmt w:val="lowerRoman"/>
      <w:lvlText w:val="%9."/>
      <w:lvlJc w:val="right"/>
      <w:pPr>
        <w:ind w:left="4438" w:hanging="42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lvlText w:val="（%1）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7DE1E4A9"/>
    <w:multiLevelType w:val="singleLevel"/>
    <w:tmpl w:val="7DE1E4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8C363AF"/>
    <w:rsid w:val="12794927"/>
    <w:rsid w:val="391F5B13"/>
    <w:rsid w:val="4AFF5CEB"/>
    <w:rsid w:val="555B56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rFonts w:ascii="Times New Roman" w:hAnsi="Times New Roman" w:eastAsia="宋体" w:cs="Times New Roman"/>
      <w:b/>
      <w:bCs/>
      <w:sz w:val="21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qFormat/>
    <w:uiPriority w:val="0"/>
    <w:rPr>
      <w:rFonts w:ascii="仿宋" w:hAnsi="仿宋" w:eastAsia="仿宋" w:cs="仿宋"/>
      <w:sz w:val="20"/>
      <w:szCs w:val="20"/>
      <w:lang w:val="en-US" w:eastAsia="en-US" w:bidi="ar-SA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3864</Words>
  <Characters>3980</Characters>
  <Paragraphs>122</Paragraphs>
  <TotalTime>1</TotalTime>
  <ScaleCrop>false</ScaleCrop>
  <LinksUpToDate>false</LinksUpToDate>
  <CharactersWithSpaces>4015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2024-12-20T10:55:00Z</dcterms:created>
  <dc:creator>微软用户</dc:creator>
  <cp:lastModifiedBy>王贵宝</cp:lastModifiedBy>
  <dcterms:modified xsi:type="dcterms:W3CDTF">2026-04-16T12:52:13Z</dcterms:modified>
  <dc:title>标准编制说明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2024-12-24T11:02:52Z</vt:filetime>
  </property>
  <property fmtid="{D5CDD505-2E9C-101B-9397-08002B2CF9AE}" pid="4" name="KSOProductBuildVer">
    <vt:lpwstr>2052-12.1.0.25225</vt:lpwstr>
  </property>
  <property fmtid="{D5CDD505-2E9C-101B-9397-08002B2CF9AE}" pid="5" name="ICV">
    <vt:lpwstr>E0EAB88176D54D2CBB0800E38C3B8642_13</vt:lpwstr>
  </property>
  <property fmtid="{D5CDD505-2E9C-101B-9397-08002B2CF9AE}" pid="6" name="KSOTemplateDocerSaveRecord">
    <vt:lpwstr>eyJoZGlkIjoiMzEwNTM5NzYwMDRjMzkwZTVkZjY2ODkwMGIxNGU0OTUiLCJ1c2VySWQiOiI0MzE0MTUxMDYifQ==</vt:lpwstr>
  </property>
</Properties>
</file>