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C8D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kern w:val="2"/>
          <w:sz w:val="32"/>
          <w:szCs w:val="36"/>
          <w:lang w:val="en-US" w:eastAsia="zh-CN" w:bidi="ar-SA"/>
        </w:rPr>
      </w:pPr>
      <w:r>
        <w:rPr>
          <w:rFonts w:hint="eastAsia" w:ascii="黑体" w:hAnsi="黑体" w:eastAsia="黑体" w:cs="黑体"/>
          <w:color w:val="auto"/>
          <w:sz w:val="32"/>
          <w:szCs w:val="32"/>
          <w:lang w:val="en-US" w:eastAsia="zh-CN"/>
        </w:rPr>
        <w:t>附件：</w:t>
      </w:r>
    </w:p>
    <w:p w14:paraId="1B9ED37F">
      <w:pPr>
        <w:pStyle w:val="7"/>
        <w:numPr>
          <w:ilvl w:val="0"/>
          <w:numId w:val="0"/>
        </w:numPr>
        <w:spacing w:line="480" w:lineRule="auto"/>
        <w:ind w:leftChars="0" w:firstLine="640" w:firstLineChars="200"/>
        <w:rPr>
          <w:rFonts w:hint="eastAsia" w:ascii="黑体" w:hAnsi="黑体" w:eastAsia="黑体" w:cs="黑体"/>
          <w:b w:val="0"/>
          <w:bCs w:val="0"/>
          <w:kern w:val="2"/>
          <w:sz w:val="32"/>
          <w:szCs w:val="36"/>
          <w:lang w:val="en-US" w:eastAsia="zh-CN" w:bidi="ar-SA"/>
        </w:rPr>
      </w:pPr>
      <w:r>
        <w:rPr>
          <w:rFonts w:hint="eastAsia" w:ascii="黑体" w:hAnsi="黑体" w:eastAsia="黑体" w:cs="黑体"/>
          <w:b w:val="0"/>
          <w:bCs w:val="0"/>
          <w:kern w:val="2"/>
          <w:sz w:val="32"/>
          <w:szCs w:val="36"/>
          <w:lang w:val="en-US" w:eastAsia="zh-CN" w:bidi="ar-SA"/>
        </w:rPr>
        <w:t>一、服务要求</w:t>
      </w:r>
    </w:p>
    <w:p w14:paraId="404FC4D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（一）▲初次电话响应时间：30分钟内；现场响应时间：12小时内；</w:t>
      </w:r>
    </w:p>
    <w:p w14:paraId="4BBE51D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（二）▲投标人具备400客户服务专线电话，提供电话号码，保证24小时*365天有人接听。</w:t>
      </w:r>
    </w:p>
    <w:p w14:paraId="46F779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（三）▲保修范围：采购技术保服务，包括人工技术服务，常规维护保养，不限次数的人工上门维修，不包含配件。</w:t>
      </w:r>
    </w:p>
    <w:p w14:paraId="64F4DD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（四）▲维保公司对设备提供一年4次定期维护与保养，并提供维修、保养报告单，保养内容包括：记录并安排保养时间；对设备进行调校；确认各项技术指标及性能；记录设备状况；电气环境监测。</w:t>
      </w:r>
    </w:p>
    <w:p w14:paraId="4C521F6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（五）▲有完整的设备安全性能保证体系，并提供设备安全监测报告：制定检查计划；器械安全检查；电器安全检查；记录检查结果</w:t>
      </w:r>
    </w:p>
    <w:p w14:paraId="2596EBB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（六）▲投标人须提供至少3名影像设备专业培训的工程师名单，设备培训证书并附近六个月社保缴纳证明。</w:t>
      </w:r>
    </w:p>
    <w:p w14:paraId="0494823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（七）▲投标人须提供至少3名通过核技术利用辐射安全与防护考核合格的常驻工程师，提供工程师资质证明及近六个月社保证明复印件。</w:t>
      </w:r>
    </w:p>
    <w:p w14:paraId="4A2DB14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供应商需保证机器开机率达到95%及以上（除因配件采购流程、物流运输异常、不可抗力因素等特殊情况外），按一年365天每天24小时计算，若设备未达到以上开机率保证，停机每超出一天，对应设备的维保期限自动延长两天，所需费用包含在供应商报价中。</w:t>
      </w:r>
    </w:p>
    <w:p w14:paraId="65FE353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如需供应商维修更换的配件必须为合法正规、全新、合格配件，能匹配现有维保设备正常运转，维修更换配件后的设备技术参数需要满足采购人正常使用要求。（提供近3年从厂家或代理商采购备件的发票证明，不少于5份）</w:t>
      </w:r>
    </w:p>
    <w:p w14:paraId="74E5D26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（十）▲供应商应提供智能远程诊断与监测系统，该系统需包含以下功能并附上功能截图：通过远程监控系统，实时监控医学设备的运行状态、高价值配件如球管的状态，并实时检测异常情况。</w:t>
      </w:r>
      <w:bookmarkStart w:id="0" w:name="_GoBack"/>
      <w:bookmarkEnd w:id="0"/>
    </w:p>
    <w:p w14:paraId="63773086">
      <w:pPr>
        <w:pStyle w:val="7"/>
        <w:numPr>
          <w:ilvl w:val="0"/>
          <w:numId w:val="0"/>
        </w:numPr>
        <w:spacing w:line="480" w:lineRule="auto"/>
        <w:ind w:leftChars="0" w:firstLine="640" w:firstLineChars="200"/>
        <w:rPr>
          <w:rFonts w:hint="eastAsia" w:ascii="黑体" w:hAnsi="黑体" w:eastAsia="黑体" w:cs="黑体"/>
          <w:b w:val="0"/>
          <w:bCs w:val="0"/>
          <w:kern w:val="2"/>
          <w:sz w:val="32"/>
          <w:szCs w:val="36"/>
          <w:lang w:val="en-US" w:eastAsia="zh-CN" w:bidi="ar-SA"/>
        </w:rPr>
      </w:pPr>
      <w:r>
        <w:rPr>
          <w:rFonts w:hint="eastAsia" w:ascii="黑体" w:hAnsi="黑体" w:eastAsia="黑体" w:cs="黑体"/>
          <w:b w:val="0"/>
          <w:bCs w:val="0"/>
          <w:kern w:val="2"/>
          <w:sz w:val="32"/>
          <w:szCs w:val="36"/>
          <w:lang w:val="en-US" w:eastAsia="zh-CN" w:bidi="ar-SA"/>
        </w:rPr>
        <w:t>二、打分标准</w:t>
      </w:r>
    </w:p>
    <w:tbl>
      <w:tblPr>
        <w:tblStyle w:val="5"/>
        <w:tblW w:w="500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82"/>
        <w:gridCol w:w="1192"/>
        <w:gridCol w:w="800"/>
        <w:gridCol w:w="5550"/>
      </w:tblGrid>
      <w:tr w14:paraId="405F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1275" w:type="pct"/>
            <w:gridSpan w:val="2"/>
            <w:tcBorders>
              <w:top w:val="single" w:color="000000" w:sz="6" w:space="0"/>
              <w:left w:val="single" w:color="000000" w:sz="6" w:space="0"/>
              <w:bottom w:val="single" w:color="000000" w:sz="6" w:space="0"/>
              <w:right w:val="single" w:color="000000" w:sz="6" w:space="0"/>
            </w:tcBorders>
            <w:vAlign w:val="center"/>
          </w:tcPr>
          <w:p w14:paraId="EB97A02F">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评标项目</w:t>
            </w:r>
          </w:p>
        </w:tc>
        <w:tc>
          <w:tcPr>
            <w:tcW w:w="469" w:type="pct"/>
            <w:tcBorders>
              <w:top w:val="single" w:color="000000" w:sz="6" w:space="0"/>
              <w:left w:val="single" w:color="000000" w:sz="6" w:space="0"/>
              <w:bottom w:val="single" w:color="auto" w:sz="4" w:space="0"/>
              <w:right w:val="single" w:color="000000" w:sz="6" w:space="0"/>
            </w:tcBorders>
            <w:vAlign w:val="center"/>
          </w:tcPr>
          <w:p w14:paraId="6BD3950F">
            <w:pPr>
              <w:spacing w:line="360" w:lineRule="auto"/>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分值</w:t>
            </w:r>
          </w:p>
        </w:tc>
        <w:tc>
          <w:tcPr>
            <w:tcW w:w="3255" w:type="pct"/>
            <w:tcBorders>
              <w:top w:val="single" w:color="000000" w:sz="6" w:space="0"/>
              <w:left w:val="single" w:color="000000" w:sz="6" w:space="0"/>
              <w:bottom w:val="single" w:color="000000" w:sz="6" w:space="0"/>
              <w:right w:val="single" w:color="000000" w:sz="6" w:space="0"/>
            </w:tcBorders>
            <w:vAlign w:val="center"/>
          </w:tcPr>
          <w:p w14:paraId="C545ADEE">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评分内容及打分办法</w:t>
            </w:r>
          </w:p>
        </w:tc>
      </w:tr>
      <w:tr w14:paraId="A0E3E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576" w:type="pct"/>
            <w:tcBorders>
              <w:top w:val="single" w:color="000000" w:sz="6" w:space="0"/>
              <w:left w:val="single" w:color="000000" w:sz="6" w:space="0"/>
              <w:bottom w:val="single" w:color="000000" w:sz="6" w:space="0"/>
              <w:right w:val="single" w:color="auto" w:sz="4" w:space="0"/>
            </w:tcBorders>
            <w:vAlign w:val="center"/>
          </w:tcPr>
          <w:p w14:paraId="F2534BAA">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报价分</w:t>
            </w:r>
          </w:p>
          <w:p w14:paraId="2B7C256B">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（15分）</w:t>
            </w:r>
          </w:p>
        </w:tc>
        <w:tc>
          <w:tcPr>
            <w:tcW w:w="699" w:type="pct"/>
            <w:tcBorders>
              <w:top w:val="single" w:color="000000" w:sz="6" w:space="0"/>
              <w:left w:val="single" w:color="auto" w:sz="4" w:space="0"/>
              <w:bottom w:val="single" w:color="000000" w:sz="6" w:space="0"/>
              <w:right w:val="single" w:color="000000" w:sz="6" w:space="0"/>
            </w:tcBorders>
            <w:vAlign w:val="center"/>
          </w:tcPr>
          <w:p w14:paraId="63C56D6C">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报价</w:t>
            </w:r>
          </w:p>
        </w:tc>
        <w:tc>
          <w:tcPr>
            <w:tcW w:w="469" w:type="pct"/>
            <w:tcBorders>
              <w:top w:val="single" w:color="000000" w:sz="6" w:space="0"/>
              <w:left w:val="single" w:color="000000" w:sz="6" w:space="0"/>
              <w:bottom w:val="single" w:color="auto" w:sz="4" w:space="0"/>
              <w:right w:val="single" w:color="000000" w:sz="6" w:space="0"/>
            </w:tcBorders>
            <w:vAlign w:val="center"/>
          </w:tcPr>
          <w:p w14:paraId="E7556766">
            <w:pPr>
              <w:spacing w:line="360" w:lineRule="auto"/>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15分</w:t>
            </w:r>
          </w:p>
        </w:tc>
        <w:tc>
          <w:tcPr>
            <w:tcW w:w="3255" w:type="pct"/>
            <w:tcBorders>
              <w:top w:val="single" w:color="000000" w:sz="6" w:space="0"/>
              <w:left w:val="single" w:color="000000" w:sz="6" w:space="0"/>
              <w:bottom w:val="single" w:color="000000" w:sz="6" w:space="0"/>
              <w:right w:val="single" w:color="000000" w:sz="6" w:space="0"/>
            </w:tcBorders>
            <w:vAlign w:val="center"/>
          </w:tcPr>
          <w:p w14:paraId="D68C47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t>计算方法：价格分=（评标基准价/有效投标报价）×15。</w:t>
            </w:r>
          </w:p>
          <w:p w14:paraId="B687C8B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t>注：评标基准价指满足招标文件要求的所有供应商有效投标价格的最低报价；有效投标报价指满足招标文件要求的各投标供应商的投标报价；</w:t>
            </w:r>
          </w:p>
        </w:tc>
      </w:tr>
      <w:tr w14:paraId="EC72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4" w:hRule="atLeast"/>
          <w:jc w:val="center"/>
        </w:trPr>
        <w:tc>
          <w:tcPr>
            <w:tcW w:w="576" w:type="pct"/>
            <w:vMerge w:val="restart"/>
            <w:tcBorders>
              <w:top w:val="single" w:color="000000" w:sz="6" w:space="0"/>
              <w:left w:val="single" w:color="000000" w:sz="6" w:space="0"/>
              <w:right w:val="single" w:color="000000" w:sz="6" w:space="0"/>
            </w:tcBorders>
            <w:vAlign w:val="center"/>
          </w:tcPr>
          <w:p w14:paraId="637AEBC7">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技术分</w:t>
            </w:r>
          </w:p>
          <w:p w14:paraId="078BFB1C">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（55分）</w:t>
            </w:r>
          </w:p>
        </w:tc>
        <w:tc>
          <w:tcPr>
            <w:tcW w:w="699" w:type="pct"/>
            <w:tcBorders>
              <w:top w:val="single" w:color="auto" w:sz="4" w:space="0"/>
              <w:left w:val="single" w:color="000000" w:sz="6" w:space="0"/>
              <w:right w:val="single" w:color="000000" w:sz="6" w:space="0"/>
            </w:tcBorders>
            <w:vAlign w:val="center"/>
          </w:tcPr>
          <w:p w14:paraId="1D078799">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服务要求响应</w:t>
            </w:r>
          </w:p>
        </w:tc>
        <w:tc>
          <w:tcPr>
            <w:tcW w:w="469" w:type="pct"/>
            <w:tcBorders>
              <w:top w:val="single" w:color="auto" w:sz="4" w:space="0"/>
              <w:left w:val="single" w:color="000000" w:sz="6" w:space="0"/>
              <w:right w:val="single" w:color="000000" w:sz="6" w:space="0"/>
            </w:tcBorders>
            <w:vAlign w:val="center"/>
          </w:tcPr>
          <w:p w14:paraId="3E8BDBB9">
            <w:pPr>
              <w:spacing w:line="360" w:lineRule="auto"/>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30分</w:t>
            </w:r>
          </w:p>
        </w:tc>
        <w:tc>
          <w:tcPr>
            <w:tcW w:w="3255" w:type="pct"/>
            <w:tcBorders>
              <w:top w:val="single" w:color="000000" w:sz="6" w:space="0"/>
              <w:left w:val="single" w:color="000000" w:sz="6" w:space="0"/>
              <w:bottom w:val="single" w:color="auto" w:sz="4" w:space="0"/>
              <w:right w:val="single" w:color="000000" w:sz="6" w:space="0"/>
            </w:tcBorders>
            <w:vAlign w:val="center"/>
          </w:tcPr>
          <w:p w14:paraId="C3A7CE7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t>完全满足招标文件服务要求，并能提供证明文件的得30分，条款不满足的一项扣3分，扣完为止。</w:t>
            </w:r>
          </w:p>
        </w:tc>
      </w:tr>
      <w:tr w14:paraId="DE57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64" w:hRule="atLeast"/>
          <w:jc w:val="center"/>
        </w:trPr>
        <w:tc>
          <w:tcPr>
            <w:tcW w:w="576" w:type="pct"/>
            <w:vMerge w:val="continue"/>
            <w:tcBorders>
              <w:left w:val="single" w:color="000000" w:sz="6" w:space="0"/>
              <w:right w:val="single" w:color="000000" w:sz="6" w:space="0"/>
            </w:tcBorders>
            <w:vAlign w:val="center"/>
          </w:tcPr>
          <w:p w14:paraId="DC11A1F3">
            <w:pPr>
              <w:spacing w:line="360" w:lineRule="auto"/>
              <w:jc w:val="center"/>
              <w:rPr>
                <w:rFonts w:hint="eastAsia" w:ascii="仿宋" w:hAnsi="仿宋" w:eastAsia="仿宋" w:cs="仿宋"/>
                <w:b w:val="0"/>
                <w:bCs/>
                <w:kern w:val="2"/>
                <w:sz w:val="24"/>
                <w:szCs w:val="24"/>
                <w:lang w:val="en-US" w:eastAsia="zh-CN" w:bidi="ar-SA"/>
              </w:rPr>
            </w:pPr>
          </w:p>
        </w:tc>
        <w:tc>
          <w:tcPr>
            <w:tcW w:w="699" w:type="pct"/>
            <w:tcBorders>
              <w:top w:val="single" w:color="auto" w:sz="4" w:space="0"/>
              <w:left w:val="single" w:color="000000" w:sz="6" w:space="0"/>
              <w:right w:val="single" w:color="000000" w:sz="6" w:space="0"/>
            </w:tcBorders>
            <w:vAlign w:val="center"/>
          </w:tcPr>
          <w:p w14:paraId="C0828EBF">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服务方案</w:t>
            </w:r>
          </w:p>
        </w:tc>
        <w:tc>
          <w:tcPr>
            <w:tcW w:w="469" w:type="pct"/>
            <w:tcBorders>
              <w:top w:val="single" w:color="auto" w:sz="4" w:space="0"/>
              <w:left w:val="single" w:color="000000" w:sz="6" w:space="0"/>
              <w:right w:val="single" w:color="000000" w:sz="6" w:space="0"/>
            </w:tcBorders>
            <w:vAlign w:val="center"/>
          </w:tcPr>
          <w:p w14:paraId="3AF367D1">
            <w:pPr>
              <w:spacing w:line="360" w:lineRule="auto"/>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15分</w:t>
            </w:r>
          </w:p>
        </w:tc>
        <w:tc>
          <w:tcPr>
            <w:tcW w:w="3255" w:type="pct"/>
            <w:tcBorders>
              <w:top w:val="single" w:color="000000" w:sz="6" w:space="0"/>
              <w:left w:val="single" w:color="000000" w:sz="6" w:space="0"/>
              <w:bottom w:val="single" w:color="auto" w:sz="4" w:space="0"/>
              <w:right w:val="single" w:color="000000" w:sz="6" w:space="0"/>
            </w:tcBorders>
            <w:vAlign w:val="center"/>
          </w:tcPr>
          <w:p w14:paraId="6B3C34F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t>根据供应商提供的项目实施方案进行综合评审，项目整体实施方案须包含但不限于：①项目技术保障方案，②零配件保障方案、③维保服务期内巡检维保计划及措施，④培训方案等。</w:t>
            </w:r>
          </w:p>
          <w:p w14:paraId="1F694D38">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t>方案详尽、明晰、合理、可操作特别强的，得15分；较强的得10分；一般的得5分；未提供不得分。</w:t>
            </w:r>
          </w:p>
          <w:p w14:paraId="4A7B40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pPr>
          </w:p>
        </w:tc>
      </w:tr>
      <w:tr w14:paraId="1D6A7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576" w:type="pct"/>
            <w:vMerge w:val="continue"/>
            <w:tcBorders>
              <w:left w:val="single" w:color="000000" w:sz="6" w:space="0"/>
              <w:right w:val="single" w:color="000000" w:sz="6" w:space="0"/>
            </w:tcBorders>
            <w:vAlign w:val="center"/>
          </w:tcPr>
          <w:p w14:paraId="0DCE0A93">
            <w:pPr>
              <w:spacing w:line="360" w:lineRule="auto"/>
              <w:jc w:val="center"/>
              <w:rPr>
                <w:rFonts w:hint="eastAsia" w:ascii="仿宋" w:hAnsi="仿宋" w:eastAsia="仿宋" w:cs="仿宋"/>
                <w:b w:val="0"/>
                <w:bCs/>
                <w:kern w:val="2"/>
                <w:sz w:val="24"/>
                <w:szCs w:val="24"/>
                <w:lang w:val="en-US" w:eastAsia="zh-CN" w:bidi="ar-SA"/>
              </w:rPr>
            </w:pPr>
          </w:p>
        </w:tc>
        <w:tc>
          <w:tcPr>
            <w:tcW w:w="699" w:type="pct"/>
            <w:tcBorders>
              <w:top w:val="single" w:color="auto" w:sz="4" w:space="0"/>
              <w:left w:val="single" w:color="000000" w:sz="6" w:space="0"/>
              <w:right w:val="single" w:color="000000" w:sz="6" w:space="0"/>
            </w:tcBorders>
            <w:vAlign w:val="center"/>
          </w:tcPr>
          <w:p w14:paraId="7F8D74FD">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应急响应</w:t>
            </w:r>
          </w:p>
        </w:tc>
        <w:tc>
          <w:tcPr>
            <w:tcW w:w="469" w:type="pct"/>
            <w:tcBorders>
              <w:top w:val="single" w:color="auto" w:sz="4" w:space="0"/>
              <w:left w:val="single" w:color="000000" w:sz="6" w:space="0"/>
              <w:right w:val="single" w:color="000000" w:sz="6" w:space="0"/>
            </w:tcBorders>
            <w:vAlign w:val="center"/>
          </w:tcPr>
          <w:p w14:paraId="42E1D322">
            <w:pPr>
              <w:spacing w:line="360" w:lineRule="auto"/>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10分</w:t>
            </w:r>
          </w:p>
        </w:tc>
        <w:tc>
          <w:tcPr>
            <w:tcW w:w="3255" w:type="pct"/>
            <w:tcBorders>
              <w:top w:val="single" w:color="000000" w:sz="6" w:space="0"/>
              <w:left w:val="single" w:color="000000" w:sz="6" w:space="0"/>
              <w:bottom w:val="single" w:color="auto" w:sz="4" w:space="0"/>
              <w:right w:val="single" w:color="000000" w:sz="6" w:space="0"/>
            </w:tcBorders>
            <w:vAlign w:val="center"/>
          </w:tcPr>
          <w:p w14:paraId="594883C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t>投标人结合对本项目的理解和实际维保要求提供针对本项目的应急方案，包含：（1）突发事件的人力与物力投入；（2）应急响应时间及处理方法。以上2项内容齐全且满足本项目需求的得10分；</w:t>
            </w:r>
          </w:p>
          <w:p w14:paraId="463C00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pPr>
          </w:p>
        </w:tc>
      </w:tr>
      <w:tr w14:paraId="2770E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576" w:type="pct"/>
            <w:vMerge w:val="restart"/>
            <w:tcBorders>
              <w:top w:val="single" w:color="auto" w:sz="4" w:space="0"/>
              <w:left w:val="single" w:color="000000" w:sz="6" w:space="0"/>
              <w:right w:val="single" w:color="000000" w:sz="6" w:space="0"/>
            </w:tcBorders>
            <w:vAlign w:val="center"/>
          </w:tcPr>
          <w:p w14:paraId="5CE4B2EE">
            <w:pPr>
              <w:spacing w:line="360" w:lineRule="auto"/>
              <w:jc w:val="center"/>
              <w:rPr>
                <w:rFonts w:hint="eastAsia" w:ascii="仿宋" w:hAnsi="仿宋" w:eastAsia="仿宋" w:cs="仿宋"/>
                <w:b w:val="0"/>
                <w:bCs/>
                <w:iCs/>
                <w:sz w:val="24"/>
                <w:szCs w:val="24"/>
                <w:lang w:val="en-US" w:eastAsia="zh-CN"/>
              </w:rPr>
            </w:pPr>
            <w:r>
              <w:rPr>
                <w:rFonts w:hint="eastAsia" w:ascii="仿宋" w:hAnsi="仿宋" w:eastAsia="仿宋" w:cs="仿宋"/>
                <w:b w:val="0"/>
                <w:bCs/>
                <w:iCs/>
                <w:sz w:val="24"/>
                <w:szCs w:val="24"/>
              </w:rPr>
              <w:t>商务</w:t>
            </w:r>
            <w:r>
              <w:rPr>
                <w:rFonts w:hint="eastAsia" w:ascii="仿宋" w:hAnsi="仿宋" w:eastAsia="仿宋" w:cs="仿宋"/>
                <w:b w:val="0"/>
                <w:bCs/>
                <w:iCs/>
                <w:sz w:val="24"/>
                <w:szCs w:val="24"/>
                <w:lang w:val="en-US" w:eastAsia="zh-CN"/>
              </w:rPr>
              <w:t>要求</w:t>
            </w:r>
          </w:p>
          <w:p w14:paraId="B1B52C45">
            <w:pPr>
              <w:spacing w:line="360" w:lineRule="auto"/>
              <w:jc w:val="center"/>
              <w:rPr>
                <w:rFonts w:hint="eastAsia" w:ascii="仿宋" w:hAnsi="仿宋" w:eastAsia="仿宋" w:cs="仿宋"/>
                <w:b w:val="0"/>
                <w:bCs/>
                <w:iCs/>
                <w:sz w:val="24"/>
                <w:szCs w:val="24"/>
              </w:rPr>
            </w:pPr>
            <w:r>
              <w:rPr>
                <w:rFonts w:hint="eastAsia" w:ascii="仿宋" w:hAnsi="仿宋" w:eastAsia="仿宋" w:cs="仿宋"/>
                <w:b w:val="0"/>
                <w:bCs/>
                <w:iCs/>
                <w:sz w:val="24"/>
                <w:szCs w:val="24"/>
                <w:lang w:val="en-US" w:eastAsia="zh-CN"/>
              </w:rPr>
              <w:t>30</w:t>
            </w:r>
            <w:r>
              <w:rPr>
                <w:rFonts w:hint="eastAsia" w:ascii="仿宋" w:hAnsi="仿宋" w:eastAsia="仿宋" w:cs="仿宋"/>
                <w:b w:val="0"/>
                <w:bCs/>
                <w:iCs/>
                <w:sz w:val="24"/>
                <w:szCs w:val="24"/>
              </w:rPr>
              <w:t>%</w:t>
            </w:r>
          </w:p>
        </w:tc>
        <w:tc>
          <w:tcPr>
            <w:tcW w:w="699" w:type="pct"/>
            <w:tcBorders>
              <w:top w:val="single" w:color="000000" w:sz="6" w:space="0"/>
              <w:left w:val="single" w:color="000000" w:sz="6" w:space="0"/>
              <w:bottom w:val="single" w:color="000000" w:sz="6" w:space="0"/>
              <w:right w:val="single" w:color="auto" w:sz="4" w:space="0"/>
            </w:tcBorders>
            <w:vAlign w:val="center"/>
          </w:tcPr>
          <w:p w14:paraId="DC85C611">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业绩</w:t>
            </w:r>
          </w:p>
        </w:tc>
        <w:tc>
          <w:tcPr>
            <w:tcW w:w="469" w:type="pct"/>
            <w:tcBorders>
              <w:top w:val="single" w:color="000000" w:sz="6" w:space="0"/>
              <w:left w:val="single" w:color="auto" w:sz="4" w:space="0"/>
              <w:bottom w:val="single" w:color="000000" w:sz="6" w:space="0"/>
              <w:right w:val="single" w:color="000000" w:sz="6" w:space="0"/>
            </w:tcBorders>
            <w:vAlign w:val="center"/>
          </w:tcPr>
          <w:p w14:paraId="42F53A50">
            <w:pPr>
              <w:spacing w:line="360" w:lineRule="auto"/>
              <w:ind w:left="-1" w:leftChars="-1" w:hanging="1"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iCs/>
                <w:sz w:val="24"/>
                <w:szCs w:val="24"/>
                <w:lang w:val="en-US" w:eastAsia="zh-CN"/>
              </w:rPr>
              <w:t>15分</w:t>
            </w:r>
          </w:p>
        </w:tc>
        <w:tc>
          <w:tcPr>
            <w:tcW w:w="3255" w:type="pct"/>
            <w:tcBorders>
              <w:top w:val="single" w:color="000000" w:sz="6" w:space="0"/>
              <w:left w:val="single" w:color="000000" w:sz="6" w:space="0"/>
              <w:bottom w:val="single" w:color="000000" w:sz="6" w:space="0"/>
              <w:right w:val="single" w:color="000000" w:sz="6" w:space="0"/>
            </w:tcBorders>
            <w:vAlign w:val="center"/>
          </w:tcPr>
          <w:p w14:paraId="0DDE77D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i w:val="0"/>
                <w:color w:val="000000" w:themeColor="text1"/>
                <w:kern w:val="2"/>
                <w:sz w:val="24"/>
                <w:szCs w:val="24"/>
                <w:lang w:val="en-US" w:eastAsia="zh-CN" w:bidi="ar-SA"/>
                <w14:textFill>
                  <w14:solidFill>
                    <w14:schemeClr w14:val="tx1"/>
                  </w14:solidFill>
                </w14:textFill>
              </w:rPr>
              <w:t>供应商提供自2024年以来同类维保业绩。同类维保业绩指：签订的维保业绩需涵盖本次维保设备类型（DSA、CT、DR），提供1项类型得5分，最高3项类型得15分。供应商须提供合同复印件需清晰可见维保设备类型、时间并加盖公章，供应商对提供材料真实性负责，未提供或提供的材料出现缺页等不符合要求视为未提供的不得分。</w:t>
            </w:r>
          </w:p>
        </w:tc>
      </w:tr>
      <w:tr w14:paraId="B41A7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85" w:hRule="atLeast"/>
          <w:jc w:val="center"/>
        </w:trPr>
        <w:tc>
          <w:tcPr>
            <w:tcW w:w="576" w:type="pct"/>
            <w:vMerge w:val="continue"/>
            <w:tcBorders>
              <w:left w:val="single" w:color="000000" w:sz="6" w:space="0"/>
              <w:right w:val="single" w:color="000000" w:sz="6" w:space="0"/>
            </w:tcBorders>
            <w:vAlign w:val="center"/>
          </w:tcPr>
          <w:p w14:paraId="3B838595">
            <w:pPr>
              <w:spacing w:line="360" w:lineRule="auto"/>
              <w:jc w:val="center"/>
              <w:rPr>
                <w:rFonts w:hint="eastAsia" w:ascii="仿宋" w:hAnsi="仿宋" w:eastAsia="仿宋" w:cs="仿宋"/>
                <w:b w:val="0"/>
                <w:bCs/>
                <w:iCs/>
                <w:sz w:val="24"/>
                <w:szCs w:val="24"/>
              </w:rPr>
            </w:pPr>
          </w:p>
        </w:tc>
        <w:tc>
          <w:tcPr>
            <w:tcW w:w="699" w:type="pct"/>
            <w:tcBorders>
              <w:top w:val="single" w:color="000000" w:sz="6" w:space="0"/>
              <w:left w:val="single" w:color="000000" w:sz="6" w:space="0"/>
              <w:right w:val="single" w:color="auto" w:sz="4" w:space="0"/>
            </w:tcBorders>
            <w:vAlign w:val="center"/>
          </w:tcPr>
          <w:p w14:paraId="8F6F70FF">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企业资质</w:t>
            </w:r>
          </w:p>
        </w:tc>
        <w:tc>
          <w:tcPr>
            <w:tcW w:w="469" w:type="pct"/>
            <w:tcBorders>
              <w:top w:val="single" w:color="000000" w:sz="6" w:space="0"/>
              <w:left w:val="single" w:color="auto" w:sz="4" w:space="0"/>
              <w:bottom w:val="single" w:color="000000" w:sz="6" w:space="0"/>
              <w:right w:val="single" w:color="000000" w:sz="6" w:space="0"/>
            </w:tcBorders>
            <w:vAlign w:val="center"/>
          </w:tcPr>
          <w:p w14:paraId="0941ED9A">
            <w:pPr>
              <w:spacing w:line="360" w:lineRule="auto"/>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15分</w:t>
            </w:r>
          </w:p>
        </w:tc>
        <w:tc>
          <w:tcPr>
            <w:tcW w:w="3255" w:type="pct"/>
            <w:tcBorders>
              <w:top w:val="single" w:color="000000" w:sz="6" w:space="0"/>
              <w:left w:val="single" w:color="000000" w:sz="6" w:space="0"/>
              <w:right w:val="single" w:color="000000" w:sz="6" w:space="0"/>
            </w:tcBorders>
            <w:vAlign w:val="center"/>
          </w:tcPr>
          <w:p w14:paraId="6D4787EC">
            <w:pPr>
              <w:bidi w:val="0"/>
              <w:ind w:left="0" w:leftChars="0" w:firstLine="0" w:firstLineChars="0"/>
              <w:rPr>
                <w:rFonts w:hint="eastAsia" w:ascii="仿宋" w:hAnsi="仿宋" w:eastAsia="仿宋" w:cs="仿宋"/>
                <w:b w:val="0"/>
                <w:bCs/>
                <w:sz w:val="24"/>
                <w:szCs w:val="24"/>
                <w:lang w:eastAsia="zh-CN"/>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1）供应商具有质量管理体系认证、环境管理体系认证、职业健康安全管理体系认证、医疗器械质量管理体系认证、售后服务体系认证的证书，提供齐全得5分</w:t>
            </w:r>
            <w:r>
              <w:rPr>
                <w:rFonts w:hint="eastAsia" w:ascii="仿宋" w:hAnsi="仿宋" w:eastAsia="仿宋" w:cs="仿宋"/>
                <w:b w:val="0"/>
                <w:bCs/>
                <w:sz w:val="24"/>
                <w:szCs w:val="24"/>
              </w:rPr>
              <w:t>。</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需要提供证书以及国家市场监督管理总局的查询截图</w:t>
            </w:r>
            <w:r>
              <w:rPr>
                <w:rFonts w:hint="eastAsia" w:ascii="仿宋" w:hAnsi="仿宋" w:eastAsia="仿宋" w:cs="仿宋"/>
                <w:b w:val="0"/>
                <w:bCs/>
                <w:sz w:val="24"/>
                <w:szCs w:val="24"/>
                <w:lang w:eastAsia="zh-CN"/>
              </w:rPr>
              <w:t>）</w:t>
            </w:r>
          </w:p>
          <w:p w14:paraId="4CFFAECC">
            <w:pPr>
              <w:pStyle w:val="2"/>
              <w:ind w:left="0" w:leftChars="0" w:firstLine="0" w:firstLine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(2)供应商具有医疗器械安装维修资质证书得5分，</w:t>
            </w:r>
          </w:p>
          <w:p w14:paraId="405427C0">
            <w:pPr>
              <w:pStyle w:val="2"/>
              <w:ind w:left="0" w:leftChars="0" w:firstLine="0" w:firstLineChars="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供应商具有有效的辐射安全许可证得</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分</w:t>
            </w:r>
          </w:p>
          <w:p w14:paraId="2F2088C5">
            <w:pPr>
              <w:spacing w:line="360" w:lineRule="auto"/>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未提供或缺项的不得分</w:t>
            </w:r>
            <w:r>
              <w:rPr>
                <w:rFonts w:hint="eastAsia" w:ascii="仿宋" w:hAnsi="仿宋" w:eastAsia="仿宋" w:cs="仿宋"/>
                <w:b w:val="0"/>
                <w:bCs/>
                <w:sz w:val="24"/>
                <w:szCs w:val="24"/>
              </w:rPr>
              <w:t>。</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需要提供证书复印件加盖供应商公章</w:t>
            </w:r>
            <w:r>
              <w:rPr>
                <w:rFonts w:hint="eastAsia" w:ascii="仿宋" w:hAnsi="仿宋" w:eastAsia="仿宋" w:cs="仿宋"/>
                <w:b w:val="0"/>
                <w:bCs/>
                <w:sz w:val="24"/>
                <w:szCs w:val="24"/>
                <w:lang w:eastAsia="zh-CN"/>
              </w:rPr>
              <w:t>）</w:t>
            </w:r>
          </w:p>
        </w:tc>
      </w:tr>
    </w:tbl>
    <w:p w14:paraId="73ACF6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说明：</w:t>
      </w:r>
    </w:p>
    <w:p w14:paraId="28DFA85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本项目采用综合打分法</w:t>
      </w:r>
      <w:r>
        <w:rPr>
          <w:rFonts w:hint="eastAsia" w:ascii="仿宋" w:hAnsi="仿宋" w:eastAsia="仿宋" w:cs="仿宋"/>
          <w:color w:val="auto"/>
          <w:sz w:val="32"/>
          <w:szCs w:val="32"/>
          <w:lang w:val="en-US" w:eastAsia="zh-CN"/>
        </w:rPr>
        <w:t>，获得最高分的投标单位为</w:t>
      </w:r>
      <w:r>
        <w:rPr>
          <w:rFonts w:hint="eastAsia" w:ascii="仿宋" w:hAnsi="仿宋" w:eastAsia="仿宋" w:cs="仿宋"/>
          <w:color w:val="auto"/>
          <w:sz w:val="32"/>
          <w:szCs w:val="32"/>
        </w:rPr>
        <w:t>中标候选人。评标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将按</w:t>
      </w:r>
      <w:r>
        <w:rPr>
          <w:rFonts w:hint="eastAsia" w:ascii="仿宋" w:hAnsi="仿宋" w:eastAsia="仿宋" w:cs="仿宋"/>
          <w:color w:val="auto"/>
          <w:sz w:val="32"/>
          <w:szCs w:val="32"/>
          <w:lang w:val="en-US" w:eastAsia="zh-CN"/>
        </w:rPr>
        <w:t>以上服务需求</w:t>
      </w:r>
      <w:r>
        <w:rPr>
          <w:rFonts w:hint="eastAsia" w:ascii="仿宋" w:hAnsi="仿宋" w:eastAsia="仿宋" w:cs="仿宋"/>
          <w:color w:val="auto"/>
          <w:sz w:val="32"/>
          <w:szCs w:val="32"/>
        </w:rPr>
        <w:t>和</w:t>
      </w:r>
      <w:r>
        <w:rPr>
          <w:rFonts w:hint="eastAsia" w:ascii="仿宋" w:hAnsi="仿宋" w:eastAsia="仿宋" w:cs="仿宋"/>
          <w:color w:val="auto"/>
          <w:sz w:val="32"/>
          <w:szCs w:val="32"/>
          <w:lang w:val="en-US" w:eastAsia="zh-CN"/>
        </w:rPr>
        <w:t>评分</w:t>
      </w:r>
      <w:r>
        <w:rPr>
          <w:rFonts w:hint="eastAsia" w:ascii="仿宋" w:hAnsi="仿宋" w:eastAsia="仿宋" w:cs="仿宋"/>
          <w:color w:val="auto"/>
          <w:sz w:val="32"/>
          <w:szCs w:val="32"/>
        </w:rPr>
        <w:t>标准进行</w:t>
      </w:r>
      <w:r>
        <w:rPr>
          <w:rFonts w:hint="eastAsia" w:ascii="仿宋" w:hAnsi="仿宋" w:eastAsia="仿宋" w:cs="仿宋"/>
          <w:color w:val="auto"/>
          <w:sz w:val="32"/>
          <w:szCs w:val="32"/>
          <w:lang w:val="en-US" w:eastAsia="zh-CN"/>
        </w:rPr>
        <w:t>比选</w:t>
      </w:r>
      <w:r>
        <w:rPr>
          <w:rFonts w:hint="eastAsia" w:ascii="仿宋" w:hAnsi="仿宋" w:eastAsia="仿宋" w:cs="仿宋"/>
          <w:color w:val="auto"/>
          <w:sz w:val="32"/>
          <w:szCs w:val="32"/>
        </w:rPr>
        <w:t>，总分值为100分。</w:t>
      </w:r>
    </w:p>
    <w:p w14:paraId="219AED7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供应商按上述要求如实提供相关证明材料，如未按要求提供或提供资料不全，则与之相关的评分项不予计分。</w:t>
      </w:r>
    </w:p>
    <w:p w14:paraId="0C27E8B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供应商提供的证明材料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扫描件</w:t>
      </w:r>
      <w:r>
        <w:rPr>
          <w:rFonts w:hint="eastAsia" w:ascii="仿宋" w:hAnsi="仿宋" w:eastAsia="仿宋" w:cs="仿宋"/>
          <w:color w:val="auto"/>
          <w:sz w:val="32"/>
          <w:szCs w:val="32"/>
          <w:lang w:val="en-US" w:eastAsia="zh-CN"/>
        </w:rPr>
        <w:t>或复印件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必须清晰有效，如因材料模糊不清评审小组无法辨认导致不得分的，责任由供应商自行承担。</w:t>
      </w:r>
    </w:p>
    <w:p w14:paraId="0C3E26B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4、请按以上评分标准的顺序依次盖章装订成册，密封（未密封无效），在采购会议开始之前未按时提交采购资料到采购会议现场，一律视为放弃本次采购。</w:t>
      </w:r>
    </w:p>
    <w:p w14:paraId="55EC293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5、供应商虚假应标的，一切后果由供应商自行承担。</w:t>
      </w:r>
    </w:p>
    <w:p w14:paraId="147C93D9">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D5AEF"/>
    <w:multiLevelType w:val="singleLevel"/>
    <w:tmpl w:val="C41D5A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D14B0"/>
    <w:rsid w:val="010A62C3"/>
    <w:rsid w:val="289A63EA"/>
    <w:rsid w:val="29ED14B0"/>
    <w:rsid w:val="6FD51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rPr>
  </w:style>
  <w:style w:type="paragraph" w:styleId="3">
    <w:name w:val="Normal Indent"/>
    <w:basedOn w:val="1"/>
    <w:unhideWhenUsed/>
    <w:qFormat/>
    <w:uiPriority w:val="99"/>
    <w:pPr>
      <w:adjustRightInd w:val="0"/>
      <w:snapToGrid w:val="0"/>
      <w:spacing w:line="360" w:lineRule="auto"/>
      <w:ind w:firstLine="420"/>
    </w:pPr>
    <w:rPr>
      <w:sz w:val="24"/>
      <w:szCs w:val="20"/>
    </w:rPr>
  </w:style>
  <w:style w:type="paragraph" w:styleId="4">
    <w:name w:val="Body Text"/>
    <w:basedOn w:val="1"/>
    <w:next w:val="1"/>
    <w:qFormat/>
    <w:uiPriority w:val="0"/>
    <w:pPr>
      <w:spacing w:line="324" w:lineRule="auto"/>
    </w:pPr>
    <w:rPr>
      <w:rFonts w:ascii="Calibri" w:hAnsi="Calibri" w:eastAsiaTheme="minorEastAsia" w:cstheme="minorBidi"/>
      <w:color w:val="993300"/>
      <w:sz w:val="24"/>
    </w:rPr>
  </w:style>
  <w:style w:type="paragraph" w:styleId="7">
    <w:name w:val="List Paragraph"/>
    <w:qFormat/>
    <w:uiPriority w:val="34"/>
    <w:pPr>
      <w:widowControl w:val="0"/>
      <w:ind w:firstLine="42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1635</Words>
  <Characters>1677</Characters>
  <Lines>0</Lines>
  <Paragraphs>0</Paragraphs>
  <TotalTime>2</TotalTime>
  <ScaleCrop>false</ScaleCrop>
  <LinksUpToDate>false</LinksUpToDate>
  <CharactersWithSpaces>1677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2026-03-30T04:44:00Z</dcterms:created>
  <dc:creator>固</dc:creator>
  <cp:lastModifiedBy>固</cp:lastModifiedBy>
  <cp:lastPrinted>2026-03-30T06:52:00Z</cp:lastPrinted>
  <dcterms:modified xsi:type="dcterms:W3CDTF">2026-03-31T00:52:19Z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8DC9E715245042AEAE3525E04C786B39_11</vt:lpwstr>
  </property>
  <property fmtid="{D5CDD505-2E9C-101B-9397-08002B2CF9AE}" pid="4" name="KSOTemplateDocerSaveRecord">
    <vt:lpwstr>eyJoZGlkIjoiN2NiZDZmNjgzNmIxOTU4ZmRjNjZlYWNiMGI0NWJjZTAiLCJ1c2VySWQiOiI0MzA1MzgwMTAifQ==</vt:lpwstr>
  </property>
</Properties>
</file>