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0F0D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Times New Roman"/>
          <w:b/>
          <w:bCs/>
          <w:color w:val="auto"/>
          <w:kern w:val="2"/>
          <w:sz w:val="28"/>
          <w:szCs w:val="28"/>
          <w:shd w:val="clear" w:color="auto" w:fill="FFFFFF"/>
          <w:lang w:val="en-US" w:eastAsia="zh-CN" w:bidi="ar-SA"/>
        </w:rPr>
      </w:pPr>
      <w:bookmarkStart w:id="0" w:name="_GoBack"/>
      <w:r>
        <w:rPr>
          <w:rFonts w:hint="eastAsia" w:ascii="仿宋" w:hAnsi="仿宋" w:eastAsia="仿宋" w:cs="Times New Roman"/>
          <w:b/>
          <w:bCs/>
          <w:color w:val="auto"/>
          <w:kern w:val="2"/>
          <w:sz w:val="28"/>
          <w:szCs w:val="28"/>
          <w:shd w:val="clear" w:color="auto" w:fill="FFFFFF"/>
          <w:lang w:val="en-US" w:eastAsia="zh-CN" w:bidi="ar-SA"/>
        </w:rPr>
        <w:t>附件：打分表</w:t>
      </w:r>
    </w:p>
    <w:bookmarkEnd w:id="0"/>
    <w:tbl>
      <w:tblPr>
        <w:tblStyle w:val="18"/>
        <w:tblW w:w="961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7289"/>
        <w:gridCol w:w="1170"/>
      </w:tblGrid>
      <w:tr w14:paraId="22F3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14:paraId="00E5A807">
            <w:pPr>
              <w:spacing w:line="360" w:lineRule="auto"/>
              <w:jc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评审项</w:t>
            </w:r>
          </w:p>
        </w:tc>
        <w:tc>
          <w:tcPr>
            <w:tcW w:w="7289" w:type="dxa"/>
            <w:vAlign w:val="center"/>
          </w:tcPr>
          <w:p w14:paraId="052FD034">
            <w:pPr>
              <w:pStyle w:val="5"/>
              <w:spacing w:line="360" w:lineRule="auto"/>
              <w:jc w:val="center"/>
              <w:rPr>
                <w:rFonts w:hint="default" w:ascii="宋体" w:hAnsi="宋体" w:eastAsia="宋体" w:cs="宋体"/>
                <w:color w:val="auto"/>
                <w:kern w:val="2"/>
                <w:sz w:val="21"/>
                <w:szCs w:val="21"/>
                <w:highlight w:val="yellow"/>
                <w:lang w:val="en-US" w:eastAsia="zh-CN" w:bidi="ar-SA"/>
              </w:rPr>
            </w:pPr>
            <w:r>
              <w:rPr>
                <w:rFonts w:hint="eastAsia" w:eastAsia="宋体"/>
                <w:color w:val="auto"/>
                <w:sz w:val="21"/>
                <w:szCs w:val="21"/>
                <w:highlight w:val="none"/>
                <w:lang w:val="en-US" w:eastAsia="zh-CN"/>
              </w:rPr>
              <w:t>评分标准</w:t>
            </w:r>
          </w:p>
        </w:tc>
        <w:tc>
          <w:tcPr>
            <w:tcW w:w="1170" w:type="dxa"/>
            <w:vAlign w:val="center"/>
          </w:tcPr>
          <w:p w14:paraId="678510B3">
            <w:pPr>
              <w:spacing w:line="360" w:lineRule="auto"/>
              <w:jc w:val="center"/>
              <w:rPr>
                <w:rFonts w:ascii="宋体" w:hAnsi="宋体" w:cs="宋体"/>
                <w:b/>
                <w:bCs/>
                <w:color w:val="auto"/>
                <w:sz w:val="21"/>
                <w:szCs w:val="21"/>
              </w:rPr>
            </w:pPr>
            <w:r>
              <w:rPr>
                <w:rFonts w:hint="eastAsia" w:ascii="宋体" w:hAnsi="宋体" w:cs="宋体"/>
                <w:color w:val="auto"/>
                <w:sz w:val="21"/>
                <w:szCs w:val="21"/>
                <w:lang w:val="en-US" w:eastAsia="zh-CN"/>
              </w:rPr>
              <w:t>分值</w:t>
            </w:r>
          </w:p>
        </w:tc>
      </w:tr>
      <w:tr w14:paraId="109F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160" w:type="dxa"/>
            <w:vAlign w:val="center"/>
          </w:tcPr>
          <w:p w14:paraId="648CAD92">
            <w:pPr>
              <w:spacing w:line="360" w:lineRule="auto"/>
              <w:jc w:val="center"/>
              <w:rPr>
                <w:rFonts w:hint="default" w:ascii="宋体" w:hAnsi="宋体" w:cs="宋体"/>
                <w:b/>
                <w:bCs/>
                <w:color w:val="auto"/>
                <w:szCs w:val="21"/>
                <w:lang w:val="en-US" w:eastAsia="zh-CN"/>
              </w:rPr>
            </w:pPr>
            <w:r>
              <w:rPr>
                <w:rFonts w:hint="eastAsia" w:ascii="宋体" w:hAnsi="宋体" w:cs="宋体"/>
                <w:b/>
                <w:bCs/>
                <w:color w:val="auto"/>
                <w:szCs w:val="21"/>
                <w:lang w:val="en-US" w:eastAsia="zh-CN"/>
              </w:rPr>
              <w:t>1.价格分</w:t>
            </w:r>
          </w:p>
        </w:tc>
        <w:tc>
          <w:tcPr>
            <w:tcW w:w="7289" w:type="dxa"/>
            <w:vAlign w:val="center"/>
          </w:tcPr>
          <w:p w14:paraId="46ED7326">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代理机构</w:t>
            </w:r>
            <w:r>
              <w:rPr>
                <w:rFonts w:hint="eastAsia" w:ascii="宋体" w:hAnsi="宋体" w:cs="宋体"/>
                <w:color w:val="auto"/>
                <w:szCs w:val="21"/>
              </w:rPr>
              <w:t>参照贵州省物价局、贵州省住房和城乡建设厅关于降低部分建设项目收费标准规范收费行为等有关问题的通知（黔价房【2011】69号）</w:t>
            </w:r>
            <w:r>
              <w:rPr>
                <w:rFonts w:hint="eastAsia" w:ascii="宋体" w:hAnsi="宋体" w:cs="宋体"/>
                <w:color w:val="auto"/>
                <w:szCs w:val="21"/>
                <w:lang w:val="en-US" w:eastAsia="zh-CN"/>
              </w:rPr>
              <w:t>收费标准为依据：</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10</w:t>
            </w:r>
            <w:r>
              <w:rPr>
                <w:rFonts w:hint="eastAsia" w:ascii="宋体" w:hAnsi="宋体" w:cs="宋体"/>
                <w:strike w:val="0"/>
                <w:dstrike w:val="0"/>
                <w:color w:val="auto"/>
                <w:szCs w:val="21"/>
                <w:u w:val="none"/>
                <w:lang w:val="en-US" w:eastAsia="zh-CN"/>
              </w:rPr>
              <w:t>0万项</w:t>
            </w:r>
            <w:r>
              <w:rPr>
                <w:rFonts w:hint="eastAsia" w:ascii="宋体" w:hAnsi="宋体" w:cs="宋体"/>
                <w:color w:val="auto"/>
                <w:szCs w:val="21"/>
                <w:lang w:val="en-US" w:eastAsia="zh-CN"/>
              </w:rPr>
              <w:t>目每下浮1个点得1分，满分10分。</w:t>
            </w:r>
          </w:p>
          <w:p w14:paraId="3734798A">
            <w:pPr>
              <w:pStyle w:val="7"/>
              <w:rPr>
                <w:rFonts w:hint="default"/>
                <w:lang w:val="en-US" w:eastAsia="zh-CN"/>
              </w:rPr>
            </w:pPr>
            <w:r>
              <w:rPr>
                <w:rFonts w:hint="eastAsia" w:ascii="宋体" w:hAnsi="宋体" w:eastAsia="宋体" w:cs="宋体"/>
                <w:b w:val="0"/>
                <w:bCs w:val="0"/>
                <w:color w:val="auto"/>
                <w:kern w:val="2"/>
                <w:sz w:val="21"/>
                <w:szCs w:val="21"/>
                <w:lang w:val="en-US" w:eastAsia="zh-CN" w:bidi="ar-SA"/>
              </w:rPr>
              <w:t>注：50≤预算金额≤100万的按照正常收取，小于50万的双方签订合同和同时约定。</w:t>
            </w:r>
          </w:p>
        </w:tc>
        <w:tc>
          <w:tcPr>
            <w:tcW w:w="1170" w:type="dxa"/>
            <w:vAlign w:val="center"/>
          </w:tcPr>
          <w:p w14:paraId="7D8FB001">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10分</w:t>
            </w:r>
          </w:p>
        </w:tc>
      </w:tr>
      <w:tr w14:paraId="28A1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160" w:type="dxa"/>
            <w:vAlign w:val="center"/>
          </w:tcPr>
          <w:p w14:paraId="06956322">
            <w:pPr>
              <w:spacing w:line="360" w:lineRule="auto"/>
              <w:jc w:val="center"/>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2.项目团队</w:t>
            </w:r>
          </w:p>
        </w:tc>
        <w:tc>
          <w:tcPr>
            <w:tcW w:w="7289" w:type="dxa"/>
            <w:vAlign w:val="center"/>
          </w:tcPr>
          <w:p w14:paraId="1FD84676">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b/>
                <w:bCs/>
                <w:color w:val="auto"/>
                <w:szCs w:val="21"/>
              </w:rPr>
              <w:t>项目团队服务人员从业经验及水平情况</w:t>
            </w:r>
            <w:r>
              <w:rPr>
                <w:rFonts w:hint="eastAsia" w:ascii="宋体" w:hAnsi="宋体" w:cs="宋体"/>
                <w:b/>
                <w:bCs/>
                <w:color w:val="auto"/>
                <w:szCs w:val="21"/>
                <w:lang w:eastAsia="zh-CN"/>
              </w:rPr>
              <w:t>：</w:t>
            </w:r>
          </w:p>
          <w:p w14:paraId="64E240DA">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招标采购代理机构须</w:t>
            </w:r>
            <w:r>
              <w:rPr>
                <w:rFonts w:hint="eastAsia" w:ascii="宋体" w:hAnsi="宋体" w:cs="宋体"/>
                <w:color w:val="auto"/>
                <w:szCs w:val="21"/>
              </w:rPr>
              <w:t>成立专门的项目组，项目</w:t>
            </w:r>
            <w:r>
              <w:rPr>
                <w:rFonts w:hint="eastAsia" w:ascii="宋体" w:hAnsi="宋体" w:cs="宋体"/>
                <w:color w:val="auto"/>
                <w:szCs w:val="21"/>
                <w:lang w:val="en-US" w:eastAsia="zh-CN"/>
              </w:rPr>
              <w:t>组负责人</w:t>
            </w:r>
            <w:r>
              <w:rPr>
                <w:rFonts w:hint="eastAsia" w:ascii="宋体" w:hAnsi="宋体" w:cs="宋体"/>
                <w:color w:val="auto"/>
                <w:szCs w:val="21"/>
              </w:rPr>
              <w:t>具有</w:t>
            </w:r>
            <w:r>
              <w:rPr>
                <w:rFonts w:hint="eastAsia" w:ascii="宋体" w:hAnsi="宋体" w:cs="宋体"/>
                <w:color w:val="auto"/>
                <w:szCs w:val="21"/>
                <w:lang w:val="en-US" w:eastAsia="zh-CN"/>
              </w:rPr>
              <w:t>5</w:t>
            </w:r>
            <w:r>
              <w:rPr>
                <w:rFonts w:hint="eastAsia" w:ascii="宋体" w:hAnsi="宋体" w:cs="宋体"/>
                <w:color w:val="auto"/>
                <w:szCs w:val="21"/>
              </w:rPr>
              <w:t>年</w:t>
            </w:r>
            <w:r>
              <w:rPr>
                <w:rFonts w:hint="eastAsia" w:ascii="宋体" w:hAnsi="宋体" w:cs="宋体"/>
                <w:color w:val="auto"/>
                <w:szCs w:val="21"/>
                <w:lang w:val="en-US" w:eastAsia="zh-CN"/>
              </w:rPr>
              <w:t>及</w:t>
            </w:r>
            <w:r>
              <w:rPr>
                <w:rFonts w:hint="eastAsia" w:ascii="宋体" w:hAnsi="宋体" w:cs="宋体"/>
                <w:color w:val="auto"/>
                <w:szCs w:val="21"/>
              </w:rPr>
              <w:t>以上招标</w:t>
            </w:r>
            <w:r>
              <w:rPr>
                <w:rFonts w:hint="eastAsia" w:ascii="宋体" w:hAnsi="宋体" w:cs="宋体"/>
                <w:color w:val="auto"/>
                <w:szCs w:val="21"/>
                <w:lang w:val="en-US" w:eastAsia="zh-CN"/>
              </w:rPr>
              <w:t>采购</w:t>
            </w:r>
            <w:r>
              <w:rPr>
                <w:rFonts w:hint="eastAsia" w:ascii="宋体" w:hAnsi="宋体" w:cs="宋体"/>
                <w:color w:val="auto"/>
                <w:szCs w:val="21"/>
              </w:rPr>
              <w:t>代理工作经验，且具有</w:t>
            </w:r>
            <w:r>
              <w:rPr>
                <w:rFonts w:hint="eastAsia" w:ascii="宋体" w:hAnsi="宋体" w:cs="宋体"/>
                <w:color w:val="auto"/>
                <w:szCs w:val="21"/>
                <w:lang w:val="en-US" w:eastAsia="zh-CN"/>
              </w:rPr>
              <w:t>中级职称及以上的得5分</w:t>
            </w:r>
            <w:r>
              <w:rPr>
                <w:rFonts w:hint="eastAsia" w:ascii="宋体" w:hAnsi="宋体" w:cs="宋体"/>
                <w:color w:val="auto"/>
                <w:szCs w:val="21"/>
                <w:lang w:eastAsia="zh-CN"/>
              </w:rPr>
              <w:t>。</w:t>
            </w:r>
          </w:p>
          <w:p w14:paraId="72847A8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提供</w:t>
            </w:r>
            <w:r>
              <w:rPr>
                <w:rFonts w:hint="eastAsia" w:ascii="宋体" w:hAnsi="宋体" w:cs="宋体"/>
                <w:color w:val="auto"/>
                <w:szCs w:val="21"/>
                <w:lang w:val="en-US" w:eastAsia="zh-CN"/>
              </w:rPr>
              <w:t>项目组负责人身份证、2025年任意三个月社保缴纳证明材料</w:t>
            </w:r>
            <w:r>
              <w:rPr>
                <w:rFonts w:hint="eastAsia" w:ascii="宋体" w:hAnsi="宋体" w:cs="宋体"/>
                <w:color w:val="auto"/>
                <w:szCs w:val="21"/>
              </w:rPr>
              <w:t>、职称证书、工作经验证明材料</w:t>
            </w:r>
            <w:r>
              <w:rPr>
                <w:rFonts w:hint="eastAsia" w:ascii="宋体" w:hAnsi="宋体" w:cs="宋体"/>
                <w:color w:val="auto"/>
                <w:szCs w:val="21"/>
                <w:lang w:eastAsia="zh-CN"/>
              </w:rPr>
              <w:t>（</w:t>
            </w:r>
            <w:r>
              <w:rPr>
                <w:rFonts w:hint="eastAsia" w:ascii="宋体" w:hAnsi="宋体" w:cs="宋体"/>
                <w:color w:val="auto"/>
                <w:szCs w:val="21"/>
                <w:lang w:val="en-US" w:eastAsia="zh-CN"/>
              </w:rPr>
              <w:t>项目组负责人承诺函及能够证明项目组负责人工作年限的项目委托协议及该中标公示网页截图</w:t>
            </w:r>
            <w:r>
              <w:rPr>
                <w:rFonts w:hint="eastAsia" w:ascii="宋体" w:hAnsi="宋体" w:cs="宋体"/>
                <w:color w:val="auto"/>
                <w:szCs w:val="21"/>
                <w:lang w:eastAsia="zh-CN"/>
              </w:rPr>
              <w:t>）</w:t>
            </w:r>
            <w:r>
              <w:rPr>
                <w:rFonts w:hint="eastAsia" w:ascii="宋体" w:hAnsi="宋体" w:cs="宋体"/>
                <w:color w:val="auto"/>
                <w:szCs w:val="21"/>
              </w:rPr>
              <w:t>。</w:t>
            </w:r>
          </w:p>
          <w:p w14:paraId="51DA66C0">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）除项目</w:t>
            </w:r>
            <w:r>
              <w:rPr>
                <w:rFonts w:hint="eastAsia" w:ascii="宋体" w:hAnsi="宋体" w:cs="宋体"/>
                <w:color w:val="auto"/>
                <w:szCs w:val="21"/>
                <w:lang w:val="en-US" w:eastAsia="zh-CN"/>
              </w:rPr>
              <w:t>组</w:t>
            </w:r>
            <w:r>
              <w:rPr>
                <w:rFonts w:hint="eastAsia" w:ascii="宋体" w:hAnsi="宋体" w:cs="宋体"/>
                <w:color w:val="auto"/>
                <w:szCs w:val="21"/>
              </w:rPr>
              <w:t>负责人外，项目组成员</w:t>
            </w:r>
            <w:r>
              <w:rPr>
                <w:rFonts w:hint="eastAsia" w:ascii="宋体" w:hAnsi="宋体" w:cs="宋体"/>
                <w:color w:val="auto"/>
                <w:szCs w:val="21"/>
                <w:lang w:val="en-US" w:eastAsia="zh-CN"/>
              </w:rPr>
              <w:t>必须</w:t>
            </w:r>
            <w:r>
              <w:rPr>
                <w:rFonts w:hint="eastAsia" w:ascii="宋体" w:hAnsi="宋体" w:cs="宋体"/>
                <w:color w:val="auto"/>
                <w:szCs w:val="21"/>
              </w:rPr>
              <w:t>具有招标采购专职从业人员能力考评证书</w:t>
            </w:r>
            <w:r>
              <w:rPr>
                <w:rFonts w:hint="eastAsia" w:ascii="宋体" w:hAnsi="宋体" w:cs="宋体"/>
                <w:color w:val="auto"/>
                <w:szCs w:val="21"/>
                <w:lang w:val="en-US" w:eastAsia="zh-CN"/>
              </w:rPr>
              <w:t>的人数为最少为5人，在此基础上每增加1人得1分，满分10分</w:t>
            </w:r>
            <w:r>
              <w:rPr>
                <w:rFonts w:hint="eastAsia" w:ascii="宋体" w:hAnsi="宋体" w:cs="宋体"/>
                <w:color w:val="auto"/>
                <w:szCs w:val="21"/>
              </w:rPr>
              <w:t>。</w:t>
            </w:r>
            <w:r>
              <w:rPr>
                <w:rFonts w:hint="eastAsia" w:ascii="宋体" w:hAnsi="宋体" w:cs="宋体"/>
                <w:color w:val="auto"/>
                <w:szCs w:val="21"/>
                <w:lang w:val="en-US" w:eastAsia="zh-CN"/>
              </w:rPr>
              <w:t>（提供项目组成员身份证、相关证书、2024年</w:t>
            </w:r>
            <w:r>
              <w:rPr>
                <w:rFonts w:hint="eastAsia" w:ascii="宋体" w:hAnsi="宋体" w:cs="宋体"/>
                <w:color w:val="auto"/>
                <w:szCs w:val="21"/>
                <w:highlight w:val="none"/>
                <w:lang w:val="en-US" w:eastAsia="zh-CN"/>
              </w:rPr>
              <w:t>任意三个月社保缴纳证明材料</w:t>
            </w:r>
            <w:r>
              <w:rPr>
                <w:rFonts w:hint="eastAsia" w:ascii="宋体" w:hAnsi="宋体" w:cs="宋体"/>
                <w:color w:val="auto"/>
                <w:szCs w:val="21"/>
                <w:lang w:val="en-US" w:eastAsia="zh-CN"/>
              </w:rPr>
              <w:t>，不提供或缺项该项不得分。）</w:t>
            </w:r>
          </w:p>
        </w:tc>
        <w:tc>
          <w:tcPr>
            <w:tcW w:w="1170" w:type="dxa"/>
            <w:vAlign w:val="center"/>
          </w:tcPr>
          <w:p w14:paraId="02AE0077">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15分</w:t>
            </w:r>
          </w:p>
        </w:tc>
      </w:tr>
      <w:tr w14:paraId="0443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14:paraId="65C8B7F1">
            <w:pPr>
              <w:spacing w:line="360" w:lineRule="auto"/>
              <w:jc w:val="center"/>
              <w:rPr>
                <w:rFonts w:hint="default" w:ascii="宋体" w:hAnsi="宋体" w:cs="宋体"/>
                <w:b/>
                <w:bCs/>
                <w:color w:val="auto"/>
                <w:szCs w:val="21"/>
                <w:lang w:val="en-US" w:eastAsia="zh-CN"/>
              </w:rPr>
            </w:pPr>
            <w:r>
              <w:rPr>
                <w:rFonts w:hint="eastAsia" w:ascii="宋体" w:hAnsi="宋体" w:cs="宋体"/>
                <w:b/>
                <w:bCs/>
                <w:color w:val="auto"/>
                <w:szCs w:val="21"/>
                <w:lang w:val="en-US" w:eastAsia="zh-CN"/>
              </w:rPr>
              <w:t>2、业绩</w:t>
            </w:r>
          </w:p>
        </w:tc>
        <w:tc>
          <w:tcPr>
            <w:tcW w:w="7289" w:type="dxa"/>
            <w:vAlign w:val="center"/>
          </w:tcPr>
          <w:p w14:paraId="65C6816D">
            <w:pPr>
              <w:spacing w:line="360" w:lineRule="auto"/>
              <w:ind w:firstLine="420" w:firstLineChars="200"/>
              <w:jc w:val="left"/>
              <w:rPr>
                <w:rFonts w:hint="eastAsia" w:eastAsia="宋体"/>
                <w:b/>
                <w:bCs/>
                <w:color w:val="auto"/>
                <w:lang w:eastAsia="zh-CN"/>
              </w:rPr>
            </w:pPr>
            <w:r>
              <w:rPr>
                <w:rFonts w:hint="eastAsia"/>
                <w:b/>
                <w:bCs/>
                <w:color w:val="auto"/>
              </w:rPr>
              <w:t>业绩评价</w:t>
            </w:r>
            <w:r>
              <w:rPr>
                <w:rFonts w:hint="eastAsia"/>
                <w:b/>
                <w:bCs/>
                <w:color w:val="auto"/>
                <w:lang w:eastAsia="zh-CN"/>
              </w:rPr>
              <w:t>：</w:t>
            </w:r>
          </w:p>
          <w:p w14:paraId="3BEE3918">
            <w:pPr>
              <w:spacing w:line="360" w:lineRule="auto"/>
              <w:ind w:firstLine="420" w:firstLineChars="200"/>
              <w:jc w:val="left"/>
              <w:rPr>
                <w:color w:val="auto"/>
              </w:rPr>
            </w:pPr>
            <w:r>
              <w:rPr>
                <w:rFonts w:hint="eastAsia"/>
                <w:color w:val="auto"/>
              </w:rPr>
              <w:t>招标采购代理机构</w:t>
            </w:r>
            <w:r>
              <w:rPr>
                <w:rFonts w:hint="eastAsia"/>
                <w:color w:val="auto"/>
                <w:lang w:val="en-US" w:eastAsia="zh-CN"/>
              </w:rPr>
              <w:t>提供（</w:t>
            </w:r>
            <w:r>
              <w:rPr>
                <w:rFonts w:hint="eastAsia"/>
                <w:color w:val="auto"/>
              </w:rPr>
              <w:t>202</w:t>
            </w:r>
            <w:r>
              <w:rPr>
                <w:rFonts w:hint="eastAsia"/>
                <w:color w:val="auto"/>
                <w:lang w:val="en-US" w:eastAsia="zh-CN"/>
              </w:rPr>
              <w:t>3</w:t>
            </w:r>
            <w:r>
              <w:rPr>
                <w:rFonts w:hint="eastAsia"/>
                <w:color w:val="auto"/>
              </w:rPr>
              <w:t>年1月至比选截止日期</w:t>
            </w:r>
            <w:r>
              <w:rPr>
                <w:rFonts w:hint="eastAsia"/>
                <w:color w:val="auto"/>
                <w:lang w:eastAsia="zh-CN"/>
              </w:rPr>
              <w:t>）</w:t>
            </w:r>
            <w:r>
              <w:rPr>
                <w:rFonts w:hint="eastAsia"/>
                <w:color w:val="auto"/>
              </w:rPr>
              <w:t>代理的项目业绩：</w:t>
            </w:r>
          </w:p>
          <w:p w14:paraId="0EFCD35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（1）医疗设备采购类每提供一个得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，该项最高得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0B54B53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（2）耗材/试剂采购类每提供一个得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，该项最高得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224E0A7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（3）医疗设备维保类每提供一个得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，该项最高得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37F47F3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（4）医院信息化类每提供一个得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，该项最高得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459C36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（5）医院后勤服务类（如物业管理、安保、保洁、消防、车辆维保等）每提供一个得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，该项最高得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25C393B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（6）医院工程类【如施工、装修、改造、工程相关服务（如项目管理、监理、设计、跟踪审计）等】每提供一个得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，该项最高得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1B566E4B">
            <w:pPr>
              <w:spacing w:line="360" w:lineRule="auto"/>
              <w:ind w:firstLine="420" w:firstLineChars="200"/>
              <w:jc w:val="left"/>
              <w:rPr>
                <w:rFonts w:hint="eastAsia" w:ascii="宋体" w:hAnsi="宋体" w:cs="宋体"/>
                <w:color w:val="auto"/>
                <w:szCs w:val="21"/>
              </w:rPr>
            </w:pPr>
            <w:r>
              <w:rPr>
                <w:rFonts w:hint="eastAsia"/>
                <w:color w:val="auto"/>
              </w:rPr>
              <w:t>提供贵州省招标投标公共服务平台发布</w:t>
            </w:r>
            <w:r>
              <w:rPr>
                <w:rFonts w:hint="eastAsia"/>
                <w:color w:val="auto"/>
                <w:lang w:val="en-US" w:eastAsia="zh-CN"/>
              </w:rPr>
              <w:t>/贵州省政府采购网</w:t>
            </w:r>
            <w:r>
              <w:rPr>
                <w:rFonts w:hint="eastAsia"/>
                <w:color w:val="auto"/>
              </w:rPr>
              <w:t>的</w:t>
            </w:r>
            <w:r>
              <w:rPr>
                <w:rFonts w:hint="eastAsia"/>
                <w:color w:val="auto"/>
                <w:lang w:val="en-US" w:eastAsia="zh-CN"/>
              </w:rPr>
              <w:t>招标公告、</w:t>
            </w:r>
            <w:r>
              <w:rPr>
                <w:rFonts w:hint="eastAsia"/>
                <w:color w:val="auto"/>
              </w:rPr>
              <w:t>中标公告（中标结果公示）截图</w:t>
            </w:r>
            <w:r>
              <w:rPr>
                <w:rFonts w:hint="eastAsia"/>
                <w:color w:val="auto"/>
                <w:lang w:val="en-US" w:eastAsia="zh-CN"/>
              </w:rPr>
              <w:t>及</w:t>
            </w:r>
            <w:r>
              <w:rPr>
                <w:rFonts w:hint="eastAsia"/>
                <w:color w:val="auto"/>
              </w:rPr>
              <w:t>委托代理合同（协议）作为证明材料，未提供不得分。</w:t>
            </w:r>
            <w:r>
              <w:rPr>
                <w:color w:val="auto"/>
              </w:rPr>
              <w:t xml:space="preserve"> </w:t>
            </w:r>
          </w:p>
        </w:tc>
        <w:tc>
          <w:tcPr>
            <w:tcW w:w="1170" w:type="dxa"/>
            <w:vAlign w:val="center"/>
          </w:tcPr>
          <w:p w14:paraId="4DEF173A">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20分</w:t>
            </w:r>
          </w:p>
        </w:tc>
      </w:tr>
      <w:tr w14:paraId="6816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14:paraId="440DE2EB">
            <w:pPr>
              <w:spacing w:line="360" w:lineRule="auto"/>
              <w:jc w:val="center"/>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3、办公场所</w:t>
            </w:r>
          </w:p>
        </w:tc>
        <w:tc>
          <w:tcPr>
            <w:tcW w:w="7289" w:type="dxa"/>
            <w:vAlign w:val="center"/>
          </w:tcPr>
          <w:p w14:paraId="1393DC1A">
            <w:pPr>
              <w:spacing w:line="360" w:lineRule="auto"/>
              <w:rPr>
                <w:rFonts w:hint="eastAsia" w:ascii="宋体" w:hAnsi="宋体" w:cs="宋体"/>
                <w:color w:val="auto"/>
                <w:szCs w:val="21"/>
              </w:rPr>
            </w:pPr>
            <w:r>
              <w:rPr>
                <w:rFonts w:hint="eastAsia" w:ascii="宋体" w:hAnsi="宋体" w:cs="宋体"/>
                <w:b/>
                <w:bCs/>
                <w:color w:val="auto"/>
                <w:szCs w:val="21"/>
              </w:rPr>
              <w:t>招标</w:t>
            </w:r>
            <w:r>
              <w:rPr>
                <w:rFonts w:hint="eastAsia" w:ascii="宋体" w:hAnsi="宋体" w:cs="宋体"/>
                <w:b/>
                <w:bCs/>
                <w:color w:val="auto"/>
                <w:szCs w:val="21"/>
                <w:lang w:val="en-US" w:eastAsia="zh-CN"/>
              </w:rPr>
              <w:t>采购</w:t>
            </w:r>
            <w:r>
              <w:rPr>
                <w:rFonts w:hint="eastAsia" w:ascii="宋体" w:hAnsi="宋体" w:cs="宋体"/>
                <w:b/>
                <w:bCs/>
                <w:color w:val="auto"/>
                <w:szCs w:val="21"/>
              </w:rPr>
              <w:t>代理机构在</w:t>
            </w:r>
            <w:r>
              <w:rPr>
                <w:rFonts w:hint="eastAsia" w:ascii="宋体" w:hAnsi="宋体" w:cs="宋体"/>
                <w:b/>
                <w:bCs/>
                <w:color w:val="auto"/>
                <w:szCs w:val="21"/>
                <w:lang w:val="en-US" w:eastAsia="zh-CN"/>
              </w:rPr>
              <w:t>省内</w:t>
            </w:r>
            <w:r>
              <w:rPr>
                <w:rFonts w:hint="eastAsia" w:ascii="宋体" w:hAnsi="宋体" w:cs="宋体"/>
                <w:b/>
                <w:bCs/>
                <w:color w:val="auto"/>
                <w:szCs w:val="21"/>
              </w:rPr>
              <w:t>有固定办公场所（满分</w:t>
            </w:r>
            <w:r>
              <w:rPr>
                <w:rFonts w:hint="eastAsia" w:ascii="宋体" w:hAnsi="宋体" w:cs="宋体"/>
                <w:b/>
                <w:bCs/>
                <w:color w:val="auto"/>
                <w:szCs w:val="21"/>
                <w:lang w:val="en-US" w:eastAsia="zh-CN"/>
              </w:rPr>
              <w:t>5</w:t>
            </w:r>
            <w:r>
              <w:rPr>
                <w:rFonts w:hint="eastAsia" w:ascii="宋体" w:hAnsi="宋体" w:cs="宋体"/>
                <w:b/>
                <w:bCs/>
                <w:color w:val="auto"/>
                <w:szCs w:val="21"/>
              </w:rPr>
              <w:t>分）</w:t>
            </w:r>
          </w:p>
          <w:p w14:paraId="1FA0A697">
            <w:pPr>
              <w:pStyle w:val="2"/>
              <w:keepNext w:val="0"/>
              <w:keepLines w:val="0"/>
              <w:pageBreakBefore w:val="0"/>
              <w:widowControl w:val="0"/>
              <w:numPr>
                <w:ilvl w:val="0"/>
                <w:numId w:val="1"/>
              </w:numPr>
              <w:kinsoku/>
              <w:wordWrap/>
              <w:overflowPunct/>
              <w:autoSpaceDE/>
              <w:autoSpaceDN/>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办公场所面积≥400m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及以上，得5分；</w:t>
            </w:r>
          </w:p>
          <w:p w14:paraId="5C695638">
            <w:pPr>
              <w:pStyle w:val="2"/>
              <w:keepNext w:val="0"/>
              <w:keepLines w:val="0"/>
              <w:pageBreakBefore w:val="0"/>
              <w:widowControl w:val="0"/>
              <w:numPr>
                <w:ilvl w:val="0"/>
                <w:numId w:val="1"/>
              </w:numPr>
              <w:kinsoku/>
              <w:wordWrap/>
              <w:overflowPunct/>
              <w:autoSpaceDE/>
              <w:autoSpaceDN/>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办公场所面积300m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～400m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（不含），得4分；</w:t>
            </w:r>
          </w:p>
          <w:p w14:paraId="5488627B">
            <w:pPr>
              <w:pStyle w:val="2"/>
              <w:keepNext w:val="0"/>
              <w:keepLines w:val="0"/>
              <w:pageBreakBefore w:val="0"/>
              <w:widowControl w:val="0"/>
              <w:numPr>
                <w:ilvl w:val="0"/>
                <w:numId w:val="1"/>
              </w:numPr>
              <w:kinsoku/>
              <w:wordWrap/>
              <w:overflowPunct/>
              <w:autoSpaceDE/>
              <w:autoSpaceDN/>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办公场所面积200m</w:t>
            </w:r>
            <w:r>
              <w:rPr>
                <w:rFonts w:hint="eastAsia" w:ascii="宋体" w:hAnsi="宋体" w:eastAsia="宋体" w:cs="宋体"/>
                <w:color w:val="auto"/>
                <w:sz w:val="21"/>
                <w:szCs w:val="21"/>
                <w:highlight w:val="none"/>
                <w:vertAlign w:val="superscript"/>
                <w:lang w:val="en-US" w:eastAsia="zh-CN"/>
              </w:rPr>
              <w:t xml:space="preserve">2 </w:t>
            </w:r>
            <w:r>
              <w:rPr>
                <w:rFonts w:hint="eastAsia" w:ascii="宋体" w:hAnsi="宋体" w:eastAsia="宋体" w:cs="宋体"/>
                <w:color w:val="auto"/>
                <w:sz w:val="21"/>
                <w:szCs w:val="21"/>
                <w:highlight w:val="none"/>
                <w:lang w:val="en-US" w:eastAsia="zh-CN"/>
              </w:rPr>
              <w:t>～300m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（不含），得3分；</w:t>
            </w:r>
          </w:p>
          <w:p w14:paraId="7CCCD76B">
            <w:pPr>
              <w:pStyle w:val="2"/>
              <w:keepNext w:val="0"/>
              <w:keepLines w:val="0"/>
              <w:pageBreakBefore w:val="0"/>
              <w:widowControl w:val="0"/>
              <w:numPr>
                <w:ilvl w:val="0"/>
                <w:numId w:val="1"/>
              </w:numPr>
              <w:kinsoku/>
              <w:wordWrap/>
              <w:overflowPunct/>
              <w:autoSpaceDE/>
              <w:autoSpaceDN/>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（不含）以下，得2分；</w:t>
            </w:r>
          </w:p>
          <w:p w14:paraId="0186B0E9">
            <w:pPr>
              <w:pStyle w:val="2"/>
              <w:keepNext w:val="0"/>
              <w:keepLines w:val="0"/>
              <w:pageBreakBefore w:val="0"/>
              <w:widowControl w:val="0"/>
              <w:numPr>
                <w:ilvl w:val="0"/>
                <w:numId w:val="1"/>
              </w:numPr>
              <w:kinsoku/>
              <w:wordWrap/>
              <w:overflowPunct/>
              <w:autoSpaceDE/>
              <w:autoSpaceDN/>
              <w:bidi w:val="0"/>
              <w:snapToGrid/>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贵州省内无办公室场所或未提供证明材料，得0分。</w:t>
            </w:r>
          </w:p>
          <w:p w14:paraId="28B0803A">
            <w:pPr>
              <w:spacing w:line="360" w:lineRule="auto"/>
              <w:ind w:firstLine="420" w:firstLineChars="200"/>
              <w:rPr>
                <w:rFonts w:hint="eastAsia" w:ascii="宋体" w:hAnsi="宋体" w:cs="宋体"/>
                <w:b/>
                <w:bCs/>
                <w:color w:val="auto"/>
                <w:szCs w:val="21"/>
              </w:rPr>
            </w:pPr>
            <w:r>
              <w:rPr>
                <w:rFonts w:hint="eastAsia" w:ascii="宋体" w:hAnsi="宋体" w:cs="宋体"/>
                <w:color w:val="auto"/>
                <w:szCs w:val="21"/>
              </w:rPr>
              <w:t>提供办公场所的证明文件</w:t>
            </w:r>
            <w:r>
              <w:rPr>
                <w:rFonts w:hint="eastAsia" w:ascii="宋体" w:hAnsi="宋体" w:cs="宋体"/>
                <w:b w:val="0"/>
                <w:bCs w:val="0"/>
                <w:color w:val="auto"/>
                <w:szCs w:val="21"/>
              </w:rPr>
              <w:t>，办公场所须配置独立的开标</w:t>
            </w:r>
            <w:r>
              <w:rPr>
                <w:rFonts w:hint="eastAsia" w:ascii="宋体" w:hAnsi="宋体" w:cs="宋体"/>
                <w:b w:val="0"/>
                <w:bCs w:val="0"/>
                <w:color w:val="auto"/>
                <w:szCs w:val="21"/>
                <w:lang w:val="en-US" w:eastAsia="zh-CN"/>
              </w:rPr>
              <w:t>室</w:t>
            </w:r>
            <w:r>
              <w:rPr>
                <w:rFonts w:hint="eastAsia" w:ascii="宋体" w:hAnsi="宋体" w:cs="宋体"/>
                <w:b w:val="0"/>
                <w:bCs w:val="0"/>
                <w:color w:val="auto"/>
                <w:szCs w:val="21"/>
              </w:rPr>
              <w:t>、评标</w:t>
            </w:r>
            <w:r>
              <w:rPr>
                <w:rFonts w:hint="eastAsia" w:ascii="宋体" w:hAnsi="宋体" w:cs="宋体"/>
                <w:b w:val="0"/>
                <w:bCs w:val="0"/>
                <w:color w:val="auto"/>
                <w:szCs w:val="21"/>
                <w:lang w:val="en-US" w:eastAsia="zh-CN"/>
              </w:rPr>
              <w:t>室</w:t>
            </w:r>
            <w:r>
              <w:rPr>
                <w:rFonts w:hint="eastAsia" w:ascii="宋体" w:hAnsi="宋体" w:cs="宋体"/>
                <w:b w:val="0"/>
                <w:bCs w:val="0"/>
                <w:color w:val="auto"/>
                <w:szCs w:val="21"/>
              </w:rPr>
              <w:t>、档案管理室、监控设施</w:t>
            </w:r>
            <w:r>
              <w:rPr>
                <w:rFonts w:hint="eastAsia" w:ascii="宋体" w:hAnsi="宋体" w:cs="宋体"/>
                <w:b w:val="0"/>
                <w:bCs w:val="0"/>
                <w:color w:val="auto"/>
                <w:szCs w:val="21"/>
                <w:lang w:val="en-US" w:eastAsia="zh-CN"/>
              </w:rPr>
              <w:t>等</w:t>
            </w:r>
            <w:r>
              <w:rPr>
                <w:rFonts w:hint="eastAsia" w:ascii="宋体" w:hAnsi="宋体" w:cs="宋体"/>
                <w:b w:val="0"/>
                <w:bCs w:val="0"/>
                <w:color w:val="auto"/>
                <w:szCs w:val="21"/>
              </w:rPr>
              <w:t>。</w:t>
            </w:r>
          </w:p>
          <w:p w14:paraId="456CDEA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代理机构自有物业</w:t>
            </w:r>
            <w:r>
              <w:rPr>
                <w:rFonts w:hint="eastAsia" w:ascii="宋体" w:hAnsi="宋体" w:cs="宋体"/>
                <w:color w:val="auto"/>
                <w:szCs w:val="21"/>
                <w:lang w:val="en-US" w:eastAsia="zh-CN"/>
              </w:rPr>
              <w:t>须提供</w:t>
            </w:r>
            <w:r>
              <w:rPr>
                <w:rFonts w:hint="eastAsia" w:ascii="宋体" w:hAnsi="宋体" w:cs="宋体"/>
                <w:color w:val="auto"/>
                <w:szCs w:val="21"/>
              </w:rPr>
              <w:t>产权证；非代理机构自有物业</w:t>
            </w:r>
            <w:r>
              <w:rPr>
                <w:rFonts w:hint="eastAsia" w:ascii="宋体" w:hAnsi="宋体" w:cs="宋体"/>
                <w:color w:val="auto"/>
                <w:szCs w:val="21"/>
                <w:lang w:val="en-US" w:eastAsia="zh-CN"/>
              </w:rPr>
              <w:t>须</w:t>
            </w:r>
            <w:r>
              <w:rPr>
                <w:rFonts w:hint="eastAsia" w:ascii="宋体" w:hAnsi="宋体" w:cs="宋体"/>
                <w:color w:val="auto"/>
                <w:szCs w:val="21"/>
              </w:rPr>
              <w:t>提供办公场所租赁合同</w:t>
            </w:r>
            <w:r>
              <w:rPr>
                <w:rFonts w:hint="eastAsia" w:ascii="宋体" w:hAnsi="宋体" w:cs="宋体"/>
                <w:color w:val="auto"/>
                <w:szCs w:val="21"/>
                <w:lang w:eastAsia="zh-CN"/>
              </w:rPr>
              <w:t>，</w:t>
            </w:r>
            <w:r>
              <w:rPr>
                <w:rFonts w:hint="eastAsia" w:ascii="宋体" w:hAnsi="宋体" w:cs="宋体"/>
                <w:color w:val="auto"/>
                <w:szCs w:val="21"/>
              </w:rPr>
              <w:t>同时提供场所实景照片等佐证材料，以上材料提供复印件加盖公章。</w:t>
            </w:r>
          </w:p>
          <w:p w14:paraId="5D88F1E1">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证明材料缺项视同未提供</w:t>
            </w:r>
            <w:r>
              <w:rPr>
                <w:rFonts w:hint="eastAsia" w:ascii="宋体" w:hAnsi="宋体" w:cs="宋体"/>
                <w:color w:val="auto"/>
                <w:szCs w:val="21"/>
                <w:lang w:eastAsia="zh-CN"/>
              </w:rPr>
              <w:t>，</w:t>
            </w:r>
            <w:r>
              <w:rPr>
                <w:rFonts w:hint="eastAsia" w:ascii="宋体" w:hAnsi="宋体" w:cs="宋体"/>
                <w:color w:val="auto"/>
                <w:szCs w:val="21"/>
                <w:lang w:val="en-US" w:eastAsia="zh-CN"/>
              </w:rPr>
              <w:t>本项不得分</w:t>
            </w:r>
            <w:r>
              <w:rPr>
                <w:rFonts w:hint="eastAsia" w:ascii="宋体" w:hAnsi="宋体" w:cs="宋体"/>
                <w:color w:val="auto"/>
                <w:szCs w:val="21"/>
              </w:rPr>
              <w:t>。</w:t>
            </w:r>
          </w:p>
        </w:tc>
        <w:tc>
          <w:tcPr>
            <w:tcW w:w="1170" w:type="dxa"/>
            <w:vAlign w:val="center"/>
          </w:tcPr>
          <w:p w14:paraId="10D7D0B8">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5分</w:t>
            </w:r>
          </w:p>
        </w:tc>
      </w:tr>
      <w:tr w14:paraId="726D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14:paraId="7F484A58">
            <w:pPr>
              <w:spacing w:line="360" w:lineRule="auto"/>
              <w:jc w:val="center"/>
              <w:rPr>
                <w:rFonts w:hint="default" w:ascii="宋体" w:hAnsi="宋体" w:cs="宋体"/>
                <w:b/>
                <w:bCs/>
                <w:color w:val="auto"/>
                <w:szCs w:val="21"/>
                <w:lang w:val="en-US" w:eastAsia="zh-CN"/>
              </w:rPr>
            </w:pPr>
            <w:r>
              <w:rPr>
                <w:rFonts w:hint="eastAsia" w:ascii="宋体" w:hAnsi="宋体" w:cs="宋体"/>
                <w:b/>
                <w:bCs/>
                <w:color w:val="auto"/>
                <w:szCs w:val="21"/>
                <w:lang w:val="en-US" w:eastAsia="zh-CN"/>
              </w:rPr>
              <w:t>5、体系认证等综合实力</w:t>
            </w:r>
          </w:p>
        </w:tc>
        <w:tc>
          <w:tcPr>
            <w:tcW w:w="7289" w:type="dxa"/>
            <w:vAlign w:val="center"/>
          </w:tcPr>
          <w:p w14:paraId="1157898E">
            <w:pPr>
              <w:spacing w:line="360" w:lineRule="auto"/>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企业管理体系评价（满分15分）</w:t>
            </w:r>
          </w:p>
          <w:p w14:paraId="4EBB54F8">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（1）具有质量管理体系认证证书（体系适用包括：政府采购或招标代理）：</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分；</w:t>
            </w:r>
          </w:p>
          <w:p w14:paraId="215D337D">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（2）具有环境管理体系认证证书（体系适用包括：政府采购或招标代理）：</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分；</w:t>
            </w:r>
          </w:p>
          <w:p w14:paraId="2D5D7D35">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（3）具有职业健康安全管理体系认证证书（体系适用包括：政府采购或招标代理）：</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分；</w:t>
            </w:r>
          </w:p>
          <w:p w14:paraId="35D57B8A">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（4）贵州省招标投标协会理事单位或会员单位的得</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分；</w:t>
            </w:r>
          </w:p>
          <w:p w14:paraId="0234DA44">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（5）具有代理机构自主的网站（提供截图和公司主页链接）：</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分；</w:t>
            </w:r>
          </w:p>
          <w:p w14:paraId="136EE278">
            <w:pPr>
              <w:spacing w:line="360" w:lineRule="auto"/>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注：提供以上</w:t>
            </w:r>
            <w:r>
              <w:rPr>
                <w:rFonts w:hint="eastAsia" w:ascii="宋体" w:hAnsi="宋体" w:cs="宋体"/>
                <w:b w:val="0"/>
                <w:bCs w:val="0"/>
                <w:color w:val="auto"/>
                <w:szCs w:val="21"/>
                <w:lang w:val="en-US" w:eastAsia="zh-CN"/>
              </w:rPr>
              <w:t>有效</w:t>
            </w:r>
            <w:r>
              <w:rPr>
                <w:rFonts w:hint="eastAsia" w:ascii="宋体" w:hAnsi="宋体" w:eastAsia="宋体" w:cs="宋体"/>
                <w:b w:val="0"/>
                <w:bCs w:val="0"/>
                <w:color w:val="auto"/>
                <w:szCs w:val="21"/>
              </w:rPr>
              <w:t>证书</w:t>
            </w:r>
            <w:r>
              <w:rPr>
                <w:rFonts w:hint="eastAsia" w:ascii="宋体" w:hAnsi="宋体" w:cs="宋体"/>
                <w:b w:val="0"/>
                <w:bCs w:val="0"/>
                <w:color w:val="auto"/>
                <w:szCs w:val="21"/>
                <w:lang w:val="en-US" w:eastAsia="zh-CN"/>
              </w:rPr>
              <w:t>扫描件</w:t>
            </w:r>
            <w:r>
              <w:rPr>
                <w:rFonts w:hint="eastAsia" w:ascii="宋体" w:hAnsi="宋体" w:eastAsia="宋体" w:cs="宋体"/>
                <w:b w:val="0"/>
                <w:bCs w:val="0"/>
                <w:color w:val="auto"/>
                <w:szCs w:val="21"/>
              </w:rPr>
              <w:t>作为证明材料（有效并清晰可见，加盖公章）。</w:t>
            </w:r>
          </w:p>
        </w:tc>
        <w:tc>
          <w:tcPr>
            <w:tcW w:w="1170" w:type="dxa"/>
            <w:vAlign w:val="center"/>
          </w:tcPr>
          <w:p w14:paraId="619F2EF0">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15分</w:t>
            </w:r>
          </w:p>
        </w:tc>
      </w:tr>
      <w:tr w14:paraId="483D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14:paraId="16BFB38C">
            <w:pPr>
              <w:spacing w:line="360" w:lineRule="auto"/>
              <w:jc w:val="center"/>
              <w:rPr>
                <w:rFonts w:hint="default" w:ascii="宋体" w:hAnsi="宋体" w:cs="宋体"/>
                <w:b/>
                <w:bCs/>
                <w:color w:val="auto"/>
                <w:szCs w:val="21"/>
                <w:lang w:val="en-US" w:eastAsia="zh-CN"/>
              </w:rPr>
            </w:pPr>
            <w:r>
              <w:rPr>
                <w:rFonts w:hint="eastAsia" w:ascii="宋体" w:hAnsi="宋体" w:cs="宋体"/>
                <w:b/>
                <w:bCs/>
                <w:color w:val="auto"/>
                <w:szCs w:val="21"/>
                <w:lang w:val="en-US" w:eastAsia="zh-CN"/>
              </w:rPr>
              <w:t>6、</w:t>
            </w:r>
            <w:r>
              <w:rPr>
                <w:rFonts w:hint="eastAsia" w:ascii="宋体" w:hAnsi="宋体" w:eastAsia="宋体" w:cs="宋体"/>
                <w:b/>
                <w:color w:val="auto"/>
                <w:sz w:val="21"/>
                <w:szCs w:val="21"/>
                <w:shd w:val="clear" w:color="auto" w:fill="FFFFFF"/>
                <w:lang w:val="en-US" w:eastAsia="zh-CN"/>
              </w:rPr>
              <w:t>专家库</w:t>
            </w:r>
          </w:p>
        </w:tc>
        <w:tc>
          <w:tcPr>
            <w:tcW w:w="7289" w:type="dxa"/>
            <w:vAlign w:val="center"/>
          </w:tcPr>
          <w:p w14:paraId="3A30C13F">
            <w:pPr>
              <w:spacing w:line="360" w:lineRule="auto"/>
              <w:ind w:firstLine="420" w:firstLineChars="200"/>
              <w:rPr>
                <w:rFonts w:hint="default" w:ascii="宋体" w:hAnsi="宋体" w:eastAsia="宋体" w:cs="宋体"/>
                <w:b w:val="0"/>
                <w:bCs w:val="0"/>
                <w:color w:val="auto"/>
                <w:szCs w:val="21"/>
                <w:highlight w:val="none"/>
                <w:lang w:val="en-US"/>
              </w:rPr>
            </w:pPr>
            <w:r>
              <w:rPr>
                <w:rFonts w:hint="default" w:ascii="宋体" w:hAnsi="宋体" w:eastAsia="宋体" w:cs="宋体"/>
                <w:b w:val="0"/>
                <w:bCs w:val="0"/>
                <w:color w:val="auto"/>
                <w:szCs w:val="21"/>
                <w:highlight w:val="none"/>
                <w:lang w:val="en-US"/>
              </w:rPr>
              <w:t>具备完善的评审专家库，根据专家库的人数进行评价，提供专家人员数量界面截图（显示专家库登录界面及专家姓名、专业、职称等截图，为保证专家隐私无须显示联系方式）。</w:t>
            </w:r>
          </w:p>
          <w:p w14:paraId="5E00AC08">
            <w:pPr>
              <w:spacing w:line="360" w:lineRule="auto"/>
              <w:ind w:firstLine="420" w:firstLineChars="200"/>
              <w:rPr>
                <w:rFonts w:hint="default" w:ascii="宋体" w:hAnsi="宋体" w:eastAsia="宋体" w:cs="宋体"/>
                <w:b w:val="0"/>
                <w:bCs w:val="0"/>
                <w:color w:val="auto"/>
                <w:szCs w:val="21"/>
                <w:highlight w:val="none"/>
                <w:lang w:val="en-US"/>
              </w:rPr>
            </w:pPr>
            <w:r>
              <w:rPr>
                <w:rFonts w:hint="default" w:ascii="宋体" w:hAnsi="宋体" w:eastAsia="宋体" w:cs="宋体"/>
                <w:b w:val="0"/>
                <w:bCs w:val="0"/>
                <w:color w:val="auto"/>
                <w:szCs w:val="21"/>
                <w:highlight w:val="none"/>
                <w:lang w:val="en-US"/>
              </w:rPr>
              <w:t>（1）专家库人数500名以上：得5分；</w:t>
            </w:r>
          </w:p>
          <w:p w14:paraId="500CE079">
            <w:pPr>
              <w:spacing w:line="360" w:lineRule="auto"/>
              <w:ind w:firstLine="420" w:firstLineChars="200"/>
              <w:rPr>
                <w:rFonts w:hint="default" w:ascii="宋体" w:hAnsi="宋体" w:eastAsia="宋体" w:cs="宋体"/>
                <w:b w:val="0"/>
                <w:bCs w:val="0"/>
                <w:color w:val="auto"/>
                <w:szCs w:val="21"/>
                <w:highlight w:val="none"/>
                <w:lang w:val="en-US"/>
              </w:rPr>
            </w:pPr>
            <w:r>
              <w:rPr>
                <w:rFonts w:hint="default" w:ascii="宋体" w:hAnsi="宋体" w:eastAsia="宋体" w:cs="宋体"/>
                <w:b w:val="0"/>
                <w:bCs w:val="0"/>
                <w:color w:val="auto"/>
                <w:szCs w:val="21"/>
                <w:highlight w:val="none"/>
                <w:lang w:val="en-US"/>
              </w:rPr>
              <w:t>（2）专家库人数301-500 名：得3分；</w:t>
            </w:r>
          </w:p>
          <w:p w14:paraId="545ABFDE">
            <w:pPr>
              <w:spacing w:line="360" w:lineRule="auto"/>
              <w:ind w:firstLine="420" w:firstLineChars="200"/>
              <w:rPr>
                <w:rFonts w:hint="default" w:ascii="宋体" w:hAnsi="宋体" w:eastAsia="宋体" w:cs="宋体"/>
                <w:b w:val="0"/>
                <w:bCs w:val="0"/>
                <w:color w:val="auto"/>
                <w:szCs w:val="21"/>
                <w:highlight w:val="none"/>
                <w:lang w:val="en-US"/>
              </w:rPr>
            </w:pPr>
            <w:r>
              <w:rPr>
                <w:rFonts w:hint="default" w:ascii="宋体" w:hAnsi="宋体" w:eastAsia="宋体" w:cs="宋体"/>
                <w:b w:val="0"/>
                <w:bCs w:val="0"/>
                <w:color w:val="auto"/>
                <w:szCs w:val="21"/>
                <w:highlight w:val="none"/>
                <w:lang w:val="en-US"/>
              </w:rPr>
              <w:t>（3）专家库人数200-300 名：得1分；</w:t>
            </w:r>
          </w:p>
          <w:p w14:paraId="6420D253">
            <w:pPr>
              <w:spacing w:line="360" w:lineRule="auto"/>
              <w:ind w:firstLine="420" w:firstLineChars="200"/>
              <w:rPr>
                <w:rFonts w:hint="default" w:ascii="宋体" w:hAnsi="宋体" w:eastAsia="宋体" w:cs="宋体"/>
                <w:b w:val="0"/>
                <w:bCs w:val="0"/>
                <w:color w:val="auto"/>
                <w:szCs w:val="21"/>
                <w:lang w:val="en-US"/>
              </w:rPr>
            </w:pPr>
            <w:r>
              <w:rPr>
                <w:rFonts w:hint="default" w:ascii="宋体" w:hAnsi="宋体" w:eastAsia="宋体" w:cs="宋体"/>
                <w:b w:val="0"/>
                <w:bCs w:val="0"/>
                <w:color w:val="auto"/>
                <w:szCs w:val="21"/>
                <w:highlight w:val="none"/>
                <w:lang w:val="en-US"/>
              </w:rPr>
              <w:t>（4）专家库人数少于200名或不具备专家库：得0分。</w:t>
            </w:r>
          </w:p>
        </w:tc>
        <w:tc>
          <w:tcPr>
            <w:tcW w:w="1170" w:type="dxa"/>
            <w:vAlign w:val="center"/>
          </w:tcPr>
          <w:p w14:paraId="4DB9F0D9">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5分</w:t>
            </w:r>
          </w:p>
        </w:tc>
      </w:tr>
      <w:tr w14:paraId="71E7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14:paraId="6F481334">
            <w:pPr>
              <w:spacing w:line="360" w:lineRule="auto"/>
              <w:jc w:val="center"/>
              <w:rPr>
                <w:rFonts w:hint="default" w:ascii="宋体" w:hAnsi="宋体" w:cs="宋体"/>
                <w:b/>
                <w:bCs/>
                <w:color w:val="auto"/>
                <w:szCs w:val="21"/>
                <w:lang w:val="en-US" w:eastAsia="zh-CN"/>
              </w:rPr>
            </w:pPr>
            <w:r>
              <w:rPr>
                <w:rFonts w:hint="eastAsia" w:ascii="宋体" w:hAnsi="宋体" w:cs="宋体"/>
                <w:b/>
                <w:bCs/>
                <w:color w:val="auto"/>
                <w:szCs w:val="21"/>
                <w:lang w:val="en-US" w:eastAsia="zh-CN"/>
              </w:rPr>
              <w:t>7、招标代理库入库</w:t>
            </w:r>
          </w:p>
        </w:tc>
        <w:tc>
          <w:tcPr>
            <w:tcW w:w="7289" w:type="dxa"/>
            <w:vAlign w:val="center"/>
          </w:tcPr>
          <w:p w14:paraId="30D6B05E">
            <w:pPr>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sz w:val="21"/>
                <w:szCs w:val="21"/>
                <w:lang w:val="en-US" w:eastAsia="zh-CN"/>
              </w:rPr>
              <w:t>招标代理库入库（满分5分）</w:t>
            </w:r>
          </w:p>
          <w:p w14:paraId="04F7AD27">
            <w:pPr>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以来入选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政府部门、事业单位</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国有企业招标代理库的业绩，</w:t>
            </w:r>
            <w:r>
              <w:rPr>
                <w:rFonts w:hint="eastAsia" w:ascii="宋体" w:hAnsi="宋体" w:eastAsia="宋体" w:cs="宋体"/>
                <w:color w:val="auto"/>
                <w:sz w:val="21"/>
                <w:szCs w:val="21"/>
                <w:highlight w:val="none"/>
                <w:lang w:val="en-US" w:eastAsia="zh-CN"/>
              </w:rPr>
              <w:t>入围期限最少为1年，</w:t>
            </w:r>
            <w:r>
              <w:rPr>
                <w:rFonts w:hint="eastAsia" w:ascii="宋体" w:hAnsi="宋体" w:eastAsia="宋体" w:cs="宋体"/>
                <w:color w:val="auto"/>
                <w:sz w:val="21"/>
                <w:szCs w:val="21"/>
                <w:highlight w:val="none"/>
              </w:rPr>
              <w:t>每提供一个得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5EE6FA65">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证明材料：入选（围）官网截图或入库（围）</w:t>
            </w:r>
            <w:r>
              <w:rPr>
                <w:rFonts w:hint="eastAsia" w:ascii="宋体" w:hAnsi="宋体" w:eastAsia="宋体" w:cs="宋体"/>
                <w:sz w:val="21"/>
                <w:szCs w:val="21"/>
              </w:rPr>
              <w:t>合同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提供入库（围）合同证明的，</w:t>
            </w:r>
            <w:r>
              <w:rPr>
                <w:rFonts w:hint="eastAsia" w:ascii="宋体" w:hAnsi="宋体" w:eastAsia="宋体" w:cs="宋体"/>
                <w:sz w:val="21"/>
                <w:szCs w:val="21"/>
              </w:rPr>
              <w:t>服务期限须</w:t>
            </w:r>
            <w:r>
              <w:rPr>
                <w:rFonts w:hint="eastAsia" w:ascii="宋体" w:hAnsi="宋体" w:eastAsia="宋体" w:cs="宋体"/>
                <w:sz w:val="21"/>
                <w:szCs w:val="21"/>
                <w:lang w:val="en-US" w:eastAsia="zh-CN"/>
              </w:rPr>
              <w:t>为</w:t>
            </w:r>
            <w:r>
              <w:rPr>
                <w:rFonts w:hint="eastAsia" w:ascii="宋体" w:hAnsi="宋体" w:eastAsia="宋体" w:cs="宋体"/>
                <w:sz w:val="21"/>
                <w:szCs w:val="21"/>
              </w:rPr>
              <w:t>1年</w:t>
            </w:r>
            <w:r>
              <w:rPr>
                <w:rFonts w:hint="eastAsia" w:ascii="宋体" w:hAnsi="宋体" w:eastAsia="宋体" w:cs="宋体"/>
                <w:sz w:val="21"/>
                <w:szCs w:val="21"/>
                <w:lang w:val="en-US" w:eastAsia="zh-CN"/>
              </w:rPr>
              <w:t>或以上，</w:t>
            </w:r>
            <w:r>
              <w:rPr>
                <w:rFonts w:hint="eastAsia" w:ascii="宋体" w:hAnsi="宋体" w:eastAsia="宋体" w:cs="宋体"/>
                <w:sz w:val="21"/>
                <w:szCs w:val="21"/>
              </w:rPr>
              <w:t>否则</w:t>
            </w:r>
            <w:r>
              <w:rPr>
                <w:rFonts w:hint="eastAsia" w:ascii="宋体" w:hAnsi="宋体" w:eastAsia="宋体" w:cs="宋体"/>
                <w:sz w:val="21"/>
                <w:szCs w:val="21"/>
                <w:lang w:val="en-US" w:eastAsia="zh-CN"/>
              </w:rPr>
              <w:t>本项</w:t>
            </w:r>
            <w:r>
              <w:rPr>
                <w:rFonts w:hint="eastAsia" w:ascii="宋体" w:hAnsi="宋体" w:eastAsia="宋体" w:cs="宋体"/>
                <w:sz w:val="21"/>
                <w:szCs w:val="21"/>
              </w:rPr>
              <w:t>得分为0分</w:t>
            </w:r>
            <w:r>
              <w:rPr>
                <w:rFonts w:hint="eastAsia" w:ascii="宋体" w:hAnsi="宋体" w:eastAsia="宋体" w:cs="宋体"/>
                <w:sz w:val="21"/>
                <w:szCs w:val="21"/>
                <w:lang w:val="en-US" w:eastAsia="zh-CN"/>
              </w:rPr>
              <w:t>。</w:t>
            </w:r>
          </w:p>
        </w:tc>
        <w:tc>
          <w:tcPr>
            <w:tcW w:w="1170" w:type="dxa"/>
            <w:vAlign w:val="center"/>
          </w:tcPr>
          <w:p w14:paraId="1934F340">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5分</w:t>
            </w:r>
          </w:p>
        </w:tc>
      </w:tr>
      <w:tr w14:paraId="2FA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14:paraId="46F4553A">
            <w:pPr>
              <w:spacing w:line="360" w:lineRule="auto"/>
              <w:jc w:val="center"/>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8、工作方案</w:t>
            </w:r>
          </w:p>
        </w:tc>
        <w:tc>
          <w:tcPr>
            <w:tcW w:w="7289" w:type="dxa"/>
            <w:vAlign w:val="center"/>
          </w:tcPr>
          <w:p w14:paraId="7C1016EF">
            <w:pPr>
              <w:spacing w:line="360" w:lineRule="auto"/>
              <w:rPr>
                <w:rFonts w:hint="eastAsia" w:ascii="宋体" w:hAnsi="宋体" w:eastAsia="宋体" w:cs="宋体"/>
                <w:b/>
                <w:bCs/>
                <w:color w:val="auto"/>
                <w:szCs w:val="21"/>
                <w:lang w:eastAsia="zh-CN"/>
              </w:rPr>
            </w:pPr>
            <w:r>
              <w:rPr>
                <w:rFonts w:hint="eastAsia" w:ascii="宋体" w:hAnsi="宋体" w:eastAsia="宋体" w:cs="宋体"/>
                <w:b/>
                <w:bCs/>
                <w:color w:val="auto"/>
                <w:szCs w:val="21"/>
              </w:rPr>
              <w:t>招标采购代理工作方案</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满分</w:t>
            </w:r>
            <w:r>
              <w:rPr>
                <w:rFonts w:hint="eastAsia" w:ascii="宋体" w:hAnsi="宋体" w:cs="宋体"/>
                <w:b/>
                <w:bCs/>
                <w:color w:val="auto"/>
                <w:szCs w:val="21"/>
                <w:lang w:val="en-US" w:eastAsia="zh-CN"/>
              </w:rPr>
              <w:t>25</w:t>
            </w:r>
            <w:r>
              <w:rPr>
                <w:rFonts w:hint="eastAsia" w:ascii="宋体" w:hAnsi="宋体" w:eastAsia="宋体" w:cs="宋体"/>
                <w:b/>
                <w:bCs/>
                <w:color w:val="auto"/>
                <w:szCs w:val="21"/>
                <w:lang w:val="en-US" w:eastAsia="zh-CN"/>
              </w:rPr>
              <w:t>分</w:t>
            </w:r>
            <w:r>
              <w:rPr>
                <w:rFonts w:hint="eastAsia" w:ascii="宋体" w:hAnsi="宋体" w:eastAsia="宋体" w:cs="宋体"/>
                <w:b/>
                <w:bCs/>
                <w:color w:val="auto"/>
                <w:szCs w:val="21"/>
                <w:lang w:eastAsia="zh-CN"/>
              </w:rPr>
              <w:t>）</w:t>
            </w:r>
          </w:p>
          <w:p w14:paraId="743A7DCB">
            <w:pPr>
              <w:spacing w:line="360" w:lineRule="auto"/>
              <w:ind w:firstLine="420" w:firstLineChars="200"/>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招标采购代理工作</w:t>
            </w:r>
            <w:r>
              <w:rPr>
                <w:rFonts w:hint="eastAsia" w:ascii="宋体" w:hAnsi="宋体" w:eastAsia="宋体" w:cs="宋体"/>
                <w:b w:val="0"/>
                <w:bCs w:val="0"/>
                <w:color w:val="auto"/>
                <w:szCs w:val="21"/>
                <w:lang w:val="en-US" w:eastAsia="zh-CN"/>
              </w:rPr>
              <w:t>方案包括但不限于</w:t>
            </w:r>
            <w:r>
              <w:rPr>
                <w:rFonts w:hint="eastAsia" w:ascii="宋体" w:hAnsi="宋体" w:eastAsia="宋体" w:cs="宋体"/>
                <w:b w:val="0"/>
                <w:bCs w:val="0"/>
                <w:color w:val="auto"/>
                <w:szCs w:val="21"/>
              </w:rPr>
              <w:t>招标采购代理①内部监督管理制度</w:t>
            </w:r>
            <w:r>
              <w:rPr>
                <w:rFonts w:hint="eastAsia" w:ascii="宋体" w:hAnsi="宋体" w:eastAsia="宋体" w:cs="宋体"/>
                <w:b w:val="0"/>
                <w:bCs w:val="0"/>
                <w:color w:val="auto"/>
                <w:szCs w:val="21"/>
                <w:lang w:eastAsia="zh-CN"/>
              </w:rPr>
              <w:t>、②代理服务措施和服务承诺、③进度实施计划、④</w:t>
            </w:r>
            <w:r>
              <w:rPr>
                <w:rFonts w:hint="eastAsia" w:ascii="宋体" w:hAnsi="宋体" w:cs="宋体"/>
                <w:b w:val="0"/>
                <w:bCs w:val="0"/>
                <w:color w:val="auto"/>
                <w:szCs w:val="21"/>
                <w:lang w:val="en-US" w:eastAsia="zh-CN"/>
              </w:rPr>
              <w:t>质疑投诉处理办法、</w:t>
            </w:r>
            <w:r>
              <w:rPr>
                <w:rFonts w:hint="eastAsia" w:ascii="宋体" w:hAnsi="宋体" w:eastAsia="宋体" w:cs="宋体"/>
                <w:b w:val="0"/>
                <w:bCs w:val="0"/>
                <w:color w:val="auto"/>
                <w:szCs w:val="21"/>
                <w:lang w:val="en-US" w:eastAsia="zh-CN"/>
              </w:rPr>
              <w:t>⑤采购</w:t>
            </w:r>
            <w:r>
              <w:rPr>
                <w:rFonts w:hint="eastAsia" w:ascii="宋体" w:hAnsi="宋体" w:eastAsia="宋体" w:cs="宋体"/>
                <w:b w:val="0"/>
                <w:bCs w:val="0"/>
                <w:color w:val="auto"/>
                <w:szCs w:val="21"/>
                <w:lang w:eastAsia="zh-CN"/>
              </w:rPr>
              <w:t>代理的质量保证、⑥保密等措施。</w:t>
            </w:r>
          </w:p>
          <w:p w14:paraId="770108E5">
            <w:pPr>
              <w:spacing w:line="360" w:lineRule="auto"/>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根据采购代理</w:t>
            </w:r>
            <w:r>
              <w:rPr>
                <w:rFonts w:hint="eastAsia" w:ascii="宋体" w:hAnsi="宋体" w:eastAsia="宋体" w:cs="宋体"/>
                <w:b w:val="0"/>
                <w:bCs w:val="0"/>
                <w:color w:val="auto"/>
                <w:szCs w:val="21"/>
                <w:lang w:val="en-US" w:eastAsia="zh-CN"/>
              </w:rPr>
              <w:t>机构所提供的</w:t>
            </w:r>
            <w:r>
              <w:rPr>
                <w:rFonts w:hint="eastAsia" w:ascii="宋体" w:hAnsi="宋体" w:eastAsia="宋体" w:cs="宋体"/>
                <w:b w:val="0"/>
                <w:bCs w:val="0"/>
                <w:color w:val="auto"/>
                <w:szCs w:val="21"/>
              </w:rPr>
              <w:t>工作方案内容</w:t>
            </w:r>
            <w:r>
              <w:rPr>
                <w:rFonts w:hint="eastAsia" w:ascii="宋体" w:hAnsi="宋体" w:eastAsia="宋体" w:cs="宋体"/>
                <w:b w:val="0"/>
                <w:bCs w:val="0"/>
                <w:color w:val="auto"/>
                <w:szCs w:val="21"/>
                <w:lang w:val="en-US" w:eastAsia="zh-CN"/>
              </w:rPr>
              <w:t>综合</w:t>
            </w:r>
            <w:r>
              <w:rPr>
                <w:rFonts w:hint="eastAsia" w:ascii="宋体" w:hAnsi="宋体" w:eastAsia="宋体" w:cs="宋体"/>
                <w:b w:val="0"/>
                <w:bCs w:val="0"/>
                <w:color w:val="auto"/>
                <w:szCs w:val="21"/>
              </w:rPr>
              <w:t>评分，</w:t>
            </w:r>
          </w:p>
          <w:p w14:paraId="6E832268">
            <w:pPr>
              <w:numPr>
                <w:ilvl w:val="0"/>
                <w:numId w:val="2"/>
              </w:numPr>
              <w:spacing w:line="360" w:lineRule="auto"/>
              <w:ind w:firstLine="420" w:firstLineChars="200"/>
              <w:rPr>
                <w:rFonts w:hint="eastAsia" w:ascii="宋体" w:hAnsi="宋体" w:cs="宋体"/>
                <w:b w:val="0"/>
                <w:bCs w:val="0"/>
                <w:color w:val="auto"/>
                <w:szCs w:val="21"/>
                <w:lang w:eastAsia="zh-CN"/>
              </w:rPr>
            </w:pPr>
            <w:r>
              <w:rPr>
                <w:rFonts w:hint="eastAsia" w:ascii="宋体" w:hAnsi="宋体" w:eastAsia="宋体" w:cs="宋体"/>
                <w:b w:val="0"/>
                <w:bCs w:val="0"/>
                <w:color w:val="auto"/>
                <w:szCs w:val="21"/>
                <w:lang w:val="en-US" w:eastAsia="zh-CN"/>
              </w:rPr>
              <w:t>方案描述准确、详细</w:t>
            </w:r>
            <w:r>
              <w:rPr>
                <w:rFonts w:hint="eastAsia" w:ascii="宋体" w:hAnsi="宋体" w:cs="宋体"/>
                <w:b w:val="0"/>
                <w:bCs w:val="0"/>
                <w:color w:val="auto"/>
                <w:szCs w:val="21"/>
                <w:lang w:val="en-US" w:eastAsia="zh-CN"/>
              </w:rPr>
              <w:t>的、完全满足或优于以上要求的得20</w:t>
            </w:r>
            <w:r>
              <w:rPr>
                <w:rFonts w:hint="eastAsia" w:ascii="宋体" w:hAnsi="宋体" w:eastAsia="宋体" w:cs="宋体"/>
                <w:b w:val="0"/>
                <w:bCs w:val="0"/>
                <w:color w:val="auto"/>
                <w:szCs w:val="21"/>
              </w:rPr>
              <w:t>-</w:t>
            </w:r>
            <w:r>
              <w:rPr>
                <w:rFonts w:hint="eastAsia" w:ascii="宋体" w:hAnsi="宋体" w:cs="宋体"/>
                <w:b w:val="0"/>
                <w:bCs w:val="0"/>
                <w:color w:val="auto"/>
                <w:szCs w:val="21"/>
                <w:lang w:val="en-US" w:eastAsia="zh-CN"/>
              </w:rPr>
              <w:t>25</w:t>
            </w:r>
            <w:r>
              <w:rPr>
                <w:rFonts w:hint="eastAsia" w:ascii="宋体" w:hAnsi="宋体" w:eastAsia="宋体" w:cs="宋体"/>
                <w:b w:val="0"/>
                <w:bCs w:val="0"/>
                <w:color w:val="auto"/>
                <w:szCs w:val="21"/>
              </w:rPr>
              <w:t>分</w:t>
            </w:r>
            <w:r>
              <w:rPr>
                <w:rFonts w:hint="eastAsia" w:ascii="宋体" w:hAnsi="宋体" w:cs="宋体"/>
                <w:b w:val="0"/>
                <w:bCs w:val="0"/>
                <w:color w:val="auto"/>
                <w:szCs w:val="21"/>
                <w:lang w:eastAsia="zh-CN"/>
              </w:rPr>
              <w:t>；</w:t>
            </w:r>
          </w:p>
          <w:p w14:paraId="0C88C597">
            <w:pPr>
              <w:numPr>
                <w:ilvl w:val="0"/>
                <w:numId w:val="2"/>
              </w:numPr>
              <w:spacing w:line="360" w:lineRule="auto"/>
              <w:ind w:firstLine="420" w:firstLineChars="200"/>
              <w:rPr>
                <w:rFonts w:hint="eastAsia" w:ascii="宋体" w:hAnsi="宋体" w:eastAsia="宋体" w:cs="宋体"/>
                <w:color w:val="auto"/>
                <w:szCs w:val="21"/>
                <w:lang w:eastAsia="zh-CN"/>
              </w:rPr>
            </w:pPr>
            <w:r>
              <w:rPr>
                <w:rFonts w:hint="eastAsia" w:ascii="宋体" w:hAnsi="宋体" w:cs="宋体"/>
                <w:b w:val="0"/>
                <w:bCs w:val="0"/>
                <w:color w:val="auto"/>
                <w:szCs w:val="21"/>
                <w:lang w:val="en-US" w:eastAsia="zh-CN"/>
              </w:rPr>
              <w:t>方案涵盖以上内容，部分内容不够详细，但能够基本满足代理需求的得10</w:t>
            </w:r>
            <w:r>
              <w:rPr>
                <w:rFonts w:hint="eastAsia" w:ascii="宋体" w:hAnsi="宋体" w:eastAsia="宋体" w:cs="宋体"/>
                <w:b w:val="0"/>
                <w:bCs w:val="0"/>
                <w:color w:val="auto"/>
                <w:szCs w:val="21"/>
                <w:lang w:val="en-US" w:eastAsia="zh-CN"/>
              </w:rPr>
              <w:t>-</w:t>
            </w:r>
            <w:r>
              <w:rPr>
                <w:rFonts w:hint="eastAsia" w:ascii="宋体" w:hAnsi="宋体" w:cs="宋体"/>
                <w:b w:val="0"/>
                <w:bCs w:val="0"/>
                <w:color w:val="auto"/>
                <w:szCs w:val="21"/>
                <w:lang w:val="en-US" w:eastAsia="zh-CN"/>
              </w:rPr>
              <w:t>19</w:t>
            </w:r>
            <w:r>
              <w:rPr>
                <w:rFonts w:hint="eastAsia" w:ascii="宋体" w:hAnsi="宋体" w:eastAsia="宋体" w:cs="宋体"/>
                <w:b w:val="0"/>
                <w:bCs w:val="0"/>
                <w:color w:val="auto"/>
                <w:szCs w:val="21"/>
              </w:rPr>
              <w:t>分</w:t>
            </w:r>
            <w:r>
              <w:rPr>
                <w:rFonts w:hint="eastAsia" w:ascii="宋体" w:hAnsi="宋体" w:cs="宋体"/>
                <w:b w:val="0"/>
                <w:bCs w:val="0"/>
                <w:color w:val="auto"/>
                <w:szCs w:val="21"/>
                <w:lang w:eastAsia="zh-CN"/>
              </w:rPr>
              <w:t>；</w:t>
            </w:r>
          </w:p>
          <w:p w14:paraId="1974F522">
            <w:pPr>
              <w:numPr>
                <w:ilvl w:val="0"/>
                <w:numId w:val="2"/>
              </w:numPr>
              <w:spacing w:line="360" w:lineRule="auto"/>
              <w:ind w:firstLine="420" w:firstLineChars="200"/>
              <w:rPr>
                <w:rFonts w:hint="eastAsia" w:ascii="宋体" w:hAnsi="宋体" w:eastAsia="宋体" w:cs="宋体"/>
                <w:color w:val="auto"/>
                <w:szCs w:val="21"/>
                <w:lang w:eastAsia="zh-CN"/>
              </w:rPr>
            </w:pPr>
            <w:r>
              <w:rPr>
                <w:rFonts w:hint="eastAsia" w:ascii="宋体" w:hAnsi="宋体" w:cs="宋体"/>
                <w:b w:val="0"/>
                <w:bCs w:val="0"/>
                <w:color w:val="auto"/>
                <w:szCs w:val="21"/>
                <w:lang w:val="en-US" w:eastAsia="zh-CN"/>
              </w:rPr>
              <w:t>方案涵盖以上内容，但内容信息简单，不能完全满足采购需求</w:t>
            </w:r>
            <w:r>
              <w:rPr>
                <w:rFonts w:hint="eastAsia" w:ascii="宋体" w:hAnsi="宋体" w:eastAsia="宋体" w:cs="宋体"/>
                <w:b w:val="0"/>
                <w:bCs w:val="0"/>
                <w:color w:val="auto"/>
                <w:szCs w:val="21"/>
              </w:rPr>
              <w:t>的</w:t>
            </w:r>
            <w:r>
              <w:rPr>
                <w:rFonts w:hint="eastAsia" w:ascii="宋体" w:hAnsi="宋体" w:cs="宋体"/>
                <w:b w:val="0"/>
                <w:bCs w:val="0"/>
                <w:color w:val="auto"/>
                <w:szCs w:val="21"/>
                <w:lang w:val="en-US" w:eastAsia="zh-CN"/>
              </w:rPr>
              <w:t>得1</w:t>
            </w:r>
            <w:r>
              <w:rPr>
                <w:rFonts w:hint="eastAsia" w:ascii="宋体" w:hAnsi="宋体" w:eastAsia="宋体" w:cs="宋体"/>
                <w:b w:val="0"/>
                <w:bCs w:val="0"/>
                <w:color w:val="auto"/>
                <w:szCs w:val="21"/>
                <w:lang w:val="en-US" w:eastAsia="zh-CN"/>
              </w:rPr>
              <w:t>-</w:t>
            </w:r>
            <w:r>
              <w:rPr>
                <w:rFonts w:hint="eastAsia" w:ascii="宋体" w:hAnsi="宋体" w:cs="宋体"/>
                <w:b w:val="0"/>
                <w:bCs w:val="0"/>
                <w:color w:val="auto"/>
                <w:szCs w:val="21"/>
                <w:lang w:val="en-US" w:eastAsia="zh-CN"/>
              </w:rPr>
              <w:t>9</w:t>
            </w:r>
            <w:r>
              <w:rPr>
                <w:rFonts w:hint="eastAsia" w:ascii="宋体" w:hAnsi="宋体" w:eastAsia="宋体" w:cs="宋体"/>
                <w:b w:val="0"/>
                <w:bCs w:val="0"/>
                <w:color w:val="auto"/>
                <w:szCs w:val="21"/>
              </w:rPr>
              <w:t>分</w:t>
            </w:r>
            <w:r>
              <w:rPr>
                <w:rFonts w:hint="eastAsia" w:ascii="宋体" w:hAnsi="宋体" w:eastAsia="宋体" w:cs="宋体"/>
                <w:b w:val="0"/>
                <w:bCs w:val="0"/>
                <w:color w:val="auto"/>
                <w:szCs w:val="21"/>
                <w:lang w:eastAsia="zh-CN"/>
              </w:rPr>
              <w:t>。</w:t>
            </w:r>
          </w:p>
          <w:p w14:paraId="5D53F94F">
            <w:pPr>
              <w:numPr>
                <w:ilvl w:val="0"/>
                <w:numId w:val="0"/>
              </w:numPr>
              <w:spacing w:line="360" w:lineRule="auto"/>
              <w:ind w:left="0" w:leftChars="0" w:firstLine="420" w:firstLineChars="200"/>
              <w:rPr>
                <w:rFonts w:hint="default"/>
                <w:lang w:val="en-US"/>
              </w:rPr>
            </w:pPr>
            <w:r>
              <w:rPr>
                <w:rFonts w:hint="eastAsia" w:ascii="宋体" w:hAnsi="宋体" w:cs="宋体"/>
                <w:b w:val="0"/>
                <w:bCs w:val="0"/>
                <w:color w:val="auto"/>
                <w:szCs w:val="21"/>
                <w:lang w:val="en-US" w:eastAsia="zh-CN"/>
              </w:rPr>
              <w:t>（4）方案未涵盖以上全部内容或未提供的或方案完全不满足采购需求的得0分</w:t>
            </w:r>
            <w:r>
              <w:rPr>
                <w:rFonts w:hint="eastAsia" w:ascii="宋体" w:hAnsi="宋体" w:eastAsia="宋体" w:cs="宋体"/>
                <w:b w:val="0"/>
                <w:bCs w:val="0"/>
                <w:color w:val="auto"/>
                <w:szCs w:val="21"/>
                <w:lang w:eastAsia="zh-CN"/>
              </w:rPr>
              <w:t>。</w:t>
            </w:r>
          </w:p>
        </w:tc>
        <w:tc>
          <w:tcPr>
            <w:tcW w:w="1170" w:type="dxa"/>
            <w:vAlign w:val="center"/>
          </w:tcPr>
          <w:p w14:paraId="091AFA7C">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25分</w:t>
            </w:r>
          </w:p>
        </w:tc>
      </w:tr>
    </w:tbl>
    <w:p w14:paraId="601B734C">
      <w:pPr>
        <w:rPr>
          <w:rFonts w:ascii="仿宋" w:hAnsi="仿宋" w:eastAsia="仿宋"/>
          <w:color w:val="auto"/>
          <w:sz w:val="24"/>
          <w:shd w:val="clear" w:color="auto" w:fill="FFFFFF"/>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457" w:bottom="1440" w:left="145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D037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53EE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553EE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82D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9C46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5B8C3">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1065">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34A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E5D463"/>
    <w:multiLevelType w:val="singleLevel"/>
    <w:tmpl w:val="32E5D463"/>
    <w:lvl w:ilvl="0" w:tentative="0">
      <w:start w:val="1"/>
      <w:numFmt w:val="decimal"/>
      <w:suff w:val="nothing"/>
      <w:lvlText w:val="（%1）"/>
      <w:lvlJc w:val="left"/>
    </w:lvl>
  </w:abstractNum>
  <w:abstractNum w:abstractNumId="1">
    <w:nsid w:val="6EEBF172"/>
    <w:multiLevelType w:val="singleLevel"/>
    <w:tmpl w:val="6EEBF17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3ZDI1NjRiMWE5YjljZjE2YjgwMzdjYWMzZWIyODUifQ=="/>
  </w:docVars>
  <w:rsids>
    <w:rsidRoot w:val="00172A27"/>
    <w:rsid w:val="00011514"/>
    <w:rsid w:val="00044127"/>
    <w:rsid w:val="00055468"/>
    <w:rsid w:val="0009593D"/>
    <w:rsid w:val="000C1E4B"/>
    <w:rsid w:val="000D2B74"/>
    <w:rsid w:val="000E0ED0"/>
    <w:rsid w:val="000F68E1"/>
    <w:rsid w:val="00165254"/>
    <w:rsid w:val="0017469C"/>
    <w:rsid w:val="001A12F5"/>
    <w:rsid w:val="001C1911"/>
    <w:rsid w:val="001E63EF"/>
    <w:rsid w:val="00205029"/>
    <w:rsid w:val="002152BB"/>
    <w:rsid w:val="002752A8"/>
    <w:rsid w:val="002A1A4E"/>
    <w:rsid w:val="002A41C6"/>
    <w:rsid w:val="002A5543"/>
    <w:rsid w:val="002E429F"/>
    <w:rsid w:val="002F1756"/>
    <w:rsid w:val="00347891"/>
    <w:rsid w:val="00364931"/>
    <w:rsid w:val="00380200"/>
    <w:rsid w:val="00390A94"/>
    <w:rsid w:val="003C2B57"/>
    <w:rsid w:val="00437FC0"/>
    <w:rsid w:val="0044602B"/>
    <w:rsid w:val="00474C24"/>
    <w:rsid w:val="00477E7C"/>
    <w:rsid w:val="00496F87"/>
    <w:rsid w:val="00497BC2"/>
    <w:rsid w:val="004C00B5"/>
    <w:rsid w:val="00500129"/>
    <w:rsid w:val="00516E2A"/>
    <w:rsid w:val="00527339"/>
    <w:rsid w:val="005304C0"/>
    <w:rsid w:val="005533AB"/>
    <w:rsid w:val="005C61E5"/>
    <w:rsid w:val="005F1C33"/>
    <w:rsid w:val="0062443F"/>
    <w:rsid w:val="00663202"/>
    <w:rsid w:val="006649C1"/>
    <w:rsid w:val="006A600C"/>
    <w:rsid w:val="006D38F8"/>
    <w:rsid w:val="006F73F8"/>
    <w:rsid w:val="00712ECB"/>
    <w:rsid w:val="007A1628"/>
    <w:rsid w:val="007F2B3E"/>
    <w:rsid w:val="0083379E"/>
    <w:rsid w:val="00860D41"/>
    <w:rsid w:val="00867AFA"/>
    <w:rsid w:val="00872E01"/>
    <w:rsid w:val="008C50FF"/>
    <w:rsid w:val="008E50F8"/>
    <w:rsid w:val="0097319B"/>
    <w:rsid w:val="0099354D"/>
    <w:rsid w:val="009B2C9F"/>
    <w:rsid w:val="009B423D"/>
    <w:rsid w:val="009B7BE9"/>
    <w:rsid w:val="009C5F61"/>
    <w:rsid w:val="009D154F"/>
    <w:rsid w:val="009F2E6B"/>
    <w:rsid w:val="009F4D35"/>
    <w:rsid w:val="00A65519"/>
    <w:rsid w:val="00A6708B"/>
    <w:rsid w:val="00A9750D"/>
    <w:rsid w:val="00AC31F7"/>
    <w:rsid w:val="00B44F90"/>
    <w:rsid w:val="00B6482E"/>
    <w:rsid w:val="00BC131B"/>
    <w:rsid w:val="00BC540A"/>
    <w:rsid w:val="00BD3013"/>
    <w:rsid w:val="00BE19BF"/>
    <w:rsid w:val="00BF7025"/>
    <w:rsid w:val="00C03FE1"/>
    <w:rsid w:val="00C15422"/>
    <w:rsid w:val="00C3329F"/>
    <w:rsid w:val="00C361F4"/>
    <w:rsid w:val="00C62B2B"/>
    <w:rsid w:val="00C656CD"/>
    <w:rsid w:val="00CD19C5"/>
    <w:rsid w:val="00D102BF"/>
    <w:rsid w:val="00D822DA"/>
    <w:rsid w:val="00D94F00"/>
    <w:rsid w:val="00D967F4"/>
    <w:rsid w:val="00D97212"/>
    <w:rsid w:val="00DD2CE8"/>
    <w:rsid w:val="00E53BF1"/>
    <w:rsid w:val="00E67635"/>
    <w:rsid w:val="00EA09AC"/>
    <w:rsid w:val="00EA61E3"/>
    <w:rsid w:val="00ED11D1"/>
    <w:rsid w:val="00EE0BF7"/>
    <w:rsid w:val="00F47925"/>
    <w:rsid w:val="00F50F4A"/>
    <w:rsid w:val="00F74F12"/>
    <w:rsid w:val="00FB1120"/>
    <w:rsid w:val="00FC534A"/>
    <w:rsid w:val="019140CF"/>
    <w:rsid w:val="01B26BBA"/>
    <w:rsid w:val="02AF58A4"/>
    <w:rsid w:val="08641A50"/>
    <w:rsid w:val="091837BC"/>
    <w:rsid w:val="0BE300B2"/>
    <w:rsid w:val="0C751048"/>
    <w:rsid w:val="0F4511B3"/>
    <w:rsid w:val="102D4119"/>
    <w:rsid w:val="10E661BD"/>
    <w:rsid w:val="129A42F1"/>
    <w:rsid w:val="12F5040B"/>
    <w:rsid w:val="13E10BC6"/>
    <w:rsid w:val="13EC268A"/>
    <w:rsid w:val="13F637F3"/>
    <w:rsid w:val="152062CE"/>
    <w:rsid w:val="15365AAA"/>
    <w:rsid w:val="15763471"/>
    <w:rsid w:val="15A5303A"/>
    <w:rsid w:val="15EC1A89"/>
    <w:rsid w:val="168D251B"/>
    <w:rsid w:val="19EA7987"/>
    <w:rsid w:val="1D3764AF"/>
    <w:rsid w:val="1EB37DB8"/>
    <w:rsid w:val="1EE6018D"/>
    <w:rsid w:val="1FEE6F5E"/>
    <w:rsid w:val="200061DC"/>
    <w:rsid w:val="20F645A8"/>
    <w:rsid w:val="21190E2C"/>
    <w:rsid w:val="223D1363"/>
    <w:rsid w:val="23351F98"/>
    <w:rsid w:val="23694EE9"/>
    <w:rsid w:val="243504AA"/>
    <w:rsid w:val="253B04C9"/>
    <w:rsid w:val="2549092E"/>
    <w:rsid w:val="25FC1D38"/>
    <w:rsid w:val="290C4A1D"/>
    <w:rsid w:val="2B292CED"/>
    <w:rsid w:val="2B3C14BF"/>
    <w:rsid w:val="2B6E599F"/>
    <w:rsid w:val="2D065D72"/>
    <w:rsid w:val="2E634DFD"/>
    <w:rsid w:val="30286748"/>
    <w:rsid w:val="3359035F"/>
    <w:rsid w:val="33BC3117"/>
    <w:rsid w:val="34C7513E"/>
    <w:rsid w:val="35AD46F6"/>
    <w:rsid w:val="37690404"/>
    <w:rsid w:val="3C583A0B"/>
    <w:rsid w:val="3CAE55D9"/>
    <w:rsid w:val="3CD14C8E"/>
    <w:rsid w:val="3CEB3CBB"/>
    <w:rsid w:val="3D6E0775"/>
    <w:rsid w:val="3DAD7CC1"/>
    <w:rsid w:val="3F7F6F23"/>
    <w:rsid w:val="3FDA3232"/>
    <w:rsid w:val="3FE67C49"/>
    <w:rsid w:val="415D5B12"/>
    <w:rsid w:val="41DC00CF"/>
    <w:rsid w:val="424E557E"/>
    <w:rsid w:val="43366C1E"/>
    <w:rsid w:val="4489226D"/>
    <w:rsid w:val="451D6418"/>
    <w:rsid w:val="46607718"/>
    <w:rsid w:val="46AB2282"/>
    <w:rsid w:val="490834A1"/>
    <w:rsid w:val="498A0541"/>
    <w:rsid w:val="49D767A1"/>
    <w:rsid w:val="4A951409"/>
    <w:rsid w:val="4AB32D6A"/>
    <w:rsid w:val="4B2743A4"/>
    <w:rsid w:val="4D2A1D51"/>
    <w:rsid w:val="4D36564B"/>
    <w:rsid w:val="4E1800E8"/>
    <w:rsid w:val="5054070C"/>
    <w:rsid w:val="52466271"/>
    <w:rsid w:val="52F1714F"/>
    <w:rsid w:val="53B21D1B"/>
    <w:rsid w:val="53E936EC"/>
    <w:rsid w:val="551408A9"/>
    <w:rsid w:val="557C538D"/>
    <w:rsid w:val="55C177EE"/>
    <w:rsid w:val="573235E9"/>
    <w:rsid w:val="57CE57C8"/>
    <w:rsid w:val="5A015F0A"/>
    <w:rsid w:val="5A5C1205"/>
    <w:rsid w:val="5B4F26EF"/>
    <w:rsid w:val="5B6254C8"/>
    <w:rsid w:val="5B901A36"/>
    <w:rsid w:val="5BC245D4"/>
    <w:rsid w:val="5C82434A"/>
    <w:rsid w:val="5E306C12"/>
    <w:rsid w:val="5EC56770"/>
    <w:rsid w:val="5F6F637A"/>
    <w:rsid w:val="5F70143F"/>
    <w:rsid w:val="5FC165EC"/>
    <w:rsid w:val="60682918"/>
    <w:rsid w:val="60870181"/>
    <w:rsid w:val="60BE14C0"/>
    <w:rsid w:val="612A5C2C"/>
    <w:rsid w:val="61531905"/>
    <w:rsid w:val="63B86661"/>
    <w:rsid w:val="646D11AF"/>
    <w:rsid w:val="667375D6"/>
    <w:rsid w:val="673B19CF"/>
    <w:rsid w:val="673D3DC8"/>
    <w:rsid w:val="6848334F"/>
    <w:rsid w:val="68573EFD"/>
    <w:rsid w:val="687E77A6"/>
    <w:rsid w:val="68A24BCD"/>
    <w:rsid w:val="68A27B7C"/>
    <w:rsid w:val="68CC0CDC"/>
    <w:rsid w:val="6932742A"/>
    <w:rsid w:val="6AE77E8C"/>
    <w:rsid w:val="6BB42FF0"/>
    <w:rsid w:val="6BE01143"/>
    <w:rsid w:val="6C5C0714"/>
    <w:rsid w:val="6CE87F8C"/>
    <w:rsid w:val="6D4B0788"/>
    <w:rsid w:val="6D8A0E78"/>
    <w:rsid w:val="6DAC7406"/>
    <w:rsid w:val="6E246E8D"/>
    <w:rsid w:val="6F8A0689"/>
    <w:rsid w:val="7003468C"/>
    <w:rsid w:val="702206C8"/>
    <w:rsid w:val="708E730A"/>
    <w:rsid w:val="7170164C"/>
    <w:rsid w:val="718C0262"/>
    <w:rsid w:val="719646C8"/>
    <w:rsid w:val="71FE0B22"/>
    <w:rsid w:val="72710F63"/>
    <w:rsid w:val="72D52FCE"/>
    <w:rsid w:val="733A1083"/>
    <w:rsid w:val="7355166F"/>
    <w:rsid w:val="750468BC"/>
    <w:rsid w:val="75702DBD"/>
    <w:rsid w:val="75815786"/>
    <w:rsid w:val="76FA1BEC"/>
    <w:rsid w:val="783F1810"/>
    <w:rsid w:val="79C51FCB"/>
    <w:rsid w:val="7A462BC8"/>
    <w:rsid w:val="7AF02AF4"/>
    <w:rsid w:val="7AFD3E6A"/>
    <w:rsid w:val="7D943E8B"/>
    <w:rsid w:val="7DDA3B8E"/>
    <w:rsid w:val="7E735C0A"/>
    <w:rsid w:val="7E751B09"/>
    <w:rsid w:val="7EFB6058"/>
    <w:rsid w:val="7F0F391F"/>
    <w:rsid w:val="7F4C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topLinePunct/>
      <w:adjustRightInd w:val="0"/>
      <w:spacing w:line="530" w:lineRule="exact"/>
      <w:textAlignment w:val="baseline"/>
      <w:outlineLvl w:val="1"/>
    </w:pPr>
    <w:rPr>
      <w:rFonts w:ascii="Arial" w:hAnsi="Arial" w:eastAsia="黑体"/>
      <w:sz w:val="32"/>
      <w:szCs w:val="32"/>
    </w:rPr>
  </w:style>
  <w:style w:type="paragraph" w:styleId="3">
    <w:name w:val="heading 3"/>
    <w:basedOn w:val="1"/>
    <w:next w:val="1"/>
    <w:autoRedefine/>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20">
    <w:name w:val="Default Paragraph Font"/>
    <w:autoRedefine/>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unhideWhenUsed/>
    <w:qFormat/>
    <w:uiPriority w:val="99"/>
    <w:pPr>
      <w:ind w:left="200" w:leftChars="200"/>
    </w:pPr>
  </w:style>
  <w:style w:type="paragraph" w:styleId="5">
    <w:name w:val="Normal Indent"/>
    <w:basedOn w:val="1"/>
    <w:autoRedefine/>
    <w:qFormat/>
    <w:uiPriority w:val="0"/>
    <w:pPr>
      <w:autoSpaceDE w:val="0"/>
      <w:autoSpaceDN w:val="0"/>
      <w:adjustRightInd w:val="0"/>
      <w:spacing w:after="0" w:afterLines="0" w:line="315" w:lineRule="atLeast"/>
      <w:ind w:firstLine="420"/>
      <w:jc w:val="left"/>
    </w:pPr>
    <w:rPr>
      <w:rFonts w:ascii="楷体_GB2312" w:hAnsi="Times New Roman" w:eastAsia="楷体_GB2312" w:cs="Times New Roman"/>
      <w:kern w:val="0"/>
      <w:sz w:val="28"/>
      <w:szCs w:val="20"/>
      <w:lang w:val="en-US" w:eastAsia="zh-CN" w:bidi="ar-SA"/>
    </w:rPr>
  </w:style>
  <w:style w:type="paragraph" w:styleId="6">
    <w:name w:val="Body Text"/>
    <w:basedOn w:val="1"/>
    <w:next w:val="1"/>
    <w:autoRedefine/>
    <w:qFormat/>
    <w:uiPriority w:val="1"/>
    <w:rPr>
      <w:rFonts w:ascii="宋体" w:hAnsi="宋体" w:eastAsia="宋体" w:cs="宋体"/>
      <w:sz w:val="24"/>
      <w:szCs w:val="24"/>
      <w:lang w:val="zh-CN" w:eastAsia="zh-CN" w:bidi="zh-CN"/>
    </w:rPr>
  </w:style>
  <w:style w:type="paragraph" w:styleId="7">
    <w:name w:val="Body Text Indent"/>
    <w:basedOn w:val="1"/>
    <w:next w:val="8"/>
    <w:autoRedefine/>
    <w:qFormat/>
    <w:uiPriority w:val="0"/>
    <w:pPr>
      <w:ind w:firstLine="601" w:firstLineChars="200"/>
    </w:pPr>
    <w:rPr>
      <w:rFonts w:eastAsia="仿宋_GB2312"/>
      <w:b/>
      <w:bCs/>
      <w:sz w:val="30"/>
    </w:rPr>
  </w:style>
  <w:style w:type="paragraph" w:styleId="8">
    <w:name w:val="Body Text Indent 2"/>
    <w:basedOn w:val="1"/>
    <w:autoRedefine/>
    <w:qFormat/>
    <w:uiPriority w:val="0"/>
    <w:pPr>
      <w:spacing w:after="120" w:afterLines="0" w:line="480" w:lineRule="auto"/>
      <w:ind w:left="420" w:leftChars="200"/>
    </w:pPr>
  </w:style>
  <w:style w:type="paragraph" w:styleId="9">
    <w:name w:val="Plain Text"/>
    <w:basedOn w:val="1"/>
    <w:next w:val="1"/>
    <w:autoRedefine/>
    <w:qFormat/>
    <w:uiPriority w:val="0"/>
    <w:rPr>
      <w:rFonts w:ascii="宋体" w:hAnsi="Courier New"/>
    </w:rPr>
  </w:style>
  <w:style w:type="paragraph" w:styleId="10">
    <w:name w:val="Balloon Text"/>
    <w:basedOn w:val="1"/>
    <w:autoRedefine/>
    <w:qFormat/>
    <w:uiPriority w:val="0"/>
    <w:rPr>
      <w:sz w:val="18"/>
      <w:szCs w:val="18"/>
    </w:rPr>
  </w:style>
  <w:style w:type="paragraph" w:styleId="11">
    <w:name w:val="footer"/>
    <w:basedOn w:val="1"/>
    <w:link w:val="23"/>
    <w:autoRedefine/>
    <w:qFormat/>
    <w:uiPriority w:val="0"/>
    <w:pPr>
      <w:tabs>
        <w:tab w:val="center" w:pos="4153"/>
        <w:tab w:val="right" w:pos="8306"/>
      </w:tabs>
      <w:snapToGrid w:val="0"/>
      <w:jc w:val="left"/>
    </w:pPr>
    <w:rPr>
      <w:sz w:val="18"/>
      <w:szCs w:val="18"/>
    </w:rPr>
  </w:style>
  <w:style w:type="paragraph" w:styleId="12">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afterLines="0"/>
      <w:ind w:left="420" w:leftChars="200"/>
    </w:pPr>
    <w:rPr>
      <w:sz w:val="16"/>
      <w:szCs w:val="16"/>
    </w:rPr>
  </w:style>
  <w:style w:type="paragraph" w:styleId="14">
    <w:name w:val="Body Text 2"/>
    <w:basedOn w:val="1"/>
    <w:autoRedefine/>
    <w:qFormat/>
    <w:uiPriority w:val="0"/>
    <w:pPr>
      <w:spacing w:after="120" w:afterLines="0" w:line="480" w:lineRule="auto"/>
    </w:pPr>
    <w:rPr>
      <w:rFonts w:ascii="Times New Roman" w:hAnsi="Times New Roman" w:eastAsia="宋体" w:cs="Times New Roman"/>
      <w:kern w:val="2"/>
      <w:sz w:val="21"/>
    </w:rPr>
  </w:style>
  <w:style w:type="paragraph" w:styleId="15">
    <w:name w:val="Normal (Web)"/>
    <w:basedOn w:val="1"/>
    <w:autoRedefine/>
    <w:qFormat/>
    <w:uiPriority w:val="0"/>
    <w:pPr>
      <w:spacing w:beforeAutospacing="1" w:afterAutospacing="1"/>
      <w:jc w:val="left"/>
    </w:pPr>
    <w:rPr>
      <w:kern w:val="0"/>
      <w:sz w:val="24"/>
    </w:rPr>
  </w:style>
  <w:style w:type="paragraph" w:styleId="16">
    <w:name w:val="Body Text First Indent"/>
    <w:basedOn w:val="6"/>
    <w:next w:val="9"/>
    <w:autoRedefine/>
    <w:qFormat/>
    <w:uiPriority w:val="0"/>
    <w:pPr>
      <w:ind w:firstLine="420" w:firstLineChars="100"/>
    </w:pPr>
    <w:rPr>
      <w:rFonts w:ascii="Calibri" w:hAnsi="Calibri" w:eastAsia="宋体" w:cs="Times New Roman"/>
      <w:szCs w:val="24"/>
    </w:rPr>
  </w:style>
  <w:style w:type="paragraph" w:styleId="17">
    <w:name w:val="Body Text First Indent 2"/>
    <w:basedOn w:val="7"/>
    <w:next w:val="1"/>
    <w:autoRedefine/>
    <w:qFormat/>
    <w:uiPriority w:val="0"/>
    <w:pPr>
      <w:spacing w:after="120" w:afterLines="0"/>
      <w:ind w:left="420" w:leftChars="200" w:firstLine="420"/>
    </w:pPr>
    <w:rPr>
      <w:rFonts w:eastAsia="宋体"/>
      <w:b w:val="0"/>
      <w:bCs w:val="0"/>
      <w:sz w:val="21"/>
      <w:szCs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bCs/>
    </w:rPr>
  </w:style>
  <w:style w:type="paragraph" w:customStyle="1" w:styleId="22">
    <w:name w:val="列出段落1"/>
    <w:basedOn w:val="1"/>
    <w:autoRedefine/>
    <w:qFormat/>
    <w:uiPriority w:val="34"/>
    <w:pPr>
      <w:ind w:firstLine="420" w:firstLineChars="200"/>
    </w:pPr>
    <w:rPr>
      <w:rFonts w:ascii="宋体" w:hAnsi="宋体" w:eastAsia="宋体" w:cs="Times New Roman"/>
      <w:kern w:val="0"/>
      <w:sz w:val="20"/>
    </w:rPr>
  </w:style>
  <w:style w:type="character" w:customStyle="1" w:styleId="23">
    <w:name w:val="页脚 字符"/>
    <w:basedOn w:val="20"/>
    <w:link w:val="11"/>
    <w:autoRedefine/>
    <w:qFormat/>
    <w:uiPriority w:val="0"/>
    <w:rPr>
      <w:kern w:val="2"/>
      <w:sz w:val="18"/>
      <w:szCs w:val="18"/>
    </w:rPr>
  </w:style>
  <w:style w:type="character" w:customStyle="1" w:styleId="24">
    <w:name w:val="页眉 字符"/>
    <w:basedOn w:val="20"/>
    <w:link w:val="12"/>
    <w:autoRedefine/>
    <w:qFormat/>
    <w:uiPriority w:val="0"/>
    <w:rPr>
      <w:kern w:val="2"/>
      <w:sz w:val="18"/>
      <w:szCs w:val="18"/>
    </w:rPr>
  </w:style>
  <w:style w:type="paragraph" w:styleId="25">
    <w:name w:val="List Paragraph"/>
    <w:basedOn w:val="1"/>
    <w:autoRedefine/>
    <w:qFormat/>
    <w:uiPriority w:val="1"/>
    <w:pPr>
      <w:ind w:left="475"/>
    </w:pPr>
    <w:rPr>
      <w:rFonts w:ascii="宋体" w:hAnsi="宋体" w:eastAsia="宋体" w:cs="宋体"/>
      <w:lang w:val="zh-CN" w:eastAsia="zh-CN" w:bidi="zh-CN"/>
    </w:rPr>
  </w:style>
  <w:style w:type="paragraph" w:customStyle="1" w:styleId="26">
    <w:name w:val="Table Paragraph"/>
    <w:basedOn w:val="1"/>
    <w:autoRedefine/>
    <w:qFormat/>
    <w:uiPriority w:val="1"/>
    <w:rPr>
      <w:rFonts w:ascii="宋体" w:hAnsi="宋体" w:eastAsia="宋体" w:cs="宋体"/>
      <w:lang w:val="zh-CN" w:eastAsia="zh-CN" w:bidi="zh-CN"/>
    </w:rPr>
  </w:style>
  <w:style w:type="character" w:customStyle="1" w:styleId="27">
    <w:name w:val="divcss5"/>
    <w:basedOn w:val="20"/>
    <w:autoRedefine/>
    <w:qFormat/>
    <w:uiPriority w:val="0"/>
  </w:style>
  <w:style w:type="paragraph" w:customStyle="1" w:styleId="28">
    <w:name w:val="Other|1"/>
    <w:basedOn w:val="1"/>
    <w:qFormat/>
    <w:uiPriority w:val="0"/>
    <w:pPr>
      <w:widowControl w:val="0"/>
      <w:shd w:val="clear" w:color="auto" w:fill="auto"/>
      <w:spacing w:line="425"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3395</Words>
  <Characters>3601</Characters>
  <Lines>3</Lines>
  <Paragraphs>6</Paragraphs>
  <TotalTime>24</TotalTime>
  <ScaleCrop>false</ScaleCrop>
  <LinksUpToDate>false</LinksUpToDate>
  <CharactersWithSpaces>3653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2022-10-13T12:54:00Z</dcterms:created>
  <dc:creator>liy</dc:creator>
  <cp:lastModifiedBy>尘埃</cp:lastModifiedBy>
  <cp:lastPrinted>2025-12-05T06:35:00Z</cp:lastPrinted>
  <dcterms:modified xsi:type="dcterms:W3CDTF">2025-12-08T02:35:30Z</dcterms:modified>
  <dc:title>贵州省卫生厅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4611CAE83CBA4DE9A7B11F72634F7465_13</vt:lpwstr>
  </property>
  <property fmtid="{D5CDD505-2E9C-101B-9397-08002B2CF9AE}" pid="4" name="KSOTemplateDocerSaveRecord">
    <vt:lpwstr>eyJoZGlkIjoiZTZhNmYwYzZkYmUzMzEwMDQ0NDgxNDQ2YjBiYzk5ODgiLCJ1c2VySWQiOiIzMDI1MjU5MzcifQ==</vt:lpwstr>
  </property>
</Properties>
</file>