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3E9E">
      <w:pPr>
        <w:pStyle w:val="24"/>
        <w:framePr w:w="7955" w:wrap="notBeside" w:x="1935" w:y="1336"/>
        <w:spacing w:before="62"/>
      </w:pPr>
      <w:r>
        <w:rPr>
          <w:rFonts w:hint="eastAsia"/>
          <w:sz w:val="76"/>
          <w:szCs w:val="76"/>
        </w:rPr>
        <w:t>团体标准</w:t>
      </w:r>
    </w:p>
    <w:p w14:paraId="6CD4426D">
      <w:pPr>
        <w:pStyle w:val="24"/>
        <w:framePr w:w="7955" w:wrap="notBeside" w:x="1935" w:y="1336"/>
        <w:spacing w:before="62"/>
      </w:pPr>
    </w:p>
    <w:p w14:paraId="3B8D6E9A">
      <w:pPr>
        <w:pStyle w:val="8"/>
        <w:spacing w:before="269" w:line="265" w:lineRule="exact"/>
        <w:ind w:left="6857"/>
        <w:rPr>
          <w:rFonts w:ascii="Arial"/>
          <w:sz w:val="21"/>
        </w:rPr>
      </w:pPr>
      <w:r>
        <w:rPr>
          <w:spacing w:val="45"/>
          <w:position w:val="1"/>
          <w:sz w:val="20"/>
          <w:szCs w:val="20"/>
        </w:rPr>
        <w:t xml:space="preserve"> </w:t>
      </w:r>
    </w:p>
    <w:p w14:paraId="69A02FD0">
      <w:pPr>
        <w:spacing w:line="360" w:lineRule="auto"/>
        <w:ind w:firstLine="420" w:firstLineChars="200"/>
        <w:rPr>
          <w:rFonts w:ascii="Times New Roman" w:hAnsi="Times New Roman"/>
          <w:sz w:val="21"/>
        </w:rPr>
      </w:pPr>
    </w:p>
    <w:p w14:paraId="7F87B811">
      <w:pPr>
        <w:spacing w:line="330" w:lineRule="auto"/>
        <w:rPr>
          <w:rFonts w:ascii="Arial"/>
          <w:sz w:val="21"/>
        </w:rPr>
      </w:pPr>
    </w:p>
    <w:p w14:paraId="2504491F">
      <w:pPr>
        <w:spacing w:line="30" w:lineRule="exact"/>
      </w:pPr>
    </w:p>
    <w:p w14:paraId="3DF2C841">
      <w:pPr>
        <w:spacing w:line="256" w:lineRule="auto"/>
        <w:rPr>
          <w:rFonts w:ascii="Arial"/>
          <w:sz w:val="21"/>
        </w:rPr>
      </w:pPr>
    </w:p>
    <w:p w14:paraId="5178BF1C">
      <w:pPr>
        <w:spacing w:line="256" w:lineRule="auto"/>
        <w:rPr>
          <w:rFonts w:ascii="Arial"/>
          <w:sz w:val="21"/>
        </w:rPr>
      </w:pPr>
    </w:p>
    <w:p w14:paraId="3F3F7120">
      <w:pPr>
        <w:spacing w:line="256" w:lineRule="auto"/>
        <w:rPr>
          <w:rFonts w:ascii="Arial"/>
          <w:sz w:val="21"/>
        </w:rPr>
      </w:pPr>
    </w:p>
    <w:p w14:paraId="15921711">
      <w:pPr>
        <w:widowControl w:val="0"/>
        <w:pBdr>
          <w:bottom w:val="single" w:color="auto" w:sz="4" w:space="0"/>
        </w:pBdr>
        <w:kinsoku/>
        <w:autoSpaceDE/>
        <w:autoSpaceDN/>
        <w:adjustRightInd/>
        <w:snapToGrid/>
        <w:spacing w:line="240" w:lineRule="auto"/>
        <w:jc w:val="right"/>
        <w:textAlignment w:val="auto"/>
        <w:rPr>
          <w:sz w:val="28"/>
          <w:szCs w:val="28"/>
          <w:u w:val="none"/>
        </w:rPr>
      </w:pPr>
      <w:r>
        <w:rPr>
          <w:rFonts w:hint="eastAsia" w:ascii="Calibri" w:hAnsi="Calibri" w:eastAsia="宋体" w:cs="Times New Roman"/>
          <w:snapToGrid/>
          <w:kern w:val="2"/>
          <w:sz w:val="28"/>
          <w:szCs w:val="28"/>
          <w:u w:val="none"/>
          <w:lang w:eastAsia="zh-CN"/>
        </w:rPr>
        <w:t>T/CNHAW-B-0019-2025</w:t>
      </w:r>
    </w:p>
    <w:p w14:paraId="4FC3F5DA">
      <w:pPr>
        <w:pStyle w:val="25"/>
        <w:ind w:firstLine="0" w:firstLineChars="0"/>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骨转移瘤立体定向放射外科治疗要求（征求意见稿）</w:t>
      </w:r>
    </w:p>
    <w:p w14:paraId="59C4935A">
      <w:pPr>
        <w:pStyle w:val="25"/>
        <w:ind w:firstLine="0" w:firstLineChars="0"/>
        <w:jc w:val="center"/>
        <w:rPr>
          <w:rFonts w:hint="default" w:ascii="Times New Roman" w:hAnsi="Times New Roman" w:eastAsia="宋体" w:cs="Times New Roman"/>
          <w:sz w:val="30"/>
          <w:szCs w:val="30"/>
        </w:rPr>
      </w:pPr>
      <w:r>
        <w:rPr>
          <w:rFonts w:hint="default" w:ascii="Times New Roman" w:hAnsi="Times New Roman"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4312920</wp:posOffset>
                </wp:positionV>
                <wp:extent cx="597979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797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339.6pt;height:0.05pt;width:470.85pt;z-index:251659264;mso-width-relative:page;mso-height-relative:page;" filled="f" stroked="t" coordsize="21600,21600" o:gfxdata="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7MvK9cAAAAJAQAADwAAAAAAAAABACAAAAAiAAAAZHJzL2Rvd25yZXYueG1sUEsBAhQA&#10;FAAAAAgAh07iQE4rVXPzAQAA5gMAAA4AAAAAAAAAAQAgAAAAJgEAAGRycy9lMm9Eb2MueG1sUEsF&#10;BgAAAAAGAAYAWQEAAIsFAAAAAA==&#10;">
                <v:fill on="f" focussize="0,0"/>
                <v:stroke color="#000000" joinstyle="round"/>
                <v:imagedata o:title=""/>
                <o:lock v:ext="edit" aspectratio="f"/>
              </v:line>
            </w:pict>
          </mc:Fallback>
        </mc:AlternateContent>
      </w:r>
      <w:r>
        <w:rPr>
          <w:rFonts w:hint="eastAsia" w:ascii="Times New Roman" w:hAnsi="Times New Roman" w:cs="Times New Roman"/>
          <w:sz w:val="30"/>
          <w:szCs w:val="30"/>
          <w:lang w:eastAsia="zh"/>
        </w:rPr>
        <w:t>Requirements</w:t>
      </w:r>
      <w:r>
        <w:rPr>
          <w:rFonts w:hint="default" w:ascii="Times New Roman" w:hAnsi="Times New Roman" w:eastAsia="宋体" w:cs="Times New Roman"/>
          <w:sz w:val="30"/>
          <w:szCs w:val="30"/>
        </w:rPr>
        <w:t xml:space="preserve"> for Stereotactic Body Radiation Therapy (SBRT) in</w:t>
      </w:r>
    </w:p>
    <w:p w14:paraId="15771859">
      <w:pPr>
        <w:pStyle w:val="25"/>
        <w:ind w:firstLine="0" w:firstLineChars="0"/>
        <w:jc w:val="cente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Non-Small Cell Lung Cancer (NSCLC)and chest tumor</w:t>
      </w:r>
    </w:p>
    <w:p w14:paraId="64129A17">
      <w:pPr>
        <w:spacing w:line="243" w:lineRule="auto"/>
        <w:rPr>
          <w:rFonts w:ascii="Arial"/>
          <w:sz w:val="21"/>
        </w:rPr>
      </w:pPr>
    </w:p>
    <w:p w14:paraId="3071100A">
      <w:pPr>
        <w:spacing w:line="243" w:lineRule="auto"/>
        <w:rPr>
          <w:rFonts w:ascii="Arial"/>
          <w:sz w:val="21"/>
        </w:rPr>
      </w:pPr>
    </w:p>
    <w:p w14:paraId="59E09878">
      <w:pPr>
        <w:spacing w:line="243" w:lineRule="auto"/>
        <w:rPr>
          <w:rFonts w:ascii="Arial"/>
          <w:sz w:val="21"/>
        </w:rPr>
      </w:pPr>
    </w:p>
    <w:p w14:paraId="0CF2CBAD">
      <w:pPr>
        <w:spacing w:line="243" w:lineRule="auto"/>
        <w:rPr>
          <w:rFonts w:ascii="Arial"/>
          <w:sz w:val="21"/>
        </w:rPr>
      </w:pPr>
    </w:p>
    <w:p w14:paraId="66747EF2">
      <w:pPr>
        <w:spacing w:line="243" w:lineRule="auto"/>
        <w:rPr>
          <w:rFonts w:ascii="Arial"/>
          <w:sz w:val="21"/>
        </w:rPr>
      </w:pPr>
    </w:p>
    <w:p w14:paraId="4858FB05">
      <w:pPr>
        <w:spacing w:line="243" w:lineRule="auto"/>
        <w:rPr>
          <w:rFonts w:ascii="Arial"/>
          <w:sz w:val="21"/>
        </w:rPr>
      </w:pPr>
    </w:p>
    <w:p w14:paraId="69209B0A">
      <w:pPr>
        <w:spacing w:line="243" w:lineRule="auto"/>
        <w:rPr>
          <w:rFonts w:ascii="Arial"/>
          <w:sz w:val="21"/>
        </w:rPr>
      </w:pPr>
    </w:p>
    <w:p w14:paraId="5BFC48E6">
      <w:pPr>
        <w:spacing w:line="243" w:lineRule="auto"/>
        <w:rPr>
          <w:rFonts w:ascii="Arial"/>
          <w:sz w:val="21"/>
        </w:rPr>
      </w:pPr>
    </w:p>
    <w:p w14:paraId="45C8223F">
      <w:pPr>
        <w:spacing w:line="243" w:lineRule="auto"/>
        <w:rPr>
          <w:rFonts w:ascii="Arial"/>
          <w:sz w:val="21"/>
        </w:rPr>
      </w:pPr>
    </w:p>
    <w:p w14:paraId="432D2838">
      <w:pPr>
        <w:spacing w:line="243" w:lineRule="auto"/>
        <w:rPr>
          <w:rFonts w:ascii="Arial"/>
          <w:sz w:val="21"/>
        </w:rPr>
      </w:pPr>
    </w:p>
    <w:p w14:paraId="0357429A">
      <w:pPr>
        <w:spacing w:line="243" w:lineRule="auto"/>
        <w:rPr>
          <w:rFonts w:ascii="Arial"/>
          <w:sz w:val="21"/>
        </w:rPr>
      </w:pPr>
    </w:p>
    <w:p w14:paraId="1EF28FBD">
      <w:pPr>
        <w:pStyle w:val="3"/>
      </w:pPr>
    </w:p>
    <w:p w14:paraId="63E1914F"/>
    <w:p w14:paraId="764F3300"/>
    <w:p w14:paraId="71A2B861"/>
    <w:p w14:paraId="322A386B"/>
    <w:p w14:paraId="232C2CDC"/>
    <w:p w14:paraId="3DB54B9B">
      <w:pPr>
        <w:spacing w:line="243" w:lineRule="auto"/>
        <w:rPr>
          <w:rFonts w:ascii="Arial"/>
          <w:sz w:val="21"/>
        </w:rPr>
      </w:pPr>
    </w:p>
    <w:p w14:paraId="136670FE">
      <w:pPr>
        <w:spacing w:line="243" w:lineRule="auto"/>
        <w:jc w:val="center"/>
        <w:rPr>
          <w:rFonts w:hint="default" w:ascii="Times New Roman" w:hAnsi="Times New Roman" w:cs="Times New Roman"/>
          <w:sz w:val="30"/>
          <w:szCs w:val="30"/>
          <w:lang w:val="en-US"/>
        </w:rPr>
      </w:pPr>
      <w:r>
        <w:rPr>
          <w:rFonts w:hint="eastAsia" w:ascii="宋体" w:hAnsi="宋体" w:eastAsia="宋体" w:cs="宋体"/>
          <w:snapToGrid/>
          <w:color w:val="auto"/>
          <w:kern w:val="0"/>
          <w:sz w:val="21"/>
          <w:szCs w:val="28"/>
          <w:lang w:val="en-US" w:eastAsia="zh-CN" w:bidi="ar-SA"/>
        </w:rPr>
        <w:t>2025-09-</w:t>
      </w: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924560</wp:posOffset>
                </wp:positionH>
                <wp:positionV relativeFrom="paragraph">
                  <wp:posOffset>8914130</wp:posOffset>
                </wp:positionV>
                <wp:extent cx="59797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797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8pt;margin-top:701.9pt;height:0.05pt;width:470.85pt;z-index:251660288;mso-width-relative:page;mso-height-relative:page;" filled="f" stroked="t" coordsize="21600,21600" o:gfxdata="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Doyl2QAAAA4BAAAPAAAAAAAAAAEAIAAAACIAAABkcnMvZG93bnJldi54&#10;bWxQSwECFAAUAAAACACHTuJAX4qCAfkBAAD0AwAADgAAAAAAAAABACAAAAAo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924560</wp:posOffset>
                </wp:positionH>
                <wp:positionV relativeFrom="paragraph">
                  <wp:posOffset>8914130</wp:posOffset>
                </wp:positionV>
                <wp:extent cx="597979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97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8pt;margin-top:701.9pt;height:0.05pt;width:470.85pt;z-index:251661312;mso-width-relative:page;mso-height-relative:page;" filled="f" stroked="t" coordsize="21600,21600" o:gfxdata="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UOjKXZAAAADgEAAA8AAAAAAAAAAQAgAAAAIgAAAGRycy9kb3ducmV2Lnht&#10;bFBLAQIUABQAAAAIAIdO4kBfpAYp+AEAAPQDAAAOAAAAAAAAAAEAIAAAACg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snapToGrid/>
          <w:color w:val="auto"/>
          <w:kern w:val="0"/>
          <w:sz w:val="21"/>
          <w:szCs w:val="28"/>
          <w:lang w:val="en-US" w:eastAsia="zh-CN" w:bidi="ar-SA"/>
        </w:rPr>
        <w:t>18</w:t>
      </w:r>
    </w:p>
    <w:p w14:paraId="74FDC1C2">
      <w:pPr>
        <w:spacing w:line="243" w:lineRule="auto"/>
        <w:rPr>
          <w:rFonts w:hint="default" w:ascii="Times New Roman" w:hAnsi="Times New Roman" w:cs="Times New Roman"/>
          <w:sz w:val="30"/>
          <w:szCs w:val="30"/>
        </w:rPr>
      </w:pPr>
    </w:p>
    <w:p w14:paraId="6DEE57E2">
      <w:pPr>
        <w:spacing w:line="243" w:lineRule="auto"/>
        <w:jc w:val="center"/>
        <w:rPr>
          <w:rFonts w:hint="eastAsia" w:ascii="宋体" w:hAnsi="宋体" w:eastAsia="宋体" w:cs="宋体"/>
          <w:lang w:val="en-US" w:eastAsia="zh-CN"/>
        </w:rPr>
      </w:pPr>
      <w:r>
        <w:rPr>
          <w:rFonts w:hint="eastAsia" w:ascii="宋体" w:hAnsi="宋体" w:eastAsia="宋体" w:cs="宋体"/>
          <w:lang w:val="en-US" w:eastAsia="zh-CN"/>
        </w:rPr>
        <w:t>中国民族卫生协会                发布</w:t>
      </w:r>
    </w:p>
    <w:p w14:paraId="18702766"/>
    <w:p w14:paraId="6A6D9A95">
      <w:pPr>
        <w:pStyle w:val="3"/>
        <w:keepNext w:val="0"/>
        <w:keepLines w:val="0"/>
        <w:pageBreakBefore w:val="0"/>
        <w:widowControl/>
        <w:kinsoku/>
        <w:wordWrap/>
        <w:overflowPunct/>
        <w:topLinePunct w:val="0"/>
        <w:autoSpaceDE/>
        <w:autoSpaceDN/>
        <w:bidi w:val="0"/>
        <w:adjustRightInd/>
        <w:snapToGrid/>
        <w:spacing w:line="240" w:lineRule="exact"/>
        <w:textAlignment w:val="auto"/>
        <w:rPr>
          <w:b w:val="0"/>
          <w:bCs w:val="0"/>
          <w:sz w:val="21"/>
          <w:szCs w:val="21"/>
        </w:rPr>
      </w:pPr>
    </w:p>
    <w:p w14:paraId="6A63727A">
      <w:pPr>
        <w:pStyle w:val="3"/>
        <w:keepNext w:val="0"/>
        <w:keepLines w:val="0"/>
        <w:pageBreakBefore w:val="0"/>
        <w:widowControl/>
        <w:kinsoku/>
        <w:wordWrap/>
        <w:overflowPunct/>
        <w:topLinePunct w:val="0"/>
        <w:autoSpaceDE/>
        <w:autoSpaceDN/>
        <w:bidi w:val="0"/>
        <w:adjustRightInd/>
        <w:snapToGrid/>
        <w:spacing w:line="240" w:lineRule="exact"/>
        <w:textAlignment w:val="auto"/>
        <w:rPr>
          <w:b w:val="0"/>
          <w:bCs w:val="0"/>
          <w:sz w:val="21"/>
          <w:szCs w:val="21"/>
        </w:rPr>
      </w:pPr>
    </w:p>
    <w:sdt>
      <w:sdtPr>
        <w:rPr>
          <w:rFonts w:ascii="宋体" w:hAnsi="宋体" w:eastAsia="宋体" w:cstheme="minorBidi"/>
          <w:sz w:val="21"/>
          <w:szCs w:val="22"/>
        </w:rPr>
        <w:id w:val="147480797"/>
        <w15:color w:val="DBDBDB"/>
        <w:docPartObj>
          <w:docPartGallery w:val="Table of Contents"/>
          <w:docPartUnique/>
        </w:docPartObj>
      </w:sdtPr>
      <w:sdtContent>
        <w:p w14:paraId="32FCFA0F">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BEF5B9E">
          <w:pPr>
            <w:pStyle w:val="12"/>
            <w:tabs>
              <w:tab w:val="right" w:leader="dot" w:pos="9026"/>
            </w:tabs>
          </w:pPr>
          <w:r>
            <w:fldChar w:fldCharType="begin"/>
          </w:r>
          <w:r>
            <w:instrText xml:space="preserve">TOC \o "1-3" \h \u </w:instrText>
          </w:r>
          <w:r>
            <w:fldChar w:fldCharType="separate"/>
          </w:r>
          <w:r>
            <w:fldChar w:fldCharType="begin"/>
          </w:r>
          <w:r>
            <w:instrText xml:space="preserve"> HYPERLINK \l _Toc3319 </w:instrText>
          </w:r>
          <w:r>
            <w:fldChar w:fldCharType="separate"/>
          </w:r>
          <w:r>
            <w:t>引言</w:t>
          </w:r>
          <w:r>
            <w:tab/>
          </w:r>
          <w:r>
            <w:fldChar w:fldCharType="begin"/>
          </w:r>
          <w:r>
            <w:instrText xml:space="preserve"> PAGEREF _Toc3319 \h </w:instrText>
          </w:r>
          <w:r>
            <w:fldChar w:fldCharType="separate"/>
          </w:r>
          <w:r>
            <w:t>3</w:t>
          </w:r>
          <w:r>
            <w:fldChar w:fldCharType="end"/>
          </w:r>
          <w:r>
            <w:fldChar w:fldCharType="end"/>
          </w:r>
        </w:p>
        <w:p w14:paraId="050D09BF">
          <w:pPr>
            <w:pStyle w:val="12"/>
            <w:tabs>
              <w:tab w:val="right" w:leader="dot" w:pos="9026"/>
            </w:tabs>
          </w:pPr>
          <w:r>
            <w:fldChar w:fldCharType="begin"/>
          </w:r>
          <w:r>
            <w:instrText xml:space="preserve"> HYPERLINK \l _Toc15197 </w:instrText>
          </w:r>
          <w:r>
            <w:fldChar w:fldCharType="separate"/>
          </w:r>
          <w:r>
            <w:t>前言</w:t>
          </w:r>
          <w:r>
            <w:tab/>
          </w:r>
          <w:r>
            <w:fldChar w:fldCharType="begin"/>
          </w:r>
          <w:r>
            <w:instrText xml:space="preserve"> PAGEREF _Toc15197 \h </w:instrText>
          </w:r>
          <w:r>
            <w:fldChar w:fldCharType="separate"/>
          </w:r>
          <w:r>
            <w:t>4</w:t>
          </w:r>
          <w:r>
            <w:fldChar w:fldCharType="end"/>
          </w:r>
          <w:r>
            <w:fldChar w:fldCharType="end"/>
          </w:r>
        </w:p>
        <w:p w14:paraId="7A7A0341">
          <w:pPr>
            <w:pStyle w:val="12"/>
            <w:tabs>
              <w:tab w:val="right" w:leader="dot" w:pos="9026"/>
            </w:tabs>
          </w:pPr>
          <w:r>
            <w:fldChar w:fldCharType="begin"/>
          </w:r>
          <w:r>
            <w:instrText xml:space="preserve"> HYPERLINK \l _Toc25957 </w:instrText>
          </w:r>
          <w:r>
            <w:fldChar w:fldCharType="separate"/>
          </w:r>
          <w:r>
            <w:t>1 范围</w:t>
          </w:r>
          <w:r>
            <w:tab/>
          </w:r>
          <w:r>
            <w:fldChar w:fldCharType="begin"/>
          </w:r>
          <w:r>
            <w:instrText xml:space="preserve"> PAGEREF _Toc25957 \h </w:instrText>
          </w:r>
          <w:r>
            <w:fldChar w:fldCharType="separate"/>
          </w:r>
          <w:r>
            <w:t>6</w:t>
          </w:r>
          <w:r>
            <w:fldChar w:fldCharType="end"/>
          </w:r>
          <w:r>
            <w:fldChar w:fldCharType="end"/>
          </w:r>
        </w:p>
        <w:p w14:paraId="60DD5E64">
          <w:pPr>
            <w:pStyle w:val="12"/>
            <w:tabs>
              <w:tab w:val="right" w:leader="dot" w:pos="9026"/>
            </w:tabs>
          </w:pPr>
          <w:r>
            <w:fldChar w:fldCharType="begin"/>
          </w:r>
          <w:r>
            <w:instrText xml:space="preserve"> HYPERLINK \l _Toc13522 </w:instrText>
          </w:r>
          <w:r>
            <w:fldChar w:fldCharType="separate"/>
          </w:r>
          <w:r>
            <w:t>2 规范性引用文件</w:t>
          </w:r>
          <w:r>
            <w:tab/>
          </w:r>
          <w:r>
            <w:fldChar w:fldCharType="begin"/>
          </w:r>
          <w:r>
            <w:instrText xml:space="preserve"> PAGEREF _Toc13522 \h </w:instrText>
          </w:r>
          <w:r>
            <w:fldChar w:fldCharType="separate"/>
          </w:r>
          <w:r>
            <w:t>7</w:t>
          </w:r>
          <w:r>
            <w:fldChar w:fldCharType="end"/>
          </w:r>
          <w:r>
            <w:fldChar w:fldCharType="end"/>
          </w:r>
        </w:p>
        <w:p w14:paraId="0622AD60">
          <w:pPr>
            <w:pStyle w:val="12"/>
            <w:tabs>
              <w:tab w:val="right" w:leader="dot" w:pos="9026"/>
            </w:tabs>
          </w:pPr>
          <w:r>
            <w:fldChar w:fldCharType="begin"/>
          </w:r>
          <w:r>
            <w:instrText xml:space="preserve"> HYPERLINK \l _Toc22129 </w:instrText>
          </w:r>
          <w:r>
            <w:fldChar w:fldCharType="separate"/>
          </w:r>
          <w:r>
            <w:t>3 术语和定义</w:t>
          </w:r>
          <w:r>
            <w:tab/>
          </w:r>
          <w:r>
            <w:fldChar w:fldCharType="begin"/>
          </w:r>
          <w:r>
            <w:instrText xml:space="preserve"> PAGEREF _Toc22129 \h </w:instrText>
          </w:r>
          <w:r>
            <w:fldChar w:fldCharType="separate"/>
          </w:r>
          <w:r>
            <w:t>7</w:t>
          </w:r>
          <w:r>
            <w:fldChar w:fldCharType="end"/>
          </w:r>
          <w:r>
            <w:fldChar w:fldCharType="end"/>
          </w:r>
        </w:p>
        <w:p w14:paraId="468A9027">
          <w:pPr>
            <w:pStyle w:val="14"/>
            <w:tabs>
              <w:tab w:val="right" w:leader="dot" w:pos="9026"/>
            </w:tabs>
          </w:pPr>
          <w:r>
            <w:fldChar w:fldCharType="begin"/>
          </w:r>
          <w:r>
            <w:instrText xml:space="preserve"> HYPERLINK \l _Toc6290 </w:instrText>
          </w:r>
          <w:r>
            <w:fldChar w:fldCharType="separate"/>
          </w:r>
          <w:r>
            <w:t>3.1 骨转移瘤立体定向放疗（Stereotactic Body Radiotherapy, SBRT）</w:t>
          </w:r>
          <w:r>
            <w:tab/>
          </w:r>
          <w:r>
            <w:fldChar w:fldCharType="begin"/>
          </w:r>
          <w:r>
            <w:instrText xml:space="preserve"> PAGEREF _Toc6290 \h </w:instrText>
          </w:r>
          <w:r>
            <w:fldChar w:fldCharType="separate"/>
          </w:r>
          <w:r>
            <w:t>7</w:t>
          </w:r>
          <w:r>
            <w:fldChar w:fldCharType="end"/>
          </w:r>
          <w:r>
            <w:fldChar w:fldCharType="end"/>
          </w:r>
        </w:p>
        <w:p w14:paraId="123D0521">
          <w:pPr>
            <w:pStyle w:val="14"/>
            <w:tabs>
              <w:tab w:val="right" w:leader="dot" w:pos="9026"/>
            </w:tabs>
          </w:pPr>
          <w:r>
            <w:fldChar w:fldCharType="begin"/>
          </w:r>
          <w:r>
            <w:instrText xml:space="preserve"> HYPERLINK \l _Toc6434 </w:instrText>
          </w:r>
          <w:r>
            <w:fldChar w:fldCharType="separate"/>
          </w:r>
          <w:r>
            <w:t>3.2 立体定向消融放射治疗（Stereotactic Ablative Radiotherapy, SABR）</w:t>
          </w:r>
          <w:r>
            <w:tab/>
          </w:r>
          <w:r>
            <w:fldChar w:fldCharType="begin"/>
          </w:r>
          <w:r>
            <w:instrText xml:space="preserve"> PAGEREF _Toc6434 \h </w:instrText>
          </w:r>
          <w:r>
            <w:fldChar w:fldCharType="separate"/>
          </w:r>
          <w:r>
            <w:t>7</w:t>
          </w:r>
          <w:r>
            <w:fldChar w:fldCharType="end"/>
          </w:r>
          <w:r>
            <w:fldChar w:fldCharType="end"/>
          </w:r>
        </w:p>
        <w:p w14:paraId="2AAD940E">
          <w:pPr>
            <w:pStyle w:val="12"/>
            <w:tabs>
              <w:tab w:val="right" w:leader="dot" w:pos="9026"/>
            </w:tabs>
          </w:pPr>
          <w:r>
            <w:fldChar w:fldCharType="begin"/>
          </w:r>
          <w:r>
            <w:instrText xml:space="preserve"> HYPERLINK \l _Toc20163 </w:instrText>
          </w:r>
          <w:r>
            <w:fldChar w:fldCharType="separate"/>
          </w:r>
          <w:r>
            <w:t>4 缩略语</w:t>
          </w:r>
          <w:r>
            <w:tab/>
          </w:r>
          <w:r>
            <w:fldChar w:fldCharType="begin"/>
          </w:r>
          <w:r>
            <w:instrText xml:space="preserve"> PAGEREF _Toc20163 \h </w:instrText>
          </w:r>
          <w:r>
            <w:fldChar w:fldCharType="separate"/>
          </w:r>
          <w:r>
            <w:t>8</w:t>
          </w:r>
          <w:r>
            <w:fldChar w:fldCharType="end"/>
          </w:r>
          <w:r>
            <w:fldChar w:fldCharType="end"/>
          </w:r>
        </w:p>
        <w:p w14:paraId="28AB6B00">
          <w:pPr>
            <w:pStyle w:val="12"/>
            <w:tabs>
              <w:tab w:val="right" w:leader="dot" w:pos="9026"/>
            </w:tabs>
          </w:pPr>
          <w:r>
            <w:fldChar w:fldCharType="begin"/>
          </w:r>
          <w:r>
            <w:instrText xml:space="preserve"> HYPERLINK \l _Toc9058 </w:instrText>
          </w:r>
          <w:r>
            <w:fldChar w:fldCharType="separate"/>
          </w:r>
          <w:r>
            <w:t>5 基本要求（医疗机构、设备、配套设施）</w:t>
          </w:r>
          <w:r>
            <w:tab/>
          </w:r>
          <w:r>
            <w:fldChar w:fldCharType="begin"/>
          </w:r>
          <w:r>
            <w:instrText xml:space="preserve"> PAGEREF _Toc9058 \h </w:instrText>
          </w:r>
          <w:r>
            <w:fldChar w:fldCharType="separate"/>
          </w:r>
          <w:r>
            <w:t>8</w:t>
          </w:r>
          <w:r>
            <w:fldChar w:fldCharType="end"/>
          </w:r>
          <w:r>
            <w:fldChar w:fldCharType="end"/>
          </w:r>
        </w:p>
        <w:p w14:paraId="57446D0F">
          <w:pPr>
            <w:pStyle w:val="14"/>
            <w:tabs>
              <w:tab w:val="right" w:leader="dot" w:pos="9026"/>
            </w:tabs>
          </w:pPr>
          <w:r>
            <w:fldChar w:fldCharType="begin"/>
          </w:r>
          <w:r>
            <w:instrText xml:space="preserve"> HYPERLINK \l _Toc12981 </w:instrText>
          </w:r>
          <w:r>
            <w:fldChar w:fldCharType="separate"/>
          </w:r>
          <w:r>
            <w:t>5.1 医疗机构基本要求</w:t>
          </w:r>
          <w:r>
            <w:tab/>
          </w:r>
          <w:r>
            <w:fldChar w:fldCharType="begin"/>
          </w:r>
          <w:r>
            <w:instrText xml:space="preserve"> PAGEREF _Toc12981 \h </w:instrText>
          </w:r>
          <w:r>
            <w:fldChar w:fldCharType="separate"/>
          </w:r>
          <w:r>
            <w:t>8</w:t>
          </w:r>
          <w:r>
            <w:fldChar w:fldCharType="end"/>
          </w:r>
          <w:r>
            <w:fldChar w:fldCharType="end"/>
          </w:r>
        </w:p>
        <w:p w14:paraId="2AB0DD8E">
          <w:pPr>
            <w:pStyle w:val="14"/>
            <w:tabs>
              <w:tab w:val="right" w:leader="dot" w:pos="9026"/>
            </w:tabs>
          </w:pPr>
          <w:r>
            <w:fldChar w:fldCharType="begin"/>
          </w:r>
          <w:r>
            <w:instrText xml:space="preserve"> HYPERLINK \l _Toc21528 </w:instrText>
          </w:r>
          <w:r>
            <w:fldChar w:fldCharType="separate"/>
          </w:r>
          <w:r>
            <w:t>5.2 设备要求</w:t>
          </w:r>
          <w:r>
            <w:tab/>
          </w:r>
          <w:r>
            <w:fldChar w:fldCharType="begin"/>
          </w:r>
          <w:r>
            <w:instrText xml:space="preserve"> PAGEREF _Toc21528 \h </w:instrText>
          </w:r>
          <w:r>
            <w:fldChar w:fldCharType="separate"/>
          </w:r>
          <w:r>
            <w:t>9</w:t>
          </w:r>
          <w:r>
            <w:fldChar w:fldCharType="end"/>
          </w:r>
          <w:r>
            <w:fldChar w:fldCharType="end"/>
          </w:r>
        </w:p>
        <w:p w14:paraId="4B01C197">
          <w:pPr>
            <w:pStyle w:val="9"/>
            <w:tabs>
              <w:tab w:val="right" w:leader="dot" w:pos="9026"/>
            </w:tabs>
          </w:pPr>
          <w:r>
            <w:fldChar w:fldCharType="begin"/>
          </w:r>
          <w:r>
            <w:instrText xml:space="preserve"> HYPERLINK \l _Toc23815 </w:instrText>
          </w:r>
          <w:r>
            <w:fldChar w:fldCharType="separate"/>
          </w:r>
          <w:r>
            <w:t>5.2.1 CT 模拟定位系统</w:t>
          </w:r>
          <w:r>
            <w:tab/>
          </w:r>
          <w:r>
            <w:fldChar w:fldCharType="begin"/>
          </w:r>
          <w:r>
            <w:instrText xml:space="preserve"> PAGEREF _Toc23815 \h </w:instrText>
          </w:r>
          <w:r>
            <w:fldChar w:fldCharType="separate"/>
          </w:r>
          <w:r>
            <w:t>9</w:t>
          </w:r>
          <w:r>
            <w:fldChar w:fldCharType="end"/>
          </w:r>
          <w:r>
            <w:fldChar w:fldCharType="end"/>
          </w:r>
        </w:p>
        <w:p w14:paraId="6F27CE86">
          <w:pPr>
            <w:pStyle w:val="9"/>
            <w:tabs>
              <w:tab w:val="right" w:leader="dot" w:pos="9026"/>
            </w:tabs>
          </w:pPr>
          <w:r>
            <w:fldChar w:fldCharType="begin"/>
          </w:r>
          <w:r>
            <w:instrText xml:space="preserve"> HYPERLINK \l _Toc10592 </w:instrText>
          </w:r>
          <w:r>
            <w:fldChar w:fldCharType="separate"/>
          </w:r>
          <w:r>
            <w:t>5.2.2 治疗计划系统</w:t>
          </w:r>
          <w:r>
            <w:tab/>
          </w:r>
          <w:r>
            <w:fldChar w:fldCharType="begin"/>
          </w:r>
          <w:r>
            <w:instrText xml:space="preserve"> PAGEREF _Toc10592 \h </w:instrText>
          </w:r>
          <w:r>
            <w:fldChar w:fldCharType="separate"/>
          </w:r>
          <w:r>
            <w:t>9</w:t>
          </w:r>
          <w:r>
            <w:fldChar w:fldCharType="end"/>
          </w:r>
          <w:r>
            <w:fldChar w:fldCharType="end"/>
          </w:r>
        </w:p>
        <w:p w14:paraId="3AA25B17">
          <w:pPr>
            <w:pStyle w:val="9"/>
            <w:tabs>
              <w:tab w:val="right" w:leader="dot" w:pos="9026"/>
            </w:tabs>
          </w:pPr>
          <w:r>
            <w:fldChar w:fldCharType="begin"/>
          </w:r>
          <w:r>
            <w:instrText xml:space="preserve"> HYPERLINK \l _Toc17301 </w:instrText>
          </w:r>
          <w:r>
            <w:fldChar w:fldCharType="separate"/>
          </w:r>
          <w:r>
            <w:t>5.2.3 放射治疗设备</w:t>
          </w:r>
          <w:r>
            <w:tab/>
          </w:r>
          <w:r>
            <w:fldChar w:fldCharType="begin"/>
          </w:r>
          <w:r>
            <w:instrText xml:space="preserve"> PAGEREF _Toc17301 \h </w:instrText>
          </w:r>
          <w:r>
            <w:fldChar w:fldCharType="separate"/>
          </w:r>
          <w:r>
            <w:t>9</w:t>
          </w:r>
          <w:r>
            <w:fldChar w:fldCharType="end"/>
          </w:r>
          <w:r>
            <w:fldChar w:fldCharType="end"/>
          </w:r>
        </w:p>
        <w:p w14:paraId="3BC580B1">
          <w:pPr>
            <w:pStyle w:val="14"/>
            <w:tabs>
              <w:tab w:val="right" w:leader="dot" w:pos="9026"/>
            </w:tabs>
          </w:pPr>
          <w:r>
            <w:fldChar w:fldCharType="begin"/>
          </w:r>
          <w:r>
            <w:instrText xml:space="preserve"> HYPERLINK \l _Toc6439 </w:instrText>
          </w:r>
          <w:r>
            <w:fldChar w:fldCharType="separate"/>
          </w:r>
          <w:r>
            <w:t>5.3 配套设施要求</w:t>
          </w:r>
          <w:r>
            <w:tab/>
          </w:r>
          <w:r>
            <w:fldChar w:fldCharType="begin"/>
          </w:r>
          <w:r>
            <w:instrText xml:space="preserve"> PAGEREF _Toc6439 \h </w:instrText>
          </w:r>
          <w:r>
            <w:fldChar w:fldCharType="separate"/>
          </w:r>
          <w:r>
            <w:t>10</w:t>
          </w:r>
          <w:r>
            <w:fldChar w:fldCharType="end"/>
          </w:r>
          <w:r>
            <w:fldChar w:fldCharType="end"/>
          </w:r>
        </w:p>
        <w:p w14:paraId="0DC8DD8D">
          <w:pPr>
            <w:pStyle w:val="12"/>
            <w:tabs>
              <w:tab w:val="right" w:leader="dot" w:pos="9026"/>
            </w:tabs>
          </w:pPr>
          <w:r>
            <w:fldChar w:fldCharType="begin"/>
          </w:r>
          <w:r>
            <w:instrText xml:space="preserve"> HYPERLINK \l _Toc1550 </w:instrText>
          </w:r>
          <w:r>
            <w:fldChar w:fldCharType="separate"/>
          </w:r>
          <w:r>
            <w:t>6 人员要求</w:t>
          </w:r>
          <w:r>
            <w:tab/>
          </w:r>
          <w:r>
            <w:fldChar w:fldCharType="begin"/>
          </w:r>
          <w:r>
            <w:instrText xml:space="preserve"> PAGEREF _Toc1550 \h </w:instrText>
          </w:r>
          <w:r>
            <w:fldChar w:fldCharType="separate"/>
          </w:r>
          <w:r>
            <w:t>10</w:t>
          </w:r>
          <w:r>
            <w:fldChar w:fldCharType="end"/>
          </w:r>
          <w:r>
            <w:fldChar w:fldCharType="end"/>
          </w:r>
        </w:p>
        <w:p w14:paraId="084492E7">
          <w:pPr>
            <w:pStyle w:val="14"/>
            <w:tabs>
              <w:tab w:val="right" w:leader="dot" w:pos="9026"/>
            </w:tabs>
          </w:pPr>
          <w:r>
            <w:fldChar w:fldCharType="begin"/>
          </w:r>
          <w:r>
            <w:instrText xml:space="preserve"> HYPERLINK \l _Toc10224 </w:instrText>
          </w:r>
          <w:r>
            <w:fldChar w:fldCharType="separate"/>
          </w:r>
          <w:r>
            <w:t>6.1 人员资质</w:t>
          </w:r>
          <w:r>
            <w:tab/>
          </w:r>
          <w:r>
            <w:fldChar w:fldCharType="begin"/>
          </w:r>
          <w:r>
            <w:instrText xml:space="preserve"> PAGEREF _Toc10224 \h </w:instrText>
          </w:r>
          <w:r>
            <w:fldChar w:fldCharType="separate"/>
          </w:r>
          <w:r>
            <w:t>10</w:t>
          </w:r>
          <w:r>
            <w:fldChar w:fldCharType="end"/>
          </w:r>
          <w:r>
            <w:fldChar w:fldCharType="end"/>
          </w:r>
        </w:p>
        <w:p w14:paraId="6481D364">
          <w:pPr>
            <w:pStyle w:val="9"/>
            <w:tabs>
              <w:tab w:val="right" w:leader="dot" w:pos="9026"/>
            </w:tabs>
          </w:pPr>
          <w:r>
            <w:fldChar w:fldCharType="begin"/>
          </w:r>
          <w:r>
            <w:instrText xml:space="preserve"> HYPERLINK \l _Toc13364 </w:instrText>
          </w:r>
          <w:r>
            <w:fldChar w:fldCharType="separate"/>
          </w:r>
          <w:r>
            <w:t>6.1.1 放射治疗医师</w:t>
          </w:r>
          <w:r>
            <w:tab/>
          </w:r>
          <w:r>
            <w:fldChar w:fldCharType="begin"/>
          </w:r>
          <w:r>
            <w:instrText xml:space="preserve"> PAGEREF _Toc13364 \h </w:instrText>
          </w:r>
          <w:r>
            <w:fldChar w:fldCharType="separate"/>
          </w:r>
          <w:r>
            <w:t>10</w:t>
          </w:r>
          <w:r>
            <w:fldChar w:fldCharType="end"/>
          </w:r>
          <w:r>
            <w:fldChar w:fldCharType="end"/>
          </w:r>
        </w:p>
        <w:p w14:paraId="16510C55">
          <w:pPr>
            <w:pStyle w:val="9"/>
            <w:tabs>
              <w:tab w:val="right" w:leader="dot" w:pos="9026"/>
            </w:tabs>
          </w:pPr>
          <w:r>
            <w:fldChar w:fldCharType="begin"/>
          </w:r>
          <w:r>
            <w:instrText xml:space="preserve"> HYPERLINK \l _Toc30361 </w:instrText>
          </w:r>
          <w:r>
            <w:fldChar w:fldCharType="separate"/>
          </w:r>
          <w:r>
            <w:t>6.1.2 医学物理师</w:t>
          </w:r>
          <w:r>
            <w:tab/>
          </w:r>
          <w:r>
            <w:fldChar w:fldCharType="begin"/>
          </w:r>
          <w:r>
            <w:instrText xml:space="preserve"> PAGEREF _Toc30361 \h </w:instrText>
          </w:r>
          <w:r>
            <w:fldChar w:fldCharType="separate"/>
          </w:r>
          <w:r>
            <w:t>10</w:t>
          </w:r>
          <w:r>
            <w:fldChar w:fldCharType="end"/>
          </w:r>
          <w:r>
            <w:fldChar w:fldCharType="end"/>
          </w:r>
        </w:p>
        <w:p w14:paraId="16E0037E">
          <w:pPr>
            <w:pStyle w:val="9"/>
            <w:tabs>
              <w:tab w:val="right" w:leader="dot" w:pos="9026"/>
            </w:tabs>
          </w:pPr>
          <w:r>
            <w:fldChar w:fldCharType="begin"/>
          </w:r>
          <w:r>
            <w:instrText xml:space="preserve"> HYPERLINK \l _Toc778 </w:instrText>
          </w:r>
          <w:r>
            <w:fldChar w:fldCharType="separate"/>
          </w:r>
          <w:r>
            <w:t>6.1.3 放射治疗技师</w:t>
          </w:r>
          <w:r>
            <w:tab/>
          </w:r>
          <w:r>
            <w:fldChar w:fldCharType="begin"/>
          </w:r>
          <w:r>
            <w:instrText xml:space="preserve"> PAGEREF _Toc778 \h </w:instrText>
          </w:r>
          <w:r>
            <w:fldChar w:fldCharType="separate"/>
          </w:r>
          <w:r>
            <w:t>11</w:t>
          </w:r>
          <w:r>
            <w:fldChar w:fldCharType="end"/>
          </w:r>
          <w:r>
            <w:fldChar w:fldCharType="end"/>
          </w:r>
        </w:p>
        <w:p w14:paraId="37438A84">
          <w:pPr>
            <w:pStyle w:val="9"/>
            <w:tabs>
              <w:tab w:val="right" w:leader="dot" w:pos="9026"/>
            </w:tabs>
          </w:pPr>
          <w:r>
            <w:fldChar w:fldCharType="begin"/>
          </w:r>
          <w:r>
            <w:instrText xml:space="preserve"> HYPERLINK \l _Toc1866 </w:instrText>
          </w:r>
          <w:r>
            <w:fldChar w:fldCharType="separate"/>
          </w:r>
          <w:r>
            <w:t>6.1.4 护士</w:t>
          </w:r>
          <w:r>
            <w:tab/>
          </w:r>
          <w:r>
            <w:fldChar w:fldCharType="begin"/>
          </w:r>
          <w:r>
            <w:instrText xml:space="preserve"> PAGEREF _Toc1866 \h </w:instrText>
          </w:r>
          <w:r>
            <w:fldChar w:fldCharType="separate"/>
          </w:r>
          <w:r>
            <w:t>11</w:t>
          </w:r>
          <w:r>
            <w:fldChar w:fldCharType="end"/>
          </w:r>
          <w:r>
            <w:fldChar w:fldCharType="end"/>
          </w:r>
        </w:p>
        <w:p w14:paraId="649481E4">
          <w:pPr>
            <w:pStyle w:val="9"/>
            <w:tabs>
              <w:tab w:val="right" w:leader="dot" w:pos="9026"/>
            </w:tabs>
          </w:pPr>
          <w:r>
            <w:fldChar w:fldCharType="begin"/>
          </w:r>
          <w:r>
            <w:instrText xml:space="preserve"> HYPERLINK \l _Toc20604 </w:instrText>
          </w:r>
          <w:r>
            <w:fldChar w:fldCharType="separate"/>
          </w:r>
          <w:r>
            <w:t>6.1.5 医学工程师</w:t>
          </w:r>
          <w:r>
            <w:tab/>
          </w:r>
          <w:r>
            <w:fldChar w:fldCharType="begin"/>
          </w:r>
          <w:r>
            <w:instrText xml:space="preserve"> PAGEREF _Toc20604 \h </w:instrText>
          </w:r>
          <w:r>
            <w:fldChar w:fldCharType="separate"/>
          </w:r>
          <w:r>
            <w:t>11</w:t>
          </w:r>
          <w:r>
            <w:fldChar w:fldCharType="end"/>
          </w:r>
          <w:r>
            <w:fldChar w:fldCharType="end"/>
          </w:r>
        </w:p>
        <w:p w14:paraId="5CA81EF5">
          <w:pPr>
            <w:pStyle w:val="9"/>
            <w:tabs>
              <w:tab w:val="right" w:leader="dot" w:pos="9026"/>
            </w:tabs>
          </w:pPr>
          <w:r>
            <w:fldChar w:fldCharType="begin"/>
          </w:r>
          <w:r>
            <w:instrText xml:space="preserve"> HYPERLINK \l _Toc15108 </w:instrText>
          </w:r>
          <w:r>
            <w:fldChar w:fldCharType="separate"/>
          </w:r>
          <w:r>
            <w:t>6.1.6 核安全工程师</w:t>
          </w:r>
          <w:r>
            <w:tab/>
          </w:r>
          <w:r>
            <w:fldChar w:fldCharType="begin"/>
          </w:r>
          <w:r>
            <w:instrText xml:space="preserve"> PAGEREF _Toc15108 \h </w:instrText>
          </w:r>
          <w:r>
            <w:fldChar w:fldCharType="separate"/>
          </w:r>
          <w:r>
            <w:t>11</w:t>
          </w:r>
          <w:r>
            <w:fldChar w:fldCharType="end"/>
          </w:r>
          <w:r>
            <w:fldChar w:fldCharType="end"/>
          </w:r>
        </w:p>
        <w:p w14:paraId="4578FFFC">
          <w:pPr>
            <w:pStyle w:val="14"/>
            <w:tabs>
              <w:tab w:val="right" w:leader="dot" w:pos="9026"/>
            </w:tabs>
          </w:pPr>
          <w:r>
            <w:fldChar w:fldCharType="begin"/>
          </w:r>
          <w:r>
            <w:instrText xml:space="preserve"> HYPERLINK \l _Toc4423 </w:instrText>
          </w:r>
          <w:r>
            <w:fldChar w:fldCharType="separate"/>
          </w:r>
          <w:r>
            <w:t>6.2 人员职责</w:t>
          </w:r>
          <w:r>
            <w:tab/>
          </w:r>
          <w:r>
            <w:fldChar w:fldCharType="begin"/>
          </w:r>
          <w:r>
            <w:instrText xml:space="preserve"> PAGEREF _Toc4423 \h </w:instrText>
          </w:r>
          <w:r>
            <w:fldChar w:fldCharType="separate"/>
          </w:r>
          <w:r>
            <w:t>11</w:t>
          </w:r>
          <w:r>
            <w:fldChar w:fldCharType="end"/>
          </w:r>
          <w:r>
            <w:fldChar w:fldCharType="end"/>
          </w:r>
        </w:p>
        <w:p w14:paraId="2882E258">
          <w:pPr>
            <w:pStyle w:val="9"/>
            <w:tabs>
              <w:tab w:val="right" w:leader="dot" w:pos="9026"/>
            </w:tabs>
          </w:pPr>
          <w:r>
            <w:fldChar w:fldCharType="begin"/>
          </w:r>
          <w:r>
            <w:instrText xml:space="preserve"> HYPERLINK \l _Toc21597 </w:instrText>
          </w:r>
          <w:r>
            <w:fldChar w:fldCharType="separate"/>
          </w:r>
          <w:r>
            <w:t>6.2.1 放疗医师职责</w:t>
          </w:r>
          <w:r>
            <w:tab/>
          </w:r>
          <w:r>
            <w:fldChar w:fldCharType="begin"/>
          </w:r>
          <w:r>
            <w:instrText xml:space="preserve"> PAGEREF _Toc21597 \h </w:instrText>
          </w:r>
          <w:r>
            <w:fldChar w:fldCharType="separate"/>
          </w:r>
          <w:r>
            <w:t>11</w:t>
          </w:r>
          <w:r>
            <w:fldChar w:fldCharType="end"/>
          </w:r>
          <w:r>
            <w:fldChar w:fldCharType="end"/>
          </w:r>
        </w:p>
        <w:p w14:paraId="402DFBB0">
          <w:pPr>
            <w:pStyle w:val="9"/>
            <w:tabs>
              <w:tab w:val="right" w:leader="dot" w:pos="9026"/>
            </w:tabs>
          </w:pPr>
          <w:r>
            <w:fldChar w:fldCharType="begin"/>
          </w:r>
          <w:r>
            <w:instrText xml:space="preserve"> HYPERLINK \l _Toc25389 </w:instrText>
          </w:r>
          <w:r>
            <w:fldChar w:fldCharType="separate"/>
          </w:r>
          <w:r>
            <w:t>6.2.2 医学物理师职责</w:t>
          </w:r>
          <w:r>
            <w:tab/>
          </w:r>
          <w:r>
            <w:fldChar w:fldCharType="begin"/>
          </w:r>
          <w:r>
            <w:instrText xml:space="preserve"> PAGEREF _Toc25389 \h </w:instrText>
          </w:r>
          <w:r>
            <w:fldChar w:fldCharType="separate"/>
          </w:r>
          <w:r>
            <w:t>11</w:t>
          </w:r>
          <w:r>
            <w:fldChar w:fldCharType="end"/>
          </w:r>
          <w:r>
            <w:fldChar w:fldCharType="end"/>
          </w:r>
        </w:p>
        <w:p w14:paraId="366230D3">
          <w:pPr>
            <w:pStyle w:val="9"/>
            <w:tabs>
              <w:tab w:val="right" w:leader="dot" w:pos="9026"/>
            </w:tabs>
          </w:pPr>
          <w:r>
            <w:fldChar w:fldCharType="begin"/>
          </w:r>
          <w:r>
            <w:instrText xml:space="preserve"> HYPERLINK \l _Toc29041 </w:instrText>
          </w:r>
          <w:r>
            <w:fldChar w:fldCharType="separate"/>
          </w:r>
          <w:r>
            <w:t>6.2.3 医学剂量师职责</w:t>
          </w:r>
          <w:r>
            <w:tab/>
          </w:r>
          <w:r>
            <w:fldChar w:fldCharType="begin"/>
          </w:r>
          <w:r>
            <w:instrText xml:space="preserve"> PAGEREF _Toc29041 \h </w:instrText>
          </w:r>
          <w:r>
            <w:fldChar w:fldCharType="separate"/>
          </w:r>
          <w:r>
            <w:t>12</w:t>
          </w:r>
          <w:r>
            <w:fldChar w:fldCharType="end"/>
          </w:r>
          <w:r>
            <w:fldChar w:fldCharType="end"/>
          </w:r>
        </w:p>
        <w:p w14:paraId="37B8ECB5">
          <w:pPr>
            <w:pStyle w:val="9"/>
            <w:tabs>
              <w:tab w:val="right" w:leader="dot" w:pos="9026"/>
            </w:tabs>
          </w:pPr>
          <w:r>
            <w:fldChar w:fldCharType="begin"/>
          </w:r>
          <w:r>
            <w:instrText xml:space="preserve"> HYPERLINK \l _Toc3514 </w:instrText>
          </w:r>
          <w:r>
            <w:fldChar w:fldCharType="separate"/>
          </w:r>
          <w:r>
            <w:t>6.2.4 放疗技师职责</w:t>
          </w:r>
          <w:r>
            <w:tab/>
          </w:r>
          <w:r>
            <w:fldChar w:fldCharType="begin"/>
          </w:r>
          <w:r>
            <w:instrText xml:space="preserve"> PAGEREF _Toc3514 \h </w:instrText>
          </w:r>
          <w:r>
            <w:fldChar w:fldCharType="separate"/>
          </w:r>
          <w:r>
            <w:t>12</w:t>
          </w:r>
          <w:r>
            <w:fldChar w:fldCharType="end"/>
          </w:r>
          <w:r>
            <w:fldChar w:fldCharType="end"/>
          </w:r>
        </w:p>
        <w:p w14:paraId="7AC9E464">
          <w:pPr>
            <w:pStyle w:val="9"/>
            <w:tabs>
              <w:tab w:val="right" w:leader="dot" w:pos="9026"/>
            </w:tabs>
          </w:pPr>
          <w:r>
            <w:fldChar w:fldCharType="begin"/>
          </w:r>
          <w:r>
            <w:instrText xml:space="preserve"> HYPERLINK \l _Toc15891 </w:instrText>
          </w:r>
          <w:r>
            <w:fldChar w:fldCharType="separate"/>
          </w:r>
          <w:r>
            <w:t>6.2.5 放疗护士职责</w:t>
          </w:r>
          <w:r>
            <w:tab/>
          </w:r>
          <w:r>
            <w:fldChar w:fldCharType="begin"/>
          </w:r>
          <w:r>
            <w:instrText xml:space="preserve"> PAGEREF _Toc15891 \h </w:instrText>
          </w:r>
          <w:r>
            <w:fldChar w:fldCharType="separate"/>
          </w:r>
          <w:r>
            <w:t>12</w:t>
          </w:r>
          <w:r>
            <w:fldChar w:fldCharType="end"/>
          </w:r>
          <w:r>
            <w:fldChar w:fldCharType="end"/>
          </w:r>
        </w:p>
        <w:p w14:paraId="053EFF13">
          <w:pPr>
            <w:pStyle w:val="9"/>
            <w:tabs>
              <w:tab w:val="right" w:leader="dot" w:pos="9026"/>
            </w:tabs>
          </w:pPr>
          <w:r>
            <w:fldChar w:fldCharType="begin"/>
          </w:r>
          <w:r>
            <w:instrText xml:space="preserve"> HYPERLINK \l _Toc19994 </w:instrText>
          </w:r>
          <w:r>
            <w:fldChar w:fldCharType="separate"/>
          </w:r>
          <w:r>
            <w:t>6.2.6 放疗工程师职责</w:t>
          </w:r>
          <w:r>
            <w:tab/>
          </w:r>
          <w:r>
            <w:fldChar w:fldCharType="begin"/>
          </w:r>
          <w:r>
            <w:instrText xml:space="preserve"> PAGEREF _Toc19994 \h </w:instrText>
          </w:r>
          <w:r>
            <w:fldChar w:fldCharType="separate"/>
          </w:r>
          <w:r>
            <w:t>12</w:t>
          </w:r>
          <w:r>
            <w:fldChar w:fldCharType="end"/>
          </w:r>
          <w:r>
            <w:fldChar w:fldCharType="end"/>
          </w:r>
        </w:p>
        <w:p w14:paraId="43C68A34">
          <w:pPr>
            <w:pStyle w:val="14"/>
            <w:tabs>
              <w:tab w:val="right" w:leader="dot" w:pos="9026"/>
            </w:tabs>
          </w:pPr>
          <w:r>
            <w:fldChar w:fldCharType="begin"/>
          </w:r>
          <w:r>
            <w:instrText xml:space="preserve"> HYPERLINK \l _Toc26813 </w:instrText>
          </w:r>
          <w:r>
            <w:fldChar w:fldCharType="separate"/>
          </w:r>
          <w:r>
            <w:t>6.3 培训要求</w:t>
          </w:r>
          <w:r>
            <w:tab/>
          </w:r>
          <w:r>
            <w:fldChar w:fldCharType="begin"/>
          </w:r>
          <w:r>
            <w:instrText xml:space="preserve"> PAGEREF _Toc26813 \h </w:instrText>
          </w:r>
          <w:r>
            <w:fldChar w:fldCharType="separate"/>
          </w:r>
          <w:r>
            <w:t>12</w:t>
          </w:r>
          <w:r>
            <w:fldChar w:fldCharType="end"/>
          </w:r>
          <w:r>
            <w:fldChar w:fldCharType="end"/>
          </w:r>
        </w:p>
        <w:p w14:paraId="29696506">
          <w:pPr>
            <w:pStyle w:val="9"/>
            <w:tabs>
              <w:tab w:val="right" w:leader="dot" w:pos="9026"/>
            </w:tabs>
          </w:pPr>
          <w:r>
            <w:fldChar w:fldCharType="begin"/>
          </w:r>
          <w:r>
            <w:instrText xml:space="preserve"> HYPERLINK \l _Toc28380 </w:instrText>
          </w:r>
          <w:r>
            <w:fldChar w:fldCharType="separate"/>
          </w:r>
          <w:r>
            <w:t>6.3.1 医师培训要求</w:t>
          </w:r>
          <w:r>
            <w:tab/>
          </w:r>
          <w:r>
            <w:fldChar w:fldCharType="begin"/>
          </w:r>
          <w:r>
            <w:instrText xml:space="preserve"> PAGEREF _Toc28380 \h </w:instrText>
          </w:r>
          <w:r>
            <w:fldChar w:fldCharType="separate"/>
          </w:r>
          <w:r>
            <w:t>12</w:t>
          </w:r>
          <w:r>
            <w:fldChar w:fldCharType="end"/>
          </w:r>
          <w:r>
            <w:fldChar w:fldCharType="end"/>
          </w:r>
        </w:p>
        <w:p w14:paraId="39CA86C5">
          <w:pPr>
            <w:pStyle w:val="9"/>
            <w:tabs>
              <w:tab w:val="right" w:leader="dot" w:pos="9026"/>
            </w:tabs>
          </w:pPr>
          <w:r>
            <w:fldChar w:fldCharType="begin"/>
          </w:r>
          <w:r>
            <w:instrText xml:space="preserve"> HYPERLINK \l _Toc30678 </w:instrText>
          </w:r>
          <w:r>
            <w:fldChar w:fldCharType="separate"/>
          </w:r>
          <w:r>
            <w:t>6.3.2 医学物理师培训要求</w:t>
          </w:r>
          <w:r>
            <w:tab/>
          </w:r>
          <w:r>
            <w:fldChar w:fldCharType="begin"/>
          </w:r>
          <w:r>
            <w:instrText xml:space="preserve"> PAGEREF _Toc30678 \h </w:instrText>
          </w:r>
          <w:r>
            <w:fldChar w:fldCharType="separate"/>
          </w:r>
          <w:r>
            <w:t>12</w:t>
          </w:r>
          <w:r>
            <w:fldChar w:fldCharType="end"/>
          </w:r>
          <w:r>
            <w:fldChar w:fldCharType="end"/>
          </w:r>
        </w:p>
        <w:p w14:paraId="7B174FB5">
          <w:pPr>
            <w:pStyle w:val="12"/>
            <w:tabs>
              <w:tab w:val="right" w:leader="dot" w:pos="9026"/>
            </w:tabs>
          </w:pPr>
          <w:r>
            <w:fldChar w:fldCharType="begin"/>
          </w:r>
          <w:r>
            <w:instrText xml:space="preserve"> HYPERLINK \l _Toc29333 </w:instrText>
          </w:r>
          <w:r>
            <w:fldChar w:fldCharType="separate"/>
          </w:r>
          <w:r>
            <w:t>7 SBRT 治疗的适应症</w:t>
          </w:r>
          <w:r>
            <w:tab/>
          </w:r>
          <w:r>
            <w:fldChar w:fldCharType="begin"/>
          </w:r>
          <w:r>
            <w:instrText xml:space="preserve"> PAGEREF _Toc29333 \h </w:instrText>
          </w:r>
          <w:r>
            <w:fldChar w:fldCharType="separate"/>
          </w:r>
          <w:r>
            <w:t>13</w:t>
          </w:r>
          <w:r>
            <w:fldChar w:fldCharType="end"/>
          </w:r>
          <w:r>
            <w:fldChar w:fldCharType="end"/>
          </w:r>
        </w:p>
        <w:p w14:paraId="0B7B30C0">
          <w:pPr>
            <w:pStyle w:val="12"/>
            <w:tabs>
              <w:tab w:val="right" w:leader="dot" w:pos="9026"/>
            </w:tabs>
          </w:pPr>
          <w:r>
            <w:fldChar w:fldCharType="begin"/>
          </w:r>
          <w:r>
            <w:instrText xml:space="preserve"> HYPERLINK \l _Toc19008 </w:instrText>
          </w:r>
          <w:r>
            <w:fldChar w:fldCharType="separate"/>
          </w:r>
          <w:r>
            <w:t>8 图像引导技术</w:t>
          </w:r>
          <w:r>
            <w:tab/>
          </w:r>
          <w:r>
            <w:fldChar w:fldCharType="begin"/>
          </w:r>
          <w:r>
            <w:instrText xml:space="preserve"> PAGEREF _Toc19008 \h </w:instrText>
          </w:r>
          <w:r>
            <w:fldChar w:fldCharType="separate"/>
          </w:r>
          <w:r>
            <w:t>15</w:t>
          </w:r>
          <w:r>
            <w:fldChar w:fldCharType="end"/>
          </w:r>
          <w:r>
            <w:fldChar w:fldCharType="end"/>
          </w:r>
        </w:p>
        <w:p w14:paraId="5129ED60">
          <w:pPr>
            <w:pStyle w:val="12"/>
            <w:tabs>
              <w:tab w:val="right" w:leader="dot" w:pos="9026"/>
            </w:tabs>
          </w:pPr>
          <w:r>
            <w:fldChar w:fldCharType="begin"/>
          </w:r>
          <w:r>
            <w:instrText xml:space="preserve"> HYPERLINK \l _Toc4281 </w:instrText>
          </w:r>
          <w:r>
            <w:fldChar w:fldCharType="separate"/>
          </w:r>
          <w:r>
            <w:t>9 SBRT 靶区勾画及剂量</w:t>
          </w:r>
          <w:r>
            <w:tab/>
          </w:r>
          <w:r>
            <w:fldChar w:fldCharType="begin"/>
          </w:r>
          <w:r>
            <w:instrText xml:space="preserve"> PAGEREF _Toc4281 \h </w:instrText>
          </w:r>
          <w:r>
            <w:fldChar w:fldCharType="separate"/>
          </w:r>
          <w:r>
            <w:t>16</w:t>
          </w:r>
          <w:r>
            <w:fldChar w:fldCharType="end"/>
          </w:r>
          <w:r>
            <w:fldChar w:fldCharType="end"/>
          </w:r>
        </w:p>
        <w:p w14:paraId="31E7D4F3">
          <w:pPr>
            <w:pStyle w:val="14"/>
            <w:tabs>
              <w:tab w:val="right" w:leader="dot" w:pos="9026"/>
            </w:tabs>
          </w:pPr>
          <w:r>
            <w:fldChar w:fldCharType="begin"/>
          </w:r>
          <w:r>
            <w:instrText xml:space="preserve"> HYPERLINK \l _Toc9555 </w:instrText>
          </w:r>
          <w:r>
            <w:fldChar w:fldCharType="separate"/>
          </w:r>
          <w:r>
            <w:t>9.1 靶区勾画</w:t>
          </w:r>
          <w:r>
            <w:tab/>
          </w:r>
          <w:r>
            <w:fldChar w:fldCharType="begin"/>
          </w:r>
          <w:r>
            <w:instrText xml:space="preserve"> PAGEREF _Toc9555 \h </w:instrText>
          </w:r>
          <w:r>
            <w:fldChar w:fldCharType="separate"/>
          </w:r>
          <w:r>
            <w:t>16</w:t>
          </w:r>
          <w:r>
            <w:fldChar w:fldCharType="end"/>
          </w:r>
          <w:r>
            <w:fldChar w:fldCharType="end"/>
          </w:r>
        </w:p>
        <w:p w14:paraId="44525845">
          <w:pPr>
            <w:pStyle w:val="9"/>
            <w:tabs>
              <w:tab w:val="right" w:leader="dot" w:pos="9026"/>
            </w:tabs>
          </w:pPr>
          <w:r>
            <w:fldChar w:fldCharType="begin"/>
          </w:r>
          <w:r>
            <w:instrText xml:space="preserve"> HYPERLINK \l _Toc32296 </w:instrText>
          </w:r>
          <w:r>
            <w:fldChar w:fldCharType="separate"/>
          </w:r>
          <w:r>
            <w:t>9.1.1 通用定义</w:t>
          </w:r>
          <w:r>
            <w:tab/>
          </w:r>
          <w:r>
            <w:fldChar w:fldCharType="begin"/>
          </w:r>
          <w:r>
            <w:instrText xml:space="preserve"> PAGEREF _Toc32296 \h </w:instrText>
          </w:r>
          <w:r>
            <w:fldChar w:fldCharType="separate"/>
          </w:r>
          <w:r>
            <w:t>17</w:t>
          </w:r>
          <w:r>
            <w:fldChar w:fldCharType="end"/>
          </w:r>
          <w:r>
            <w:fldChar w:fldCharType="end"/>
          </w:r>
        </w:p>
        <w:p w14:paraId="1FC2F32E">
          <w:pPr>
            <w:pStyle w:val="9"/>
            <w:tabs>
              <w:tab w:val="right" w:leader="dot" w:pos="9026"/>
            </w:tabs>
          </w:pPr>
          <w:r>
            <w:fldChar w:fldCharType="begin"/>
          </w:r>
          <w:r>
            <w:instrText xml:space="preserve"> HYPERLINK \l _Toc941 </w:instrText>
          </w:r>
          <w:r>
            <w:fldChar w:fldCharType="separate"/>
          </w:r>
          <w:r>
            <w:t>9.1.2 脊柱骨转移 SBRT 靶区勾画</w:t>
          </w:r>
          <w:r>
            <w:tab/>
          </w:r>
          <w:r>
            <w:fldChar w:fldCharType="begin"/>
          </w:r>
          <w:r>
            <w:instrText xml:space="preserve"> PAGEREF _Toc941 \h </w:instrText>
          </w:r>
          <w:r>
            <w:fldChar w:fldCharType="separate"/>
          </w:r>
          <w:r>
            <w:t>17</w:t>
          </w:r>
          <w:r>
            <w:fldChar w:fldCharType="end"/>
          </w:r>
          <w:r>
            <w:fldChar w:fldCharType="end"/>
          </w:r>
        </w:p>
        <w:p w14:paraId="2F33F101">
          <w:pPr>
            <w:pStyle w:val="9"/>
            <w:tabs>
              <w:tab w:val="right" w:leader="dot" w:pos="9026"/>
            </w:tabs>
          </w:pPr>
          <w:r>
            <w:fldChar w:fldCharType="begin"/>
          </w:r>
          <w:r>
            <w:instrText xml:space="preserve"> HYPERLINK \l _Toc1859 </w:instrText>
          </w:r>
          <w:r>
            <w:fldChar w:fldCharType="separate"/>
          </w:r>
          <w:r>
            <w:t>9.1.3 非脊椎骨转移 SBRT 靶区勾画</w:t>
          </w:r>
          <w:r>
            <w:tab/>
          </w:r>
          <w:r>
            <w:fldChar w:fldCharType="begin"/>
          </w:r>
          <w:r>
            <w:instrText xml:space="preserve"> PAGEREF _Toc1859 \h </w:instrText>
          </w:r>
          <w:r>
            <w:fldChar w:fldCharType="separate"/>
          </w:r>
          <w:r>
            <w:t>19</w:t>
          </w:r>
          <w:r>
            <w:fldChar w:fldCharType="end"/>
          </w:r>
          <w:r>
            <w:fldChar w:fldCharType="end"/>
          </w:r>
        </w:p>
        <w:p w14:paraId="18C548F2">
          <w:pPr>
            <w:pStyle w:val="14"/>
            <w:tabs>
              <w:tab w:val="right" w:leader="dot" w:pos="9026"/>
            </w:tabs>
          </w:pPr>
          <w:r>
            <w:fldChar w:fldCharType="begin"/>
          </w:r>
          <w:r>
            <w:instrText xml:space="preserve"> HYPERLINK \l _Toc13182 </w:instrText>
          </w:r>
          <w:r>
            <w:fldChar w:fldCharType="separate"/>
          </w:r>
          <w:r>
            <w:t>9.2 SBRT 剂量</w:t>
          </w:r>
          <w:r>
            <w:tab/>
          </w:r>
          <w:r>
            <w:fldChar w:fldCharType="begin"/>
          </w:r>
          <w:r>
            <w:instrText xml:space="preserve"> PAGEREF _Toc13182 \h </w:instrText>
          </w:r>
          <w:r>
            <w:fldChar w:fldCharType="separate"/>
          </w:r>
          <w:r>
            <w:t>20</w:t>
          </w:r>
          <w:r>
            <w:fldChar w:fldCharType="end"/>
          </w:r>
          <w:r>
            <w:fldChar w:fldCharType="end"/>
          </w:r>
        </w:p>
        <w:p w14:paraId="040E9952">
          <w:pPr>
            <w:pStyle w:val="9"/>
            <w:tabs>
              <w:tab w:val="right" w:leader="dot" w:pos="9026"/>
            </w:tabs>
          </w:pPr>
          <w:r>
            <w:fldChar w:fldCharType="begin"/>
          </w:r>
          <w:r>
            <w:instrText xml:space="preserve"> HYPERLINK \l _Toc28550 </w:instrText>
          </w:r>
          <w:r>
            <w:fldChar w:fldCharType="separate"/>
          </w:r>
          <w:r>
            <w:t>9.2.1 脊柱骨转移的 SBRT 治疗模式推荐（按优先级排列）</w:t>
          </w:r>
          <w:r>
            <w:tab/>
          </w:r>
          <w:r>
            <w:fldChar w:fldCharType="begin"/>
          </w:r>
          <w:r>
            <w:instrText xml:space="preserve"> PAGEREF _Toc28550 \h </w:instrText>
          </w:r>
          <w:r>
            <w:fldChar w:fldCharType="separate"/>
          </w:r>
          <w:r>
            <w:t>20</w:t>
          </w:r>
          <w:r>
            <w:fldChar w:fldCharType="end"/>
          </w:r>
          <w:r>
            <w:fldChar w:fldCharType="end"/>
          </w:r>
        </w:p>
        <w:p w14:paraId="4EC84B93">
          <w:pPr>
            <w:pStyle w:val="9"/>
            <w:tabs>
              <w:tab w:val="right" w:leader="dot" w:pos="9026"/>
            </w:tabs>
          </w:pPr>
          <w:r>
            <w:fldChar w:fldCharType="begin"/>
          </w:r>
          <w:r>
            <w:instrText xml:space="preserve"> HYPERLINK \l _Toc2105 </w:instrText>
          </w:r>
          <w:r>
            <w:fldChar w:fldCharType="separate"/>
          </w:r>
          <w:r>
            <w:t>9.2.2 非脊柱骨转移的 SBRT 治疗模式推荐（按优先级排列）</w:t>
          </w:r>
          <w:r>
            <w:tab/>
          </w:r>
          <w:r>
            <w:fldChar w:fldCharType="begin"/>
          </w:r>
          <w:r>
            <w:instrText xml:space="preserve"> PAGEREF _Toc2105 \h </w:instrText>
          </w:r>
          <w:r>
            <w:fldChar w:fldCharType="separate"/>
          </w:r>
          <w:r>
            <w:t>20</w:t>
          </w:r>
          <w:r>
            <w:fldChar w:fldCharType="end"/>
          </w:r>
          <w:r>
            <w:fldChar w:fldCharType="end"/>
          </w:r>
        </w:p>
        <w:p w14:paraId="2DD10A0B">
          <w:pPr>
            <w:pStyle w:val="9"/>
            <w:tabs>
              <w:tab w:val="right" w:leader="dot" w:pos="9026"/>
            </w:tabs>
          </w:pPr>
          <w:r>
            <w:fldChar w:fldCharType="begin"/>
          </w:r>
          <w:r>
            <w:instrText xml:space="preserve"> HYPERLINK \l _Toc27373 </w:instrText>
          </w:r>
          <w:r>
            <w:fldChar w:fldCharType="separate"/>
          </w:r>
          <w:r>
            <w:t>9.2.3 剂量相关要求</w:t>
          </w:r>
          <w:r>
            <w:tab/>
          </w:r>
          <w:r>
            <w:fldChar w:fldCharType="begin"/>
          </w:r>
          <w:r>
            <w:instrText xml:space="preserve"> PAGEREF _Toc27373 \h </w:instrText>
          </w:r>
          <w:r>
            <w:fldChar w:fldCharType="separate"/>
          </w:r>
          <w:r>
            <w:t>21</w:t>
          </w:r>
          <w:r>
            <w:fldChar w:fldCharType="end"/>
          </w:r>
          <w:r>
            <w:fldChar w:fldCharType="end"/>
          </w:r>
        </w:p>
        <w:p w14:paraId="6EA73E8A">
          <w:pPr>
            <w:pStyle w:val="14"/>
            <w:tabs>
              <w:tab w:val="right" w:leader="dot" w:pos="9026"/>
            </w:tabs>
          </w:pPr>
          <w:r>
            <w:fldChar w:fldCharType="begin"/>
          </w:r>
          <w:r>
            <w:instrText xml:space="preserve"> HYPERLINK \l _Toc17110 </w:instrText>
          </w:r>
          <w:r>
            <w:fldChar w:fldCharType="separate"/>
          </w:r>
          <w:r>
            <w:t>9.3 SBRT 的危及器官的限量</w:t>
          </w:r>
          <w:r>
            <w:tab/>
          </w:r>
          <w:r>
            <w:fldChar w:fldCharType="begin"/>
          </w:r>
          <w:r>
            <w:instrText xml:space="preserve"> PAGEREF _Toc17110 \h </w:instrText>
          </w:r>
          <w:r>
            <w:fldChar w:fldCharType="separate"/>
          </w:r>
          <w:r>
            <w:t>23</w:t>
          </w:r>
          <w:r>
            <w:fldChar w:fldCharType="end"/>
          </w:r>
          <w:r>
            <w:fldChar w:fldCharType="end"/>
          </w:r>
        </w:p>
        <w:p w14:paraId="1D9CCA56">
          <w:pPr>
            <w:pStyle w:val="14"/>
            <w:tabs>
              <w:tab w:val="right" w:leader="dot" w:pos="9026"/>
            </w:tabs>
          </w:pPr>
          <w:r>
            <w:fldChar w:fldCharType="begin"/>
          </w:r>
          <w:r>
            <w:instrText xml:space="preserve"> HYPERLINK \l _Toc26560 </w:instrText>
          </w:r>
          <w:r>
            <w:fldChar w:fldCharType="separate"/>
          </w:r>
          <w:r>
            <w:t>9.4 SBRT 毒性反应控制</w:t>
          </w:r>
          <w:r>
            <w:tab/>
          </w:r>
          <w:r>
            <w:fldChar w:fldCharType="begin"/>
          </w:r>
          <w:r>
            <w:instrText xml:space="preserve"> PAGEREF _Toc26560 \h </w:instrText>
          </w:r>
          <w:r>
            <w:fldChar w:fldCharType="separate"/>
          </w:r>
          <w:r>
            <w:t>24</w:t>
          </w:r>
          <w:r>
            <w:fldChar w:fldCharType="end"/>
          </w:r>
          <w:r>
            <w:fldChar w:fldCharType="end"/>
          </w:r>
        </w:p>
        <w:p w14:paraId="6FDB589E">
          <w:pPr>
            <w:pStyle w:val="12"/>
            <w:tabs>
              <w:tab w:val="right" w:leader="dot" w:pos="9026"/>
            </w:tabs>
          </w:pPr>
          <w:r>
            <w:fldChar w:fldCharType="begin"/>
          </w:r>
          <w:r>
            <w:instrText xml:space="preserve"> HYPERLINK \l _Toc11520 </w:instrText>
          </w:r>
          <w:r>
            <w:fldChar w:fldCharType="separate"/>
          </w:r>
          <w:r>
            <w:t>10 治疗流程</w:t>
          </w:r>
          <w:r>
            <w:tab/>
          </w:r>
          <w:r>
            <w:fldChar w:fldCharType="begin"/>
          </w:r>
          <w:r>
            <w:instrText xml:space="preserve"> PAGEREF _Toc11520 \h </w:instrText>
          </w:r>
          <w:r>
            <w:fldChar w:fldCharType="separate"/>
          </w:r>
          <w:r>
            <w:t>27</w:t>
          </w:r>
          <w:r>
            <w:fldChar w:fldCharType="end"/>
          </w:r>
          <w:r>
            <w:fldChar w:fldCharType="end"/>
          </w:r>
        </w:p>
        <w:p w14:paraId="79DAFBA6">
          <w:pPr>
            <w:pStyle w:val="14"/>
            <w:tabs>
              <w:tab w:val="right" w:leader="dot" w:pos="9026"/>
            </w:tabs>
          </w:pPr>
          <w:r>
            <w:fldChar w:fldCharType="begin"/>
          </w:r>
          <w:r>
            <w:instrText xml:space="preserve"> HYPERLINK \l _Toc21365 </w:instrText>
          </w:r>
          <w:r>
            <w:fldChar w:fldCharType="separate"/>
          </w:r>
          <w:r>
            <w:t>10.1 体位固定</w:t>
          </w:r>
          <w:r>
            <w:tab/>
          </w:r>
          <w:r>
            <w:fldChar w:fldCharType="begin"/>
          </w:r>
          <w:r>
            <w:instrText xml:space="preserve"> PAGEREF _Toc21365 \h </w:instrText>
          </w:r>
          <w:r>
            <w:fldChar w:fldCharType="separate"/>
          </w:r>
          <w:r>
            <w:t>27</w:t>
          </w:r>
          <w:r>
            <w:fldChar w:fldCharType="end"/>
          </w:r>
          <w:r>
            <w:fldChar w:fldCharType="end"/>
          </w:r>
        </w:p>
        <w:p w14:paraId="1D6CA4B0">
          <w:pPr>
            <w:pStyle w:val="14"/>
            <w:tabs>
              <w:tab w:val="right" w:leader="dot" w:pos="9026"/>
            </w:tabs>
          </w:pPr>
          <w:r>
            <w:fldChar w:fldCharType="begin"/>
          </w:r>
          <w:r>
            <w:instrText xml:space="preserve"> HYPERLINK \l _Toc1770 </w:instrText>
          </w:r>
          <w:r>
            <w:fldChar w:fldCharType="separate"/>
          </w:r>
          <w:r>
            <w:t>10.2 模拟定位</w:t>
          </w:r>
          <w:r>
            <w:tab/>
          </w:r>
          <w:r>
            <w:fldChar w:fldCharType="begin"/>
          </w:r>
          <w:r>
            <w:instrText xml:space="preserve"> PAGEREF _Toc1770 \h </w:instrText>
          </w:r>
          <w:r>
            <w:fldChar w:fldCharType="separate"/>
          </w:r>
          <w:r>
            <w:t>27</w:t>
          </w:r>
          <w:r>
            <w:fldChar w:fldCharType="end"/>
          </w:r>
          <w:r>
            <w:fldChar w:fldCharType="end"/>
          </w:r>
        </w:p>
        <w:p w14:paraId="6BC1B845">
          <w:pPr>
            <w:pStyle w:val="14"/>
            <w:tabs>
              <w:tab w:val="right" w:leader="dot" w:pos="9026"/>
            </w:tabs>
          </w:pPr>
          <w:r>
            <w:fldChar w:fldCharType="begin"/>
          </w:r>
          <w:r>
            <w:instrText xml:space="preserve"> HYPERLINK \l _Toc7100 </w:instrText>
          </w:r>
          <w:r>
            <w:fldChar w:fldCharType="separate"/>
          </w:r>
          <w:r>
            <w:t>10.3 靶区勾画及剂量处方</w:t>
          </w:r>
          <w:r>
            <w:tab/>
          </w:r>
          <w:r>
            <w:fldChar w:fldCharType="begin"/>
          </w:r>
          <w:r>
            <w:instrText xml:space="preserve"> PAGEREF _Toc7100 \h </w:instrText>
          </w:r>
          <w:r>
            <w:fldChar w:fldCharType="separate"/>
          </w:r>
          <w:r>
            <w:t>29</w:t>
          </w:r>
          <w:r>
            <w:fldChar w:fldCharType="end"/>
          </w:r>
          <w:r>
            <w:fldChar w:fldCharType="end"/>
          </w:r>
        </w:p>
        <w:p w14:paraId="2068119A">
          <w:pPr>
            <w:pStyle w:val="14"/>
            <w:tabs>
              <w:tab w:val="right" w:leader="dot" w:pos="9026"/>
            </w:tabs>
          </w:pPr>
          <w:r>
            <w:fldChar w:fldCharType="begin"/>
          </w:r>
          <w:r>
            <w:instrText xml:space="preserve"> HYPERLINK \l _Toc9380 </w:instrText>
          </w:r>
          <w:r>
            <w:fldChar w:fldCharType="separate"/>
          </w:r>
          <w:r>
            <w:t>10.4 计划设计 (plan design)</w:t>
          </w:r>
          <w:r>
            <w:tab/>
          </w:r>
          <w:r>
            <w:fldChar w:fldCharType="begin"/>
          </w:r>
          <w:r>
            <w:instrText xml:space="preserve"> PAGEREF _Toc9380 \h </w:instrText>
          </w:r>
          <w:r>
            <w:fldChar w:fldCharType="separate"/>
          </w:r>
          <w:r>
            <w:t>29</w:t>
          </w:r>
          <w:r>
            <w:fldChar w:fldCharType="end"/>
          </w:r>
          <w:r>
            <w:fldChar w:fldCharType="end"/>
          </w:r>
        </w:p>
        <w:p w14:paraId="0A904F54">
          <w:pPr>
            <w:pStyle w:val="14"/>
            <w:tabs>
              <w:tab w:val="right" w:leader="dot" w:pos="9026"/>
            </w:tabs>
          </w:pPr>
          <w:r>
            <w:fldChar w:fldCharType="begin"/>
          </w:r>
          <w:r>
            <w:instrText xml:space="preserve"> HYPERLINK \l _Toc29953 </w:instrText>
          </w:r>
          <w:r>
            <w:fldChar w:fldCharType="separate"/>
          </w:r>
          <w:r>
            <w:t>10.5 计划审核 (Plan Review)</w:t>
          </w:r>
          <w:r>
            <w:tab/>
          </w:r>
          <w:r>
            <w:fldChar w:fldCharType="begin"/>
          </w:r>
          <w:r>
            <w:instrText xml:space="preserve"> PAGEREF _Toc29953 \h </w:instrText>
          </w:r>
          <w:r>
            <w:fldChar w:fldCharType="separate"/>
          </w:r>
          <w:r>
            <w:t>30</w:t>
          </w:r>
          <w:r>
            <w:fldChar w:fldCharType="end"/>
          </w:r>
          <w:r>
            <w:fldChar w:fldCharType="end"/>
          </w:r>
        </w:p>
        <w:p w14:paraId="2F25FC1A">
          <w:pPr>
            <w:pStyle w:val="14"/>
            <w:tabs>
              <w:tab w:val="right" w:leader="dot" w:pos="9026"/>
            </w:tabs>
          </w:pPr>
          <w:r>
            <w:fldChar w:fldCharType="begin"/>
          </w:r>
          <w:r>
            <w:instrText xml:space="preserve"> HYPERLINK \l _Toc16156 </w:instrText>
          </w:r>
          <w:r>
            <w:fldChar w:fldCharType="separate"/>
          </w:r>
          <w:r>
            <w:t>10.6 剂量验证</w:t>
          </w:r>
          <w:r>
            <w:tab/>
          </w:r>
          <w:r>
            <w:fldChar w:fldCharType="begin"/>
          </w:r>
          <w:r>
            <w:instrText xml:space="preserve"> PAGEREF _Toc16156 \h </w:instrText>
          </w:r>
          <w:r>
            <w:fldChar w:fldCharType="separate"/>
          </w:r>
          <w:r>
            <w:t>30</w:t>
          </w:r>
          <w:r>
            <w:fldChar w:fldCharType="end"/>
          </w:r>
          <w:r>
            <w:fldChar w:fldCharType="end"/>
          </w:r>
        </w:p>
        <w:p w14:paraId="5F2BBC16">
          <w:pPr>
            <w:pStyle w:val="14"/>
            <w:tabs>
              <w:tab w:val="right" w:leader="dot" w:pos="9026"/>
            </w:tabs>
          </w:pPr>
          <w:r>
            <w:fldChar w:fldCharType="begin"/>
          </w:r>
          <w:r>
            <w:instrText xml:space="preserve"> HYPERLINK \l _Toc31204 </w:instrText>
          </w:r>
          <w:r>
            <w:fldChar w:fldCharType="separate"/>
          </w:r>
          <w:r>
            <w:t>10.7 位置验证</w:t>
          </w:r>
          <w:r>
            <w:tab/>
          </w:r>
          <w:r>
            <w:fldChar w:fldCharType="begin"/>
          </w:r>
          <w:r>
            <w:instrText xml:space="preserve"> PAGEREF _Toc31204 \h </w:instrText>
          </w:r>
          <w:r>
            <w:fldChar w:fldCharType="separate"/>
          </w:r>
          <w:r>
            <w:t>30</w:t>
          </w:r>
          <w:r>
            <w:fldChar w:fldCharType="end"/>
          </w:r>
          <w:r>
            <w:fldChar w:fldCharType="end"/>
          </w:r>
        </w:p>
        <w:p w14:paraId="263B6851">
          <w:pPr>
            <w:pStyle w:val="14"/>
            <w:tabs>
              <w:tab w:val="right" w:leader="dot" w:pos="9026"/>
            </w:tabs>
          </w:pPr>
          <w:r>
            <w:fldChar w:fldCharType="begin"/>
          </w:r>
          <w:r>
            <w:instrText xml:space="preserve"> HYPERLINK \l _Toc24119 </w:instrText>
          </w:r>
          <w:r>
            <w:fldChar w:fldCharType="separate"/>
          </w:r>
          <w:r>
            <w:t>10.8 计划传输 (Plan Transfer)</w:t>
          </w:r>
          <w:r>
            <w:tab/>
          </w:r>
          <w:r>
            <w:fldChar w:fldCharType="begin"/>
          </w:r>
          <w:r>
            <w:instrText xml:space="preserve"> PAGEREF _Toc24119 \h </w:instrText>
          </w:r>
          <w:r>
            <w:fldChar w:fldCharType="separate"/>
          </w:r>
          <w:r>
            <w:t>30</w:t>
          </w:r>
          <w:r>
            <w:fldChar w:fldCharType="end"/>
          </w:r>
          <w:r>
            <w:fldChar w:fldCharType="end"/>
          </w:r>
        </w:p>
        <w:p w14:paraId="7FA703FF">
          <w:pPr>
            <w:pStyle w:val="14"/>
            <w:tabs>
              <w:tab w:val="right" w:leader="dot" w:pos="9026"/>
            </w:tabs>
          </w:pPr>
          <w:r>
            <w:fldChar w:fldCharType="begin"/>
          </w:r>
          <w:r>
            <w:instrText xml:space="preserve"> HYPERLINK \l _Toc4974 </w:instrText>
          </w:r>
          <w:r>
            <w:fldChar w:fldCharType="separate"/>
          </w:r>
          <w:r>
            <w:t>10.9 首次治疗摆位 (Initial Setup)</w:t>
          </w:r>
          <w:r>
            <w:tab/>
          </w:r>
          <w:r>
            <w:fldChar w:fldCharType="begin"/>
          </w:r>
          <w:r>
            <w:instrText xml:space="preserve"> PAGEREF _Toc4974 \h </w:instrText>
          </w:r>
          <w:r>
            <w:fldChar w:fldCharType="separate"/>
          </w:r>
          <w:r>
            <w:t>31</w:t>
          </w:r>
          <w:r>
            <w:fldChar w:fldCharType="end"/>
          </w:r>
          <w:r>
            <w:fldChar w:fldCharType="end"/>
          </w:r>
        </w:p>
        <w:p w14:paraId="517BE646">
          <w:pPr>
            <w:pStyle w:val="14"/>
            <w:tabs>
              <w:tab w:val="right" w:leader="dot" w:pos="9026"/>
            </w:tabs>
          </w:pPr>
          <w:r>
            <w:fldChar w:fldCharType="begin"/>
          </w:r>
          <w:r>
            <w:instrText xml:space="preserve"> HYPERLINK \l _Toc11429 </w:instrText>
          </w:r>
          <w:r>
            <w:fldChar w:fldCharType="separate"/>
          </w:r>
          <w:r>
            <w:t>10.10 肿瘤位置的监测</w:t>
          </w:r>
          <w:r>
            <w:tab/>
          </w:r>
          <w:r>
            <w:fldChar w:fldCharType="begin"/>
          </w:r>
          <w:r>
            <w:instrText xml:space="preserve"> PAGEREF _Toc11429 \h </w:instrText>
          </w:r>
          <w:r>
            <w:fldChar w:fldCharType="separate"/>
          </w:r>
          <w:r>
            <w:t>31</w:t>
          </w:r>
          <w:r>
            <w:fldChar w:fldCharType="end"/>
          </w:r>
          <w:r>
            <w:fldChar w:fldCharType="end"/>
          </w:r>
        </w:p>
        <w:p w14:paraId="155D0929">
          <w:pPr>
            <w:pStyle w:val="14"/>
            <w:tabs>
              <w:tab w:val="right" w:leader="dot" w:pos="9026"/>
            </w:tabs>
          </w:pPr>
          <w:r>
            <w:fldChar w:fldCharType="begin"/>
          </w:r>
          <w:r>
            <w:instrText xml:space="preserve"> HYPERLINK \l _Toc22555 </w:instrText>
          </w:r>
          <w:r>
            <w:fldChar w:fldCharType="separate"/>
          </w:r>
          <w:r>
            <w:t>10.11 分次内运动管理（Intrafraction Motion Management）</w:t>
          </w:r>
          <w:r>
            <w:tab/>
          </w:r>
          <w:r>
            <w:fldChar w:fldCharType="begin"/>
          </w:r>
          <w:r>
            <w:instrText xml:space="preserve"> PAGEREF _Toc22555 \h </w:instrText>
          </w:r>
          <w:r>
            <w:fldChar w:fldCharType="separate"/>
          </w:r>
          <w:r>
            <w:t>31</w:t>
          </w:r>
          <w:r>
            <w:fldChar w:fldCharType="end"/>
          </w:r>
          <w:r>
            <w:fldChar w:fldCharType="end"/>
          </w:r>
        </w:p>
        <w:p w14:paraId="7D4649DB">
          <w:pPr>
            <w:pStyle w:val="14"/>
            <w:tabs>
              <w:tab w:val="right" w:leader="dot" w:pos="9026"/>
            </w:tabs>
          </w:pPr>
          <w:r>
            <w:fldChar w:fldCharType="begin"/>
          </w:r>
          <w:r>
            <w:instrText xml:space="preserve"> HYPERLINK \l _Toc19291 </w:instrText>
          </w:r>
          <w:r>
            <w:fldChar w:fldCharType="separate"/>
          </w:r>
          <w:r>
            <w:t>10.12 安全核对（Time-out）</w:t>
          </w:r>
          <w:r>
            <w:tab/>
          </w:r>
          <w:r>
            <w:fldChar w:fldCharType="begin"/>
          </w:r>
          <w:r>
            <w:instrText xml:space="preserve"> PAGEREF _Toc19291 \h </w:instrText>
          </w:r>
          <w:r>
            <w:fldChar w:fldCharType="separate"/>
          </w:r>
          <w:r>
            <w:t>31</w:t>
          </w:r>
          <w:r>
            <w:fldChar w:fldCharType="end"/>
          </w:r>
          <w:r>
            <w:fldChar w:fldCharType="end"/>
          </w:r>
        </w:p>
        <w:p w14:paraId="2E921BCD">
          <w:pPr>
            <w:pStyle w:val="14"/>
            <w:tabs>
              <w:tab w:val="right" w:leader="dot" w:pos="9026"/>
            </w:tabs>
          </w:pPr>
          <w:r>
            <w:fldChar w:fldCharType="begin"/>
          </w:r>
          <w:r>
            <w:instrText xml:space="preserve"> HYPERLINK \l _Toc16357 </w:instrText>
          </w:r>
          <w:r>
            <w:fldChar w:fldCharType="separate"/>
          </w:r>
          <w:r>
            <w:t>10.13 治疗中验证 (In-treatment Verification)</w:t>
          </w:r>
          <w:r>
            <w:tab/>
          </w:r>
          <w:r>
            <w:fldChar w:fldCharType="begin"/>
          </w:r>
          <w:r>
            <w:instrText xml:space="preserve"> PAGEREF _Toc16357 \h </w:instrText>
          </w:r>
          <w:r>
            <w:fldChar w:fldCharType="separate"/>
          </w:r>
          <w:r>
            <w:t>31</w:t>
          </w:r>
          <w:r>
            <w:fldChar w:fldCharType="end"/>
          </w:r>
          <w:r>
            <w:fldChar w:fldCharType="end"/>
          </w:r>
        </w:p>
        <w:p w14:paraId="0DC1ABDE">
          <w:pPr>
            <w:pStyle w:val="14"/>
            <w:tabs>
              <w:tab w:val="right" w:leader="dot" w:pos="9026"/>
            </w:tabs>
          </w:pPr>
          <w:r>
            <w:fldChar w:fldCharType="begin"/>
          </w:r>
          <w:r>
            <w:instrText xml:space="preserve"> HYPERLINK \l _Toc10713 </w:instrText>
          </w:r>
          <w:r>
            <w:fldChar w:fldCharType="separate"/>
          </w:r>
          <w:r>
            <w:t>10.14 自适应装置</w:t>
          </w:r>
          <w:r>
            <w:tab/>
          </w:r>
          <w:r>
            <w:fldChar w:fldCharType="begin"/>
          </w:r>
          <w:r>
            <w:instrText xml:space="preserve"> PAGEREF _Toc10713 \h </w:instrText>
          </w:r>
          <w:r>
            <w:fldChar w:fldCharType="separate"/>
          </w:r>
          <w:r>
            <w:t>31</w:t>
          </w:r>
          <w:r>
            <w:fldChar w:fldCharType="end"/>
          </w:r>
          <w:r>
            <w:fldChar w:fldCharType="end"/>
          </w:r>
        </w:p>
        <w:p w14:paraId="4AD2B572">
          <w:pPr>
            <w:pStyle w:val="14"/>
            <w:tabs>
              <w:tab w:val="right" w:leader="dot" w:pos="9026"/>
            </w:tabs>
          </w:pPr>
          <w:r>
            <w:fldChar w:fldCharType="begin"/>
          </w:r>
          <w:r>
            <w:instrText xml:space="preserve"> HYPERLINK \l _Toc15861 </w:instrText>
          </w:r>
          <w:r>
            <w:fldChar w:fldCharType="separate"/>
          </w:r>
          <w:r>
            <w:t>10.15 数据纪录、存档</w:t>
          </w:r>
          <w:r>
            <w:tab/>
          </w:r>
          <w:r>
            <w:fldChar w:fldCharType="begin"/>
          </w:r>
          <w:r>
            <w:instrText xml:space="preserve"> PAGEREF _Toc15861 \h </w:instrText>
          </w:r>
          <w:r>
            <w:fldChar w:fldCharType="separate"/>
          </w:r>
          <w:r>
            <w:t>31</w:t>
          </w:r>
          <w:r>
            <w:fldChar w:fldCharType="end"/>
          </w:r>
          <w:r>
            <w:fldChar w:fldCharType="end"/>
          </w:r>
        </w:p>
        <w:p w14:paraId="09716384">
          <w:pPr>
            <w:pStyle w:val="14"/>
            <w:tabs>
              <w:tab w:val="right" w:leader="dot" w:pos="9026"/>
            </w:tabs>
          </w:pPr>
          <w:r>
            <w:fldChar w:fldCharType="begin"/>
          </w:r>
          <w:r>
            <w:instrText xml:space="preserve"> HYPERLINK \l _Toc20903 </w:instrText>
          </w:r>
          <w:r>
            <w:fldChar w:fldCharType="separate"/>
          </w:r>
          <w:r>
            <w:t>10.16 疗效评估及随访</w:t>
          </w:r>
          <w:r>
            <w:tab/>
          </w:r>
          <w:r>
            <w:fldChar w:fldCharType="begin"/>
          </w:r>
          <w:r>
            <w:instrText xml:space="preserve"> PAGEREF _Toc20903 \h </w:instrText>
          </w:r>
          <w:r>
            <w:fldChar w:fldCharType="separate"/>
          </w:r>
          <w:r>
            <w:t>32</w:t>
          </w:r>
          <w:r>
            <w:fldChar w:fldCharType="end"/>
          </w:r>
          <w:r>
            <w:fldChar w:fldCharType="end"/>
          </w:r>
        </w:p>
        <w:p w14:paraId="4426C6CA">
          <w:pPr>
            <w:pStyle w:val="12"/>
            <w:tabs>
              <w:tab w:val="right" w:leader="dot" w:pos="9026"/>
            </w:tabs>
          </w:pPr>
          <w:r>
            <w:fldChar w:fldCharType="begin"/>
          </w:r>
          <w:r>
            <w:instrText xml:space="preserve"> HYPERLINK \l _Toc5295 </w:instrText>
          </w:r>
          <w:r>
            <w:fldChar w:fldCharType="separate"/>
          </w:r>
          <w:r>
            <w:t>11 质量控制</w:t>
          </w:r>
          <w:r>
            <w:tab/>
          </w:r>
          <w:r>
            <w:fldChar w:fldCharType="begin"/>
          </w:r>
          <w:r>
            <w:instrText xml:space="preserve"> PAGEREF _Toc5295 \h </w:instrText>
          </w:r>
          <w:r>
            <w:fldChar w:fldCharType="separate"/>
          </w:r>
          <w:r>
            <w:t>32</w:t>
          </w:r>
          <w:r>
            <w:fldChar w:fldCharType="end"/>
          </w:r>
          <w:r>
            <w:fldChar w:fldCharType="end"/>
          </w:r>
        </w:p>
        <w:p w14:paraId="69A5EBB7">
          <w:pPr>
            <w:pStyle w:val="14"/>
            <w:tabs>
              <w:tab w:val="right" w:leader="dot" w:pos="9026"/>
            </w:tabs>
          </w:pPr>
          <w:r>
            <w:fldChar w:fldCharType="begin"/>
          </w:r>
          <w:r>
            <w:instrText xml:space="preserve"> HYPERLINK \l _Toc18092 </w:instrText>
          </w:r>
          <w:r>
            <w:fldChar w:fldCharType="separate"/>
          </w:r>
          <w:r>
            <w:t>11.1 人员质控</w:t>
          </w:r>
          <w:r>
            <w:tab/>
          </w:r>
          <w:r>
            <w:fldChar w:fldCharType="begin"/>
          </w:r>
          <w:r>
            <w:instrText xml:space="preserve"> PAGEREF _Toc18092 \h </w:instrText>
          </w:r>
          <w:r>
            <w:fldChar w:fldCharType="separate"/>
          </w:r>
          <w:r>
            <w:t>32</w:t>
          </w:r>
          <w:r>
            <w:fldChar w:fldCharType="end"/>
          </w:r>
          <w:r>
            <w:fldChar w:fldCharType="end"/>
          </w:r>
        </w:p>
        <w:p w14:paraId="7FC3E4F5">
          <w:pPr>
            <w:pStyle w:val="14"/>
            <w:tabs>
              <w:tab w:val="right" w:leader="dot" w:pos="9026"/>
            </w:tabs>
          </w:pPr>
          <w:r>
            <w:fldChar w:fldCharType="begin"/>
          </w:r>
          <w:r>
            <w:instrText xml:space="preserve"> HYPERLINK \l _Toc7975 </w:instrText>
          </w:r>
          <w:r>
            <w:fldChar w:fldCharType="separate"/>
          </w:r>
          <w:r>
            <w:t>11.2 设备质控</w:t>
          </w:r>
          <w:r>
            <w:tab/>
          </w:r>
          <w:r>
            <w:fldChar w:fldCharType="begin"/>
          </w:r>
          <w:r>
            <w:instrText xml:space="preserve"> PAGEREF _Toc7975 \h </w:instrText>
          </w:r>
          <w:r>
            <w:fldChar w:fldCharType="separate"/>
          </w:r>
          <w:r>
            <w:t>32</w:t>
          </w:r>
          <w:r>
            <w:fldChar w:fldCharType="end"/>
          </w:r>
          <w:r>
            <w:fldChar w:fldCharType="end"/>
          </w:r>
        </w:p>
        <w:p w14:paraId="1D7290A0">
          <w:pPr>
            <w:pStyle w:val="9"/>
            <w:tabs>
              <w:tab w:val="right" w:leader="dot" w:pos="9026"/>
            </w:tabs>
          </w:pPr>
          <w:r>
            <w:fldChar w:fldCharType="begin"/>
          </w:r>
          <w:r>
            <w:instrText xml:space="preserve"> HYPERLINK \l _Toc27469 </w:instrText>
          </w:r>
          <w:r>
            <w:fldChar w:fldCharType="separate"/>
          </w:r>
          <w:r>
            <w:t>11.2.1 日常质控</w:t>
          </w:r>
          <w:r>
            <w:tab/>
          </w:r>
          <w:r>
            <w:fldChar w:fldCharType="begin"/>
          </w:r>
          <w:r>
            <w:instrText xml:space="preserve"> PAGEREF _Toc27469 \h </w:instrText>
          </w:r>
          <w:r>
            <w:fldChar w:fldCharType="separate"/>
          </w:r>
          <w:r>
            <w:t>32</w:t>
          </w:r>
          <w:r>
            <w:fldChar w:fldCharType="end"/>
          </w:r>
          <w:r>
            <w:fldChar w:fldCharType="end"/>
          </w:r>
        </w:p>
        <w:p w14:paraId="5CD464D4">
          <w:pPr>
            <w:pStyle w:val="9"/>
            <w:tabs>
              <w:tab w:val="right" w:leader="dot" w:pos="9026"/>
            </w:tabs>
          </w:pPr>
          <w:r>
            <w:fldChar w:fldCharType="begin"/>
          </w:r>
          <w:r>
            <w:instrText xml:space="preserve"> HYPERLINK \l _Toc25418 </w:instrText>
          </w:r>
          <w:r>
            <w:fldChar w:fldCharType="separate"/>
          </w:r>
          <w:r>
            <w:t>11.2.2 月度质控</w:t>
          </w:r>
          <w:r>
            <w:tab/>
          </w:r>
          <w:r>
            <w:fldChar w:fldCharType="begin"/>
          </w:r>
          <w:r>
            <w:instrText xml:space="preserve"> PAGEREF _Toc25418 \h </w:instrText>
          </w:r>
          <w:r>
            <w:fldChar w:fldCharType="separate"/>
          </w:r>
          <w:r>
            <w:t>33</w:t>
          </w:r>
          <w:r>
            <w:fldChar w:fldCharType="end"/>
          </w:r>
          <w:r>
            <w:fldChar w:fldCharType="end"/>
          </w:r>
        </w:p>
        <w:p w14:paraId="6DD3760E">
          <w:pPr>
            <w:pStyle w:val="9"/>
            <w:tabs>
              <w:tab w:val="right" w:leader="dot" w:pos="9026"/>
            </w:tabs>
          </w:pPr>
          <w:r>
            <w:fldChar w:fldCharType="begin"/>
          </w:r>
          <w:r>
            <w:instrText xml:space="preserve"> HYPERLINK \l _Toc3702 </w:instrText>
          </w:r>
          <w:r>
            <w:fldChar w:fldCharType="separate"/>
          </w:r>
          <w:r>
            <w:t>11.2.3 年度质控</w:t>
          </w:r>
          <w:r>
            <w:tab/>
          </w:r>
          <w:r>
            <w:fldChar w:fldCharType="begin"/>
          </w:r>
          <w:r>
            <w:instrText xml:space="preserve"> PAGEREF _Toc3702 \h </w:instrText>
          </w:r>
          <w:r>
            <w:fldChar w:fldCharType="separate"/>
          </w:r>
          <w:r>
            <w:t>33</w:t>
          </w:r>
          <w:r>
            <w:fldChar w:fldCharType="end"/>
          </w:r>
          <w:r>
            <w:fldChar w:fldCharType="end"/>
          </w:r>
        </w:p>
        <w:p w14:paraId="436B431F">
          <w:pPr>
            <w:pStyle w:val="9"/>
            <w:tabs>
              <w:tab w:val="right" w:leader="dot" w:pos="9026"/>
            </w:tabs>
          </w:pPr>
          <w:r>
            <w:fldChar w:fldCharType="begin"/>
          </w:r>
          <w:r>
            <w:instrText xml:space="preserve"> HYPERLINK \l _Toc6716 </w:instrText>
          </w:r>
          <w:r>
            <w:fldChar w:fldCharType="separate"/>
          </w:r>
          <w:r>
            <w:t>11.2.4 其他设备质控</w:t>
          </w:r>
          <w:r>
            <w:tab/>
          </w:r>
          <w:r>
            <w:fldChar w:fldCharType="begin"/>
          </w:r>
          <w:r>
            <w:instrText xml:space="preserve"> PAGEREF _Toc6716 \h </w:instrText>
          </w:r>
          <w:r>
            <w:fldChar w:fldCharType="separate"/>
          </w:r>
          <w:r>
            <w:t>33</w:t>
          </w:r>
          <w:r>
            <w:fldChar w:fldCharType="end"/>
          </w:r>
          <w:r>
            <w:fldChar w:fldCharType="end"/>
          </w:r>
        </w:p>
        <w:p w14:paraId="540A6F3B">
          <w:pPr>
            <w:pStyle w:val="14"/>
            <w:tabs>
              <w:tab w:val="right" w:leader="dot" w:pos="9026"/>
            </w:tabs>
          </w:pPr>
          <w:r>
            <w:fldChar w:fldCharType="begin"/>
          </w:r>
          <w:r>
            <w:instrText xml:space="preserve"> HYPERLINK \l _Toc15098 </w:instrText>
          </w:r>
          <w:r>
            <w:fldChar w:fldCharType="separate"/>
          </w:r>
          <w:r>
            <w:t>11.3 流程质控</w:t>
          </w:r>
          <w:r>
            <w:tab/>
          </w:r>
          <w:r>
            <w:fldChar w:fldCharType="begin"/>
          </w:r>
          <w:r>
            <w:instrText xml:space="preserve"> PAGEREF _Toc15098 \h </w:instrText>
          </w:r>
          <w:r>
            <w:fldChar w:fldCharType="separate"/>
          </w:r>
          <w:r>
            <w:t>33</w:t>
          </w:r>
          <w:r>
            <w:fldChar w:fldCharType="end"/>
          </w:r>
          <w:r>
            <w:fldChar w:fldCharType="end"/>
          </w:r>
        </w:p>
        <w:p w14:paraId="0072E0F3">
          <w:pPr>
            <w:pStyle w:val="9"/>
            <w:tabs>
              <w:tab w:val="right" w:leader="dot" w:pos="9026"/>
            </w:tabs>
          </w:pPr>
          <w:r>
            <w:fldChar w:fldCharType="begin"/>
          </w:r>
          <w:r>
            <w:instrText xml:space="preserve"> HYPERLINK \l _Toc2236 </w:instrText>
          </w:r>
          <w:r>
            <w:fldChar w:fldCharType="separate"/>
          </w:r>
          <w:r>
            <w:t>11.3.1 量化</w:t>
          </w:r>
          <w:r>
            <w:tab/>
          </w:r>
          <w:r>
            <w:fldChar w:fldCharType="begin"/>
          </w:r>
          <w:r>
            <w:instrText xml:space="preserve"> PAGEREF _Toc2236 \h </w:instrText>
          </w:r>
          <w:r>
            <w:fldChar w:fldCharType="separate"/>
          </w:r>
          <w:r>
            <w:t>33</w:t>
          </w:r>
          <w:r>
            <w:fldChar w:fldCharType="end"/>
          </w:r>
          <w:r>
            <w:fldChar w:fldCharType="end"/>
          </w:r>
        </w:p>
        <w:p w14:paraId="446CF03D">
          <w:pPr>
            <w:pStyle w:val="9"/>
            <w:tabs>
              <w:tab w:val="right" w:leader="dot" w:pos="9026"/>
            </w:tabs>
          </w:pPr>
          <w:r>
            <w:fldChar w:fldCharType="begin"/>
          </w:r>
          <w:r>
            <w:instrText xml:space="preserve"> HYPERLINK \l _Toc23283 </w:instrText>
          </w:r>
          <w:r>
            <w:fldChar w:fldCharType="separate"/>
          </w:r>
          <w:r>
            <w:t>11.3.2 细化</w:t>
          </w:r>
          <w:r>
            <w:tab/>
          </w:r>
          <w:r>
            <w:fldChar w:fldCharType="begin"/>
          </w:r>
          <w:r>
            <w:instrText xml:space="preserve"> PAGEREF _Toc23283 \h </w:instrText>
          </w:r>
          <w:r>
            <w:fldChar w:fldCharType="separate"/>
          </w:r>
          <w:r>
            <w:t>33</w:t>
          </w:r>
          <w:r>
            <w:fldChar w:fldCharType="end"/>
          </w:r>
          <w:r>
            <w:fldChar w:fldCharType="end"/>
          </w:r>
        </w:p>
        <w:p w14:paraId="55C4BD7D">
          <w:pPr>
            <w:pStyle w:val="9"/>
            <w:tabs>
              <w:tab w:val="right" w:leader="dot" w:pos="9026"/>
            </w:tabs>
          </w:pPr>
          <w:r>
            <w:fldChar w:fldCharType="begin"/>
          </w:r>
          <w:r>
            <w:instrText xml:space="preserve"> HYPERLINK \l _Toc3978 </w:instrText>
          </w:r>
          <w:r>
            <w:fldChar w:fldCharType="separate"/>
          </w:r>
          <w:r>
            <w:t>11.3.3 专业化</w:t>
          </w:r>
          <w:r>
            <w:tab/>
          </w:r>
          <w:r>
            <w:fldChar w:fldCharType="begin"/>
          </w:r>
          <w:r>
            <w:instrText xml:space="preserve"> PAGEREF _Toc3978 \h </w:instrText>
          </w:r>
          <w:r>
            <w:fldChar w:fldCharType="separate"/>
          </w:r>
          <w:r>
            <w:t>33</w:t>
          </w:r>
          <w:r>
            <w:fldChar w:fldCharType="end"/>
          </w:r>
          <w:r>
            <w:fldChar w:fldCharType="end"/>
          </w:r>
        </w:p>
        <w:p w14:paraId="7E6A21BB">
          <w:pPr>
            <w:pStyle w:val="9"/>
            <w:tabs>
              <w:tab w:val="right" w:leader="dot" w:pos="9026"/>
            </w:tabs>
          </w:pPr>
          <w:r>
            <w:fldChar w:fldCharType="begin"/>
          </w:r>
          <w:r>
            <w:instrText xml:space="preserve"> HYPERLINK \l _Toc5886 </w:instrText>
          </w:r>
          <w:r>
            <w:fldChar w:fldCharType="separate"/>
          </w:r>
          <w:r>
            <w:t>11.3.4 最优化</w:t>
          </w:r>
          <w:r>
            <w:tab/>
          </w:r>
          <w:r>
            <w:fldChar w:fldCharType="begin"/>
          </w:r>
          <w:r>
            <w:instrText xml:space="preserve"> PAGEREF _Toc5886 \h </w:instrText>
          </w:r>
          <w:r>
            <w:fldChar w:fldCharType="separate"/>
          </w:r>
          <w:r>
            <w:t>33</w:t>
          </w:r>
          <w:r>
            <w:fldChar w:fldCharType="end"/>
          </w:r>
          <w:r>
            <w:fldChar w:fldCharType="end"/>
          </w:r>
        </w:p>
        <w:p w14:paraId="568D3C99">
          <w:pPr>
            <w:pStyle w:val="9"/>
            <w:tabs>
              <w:tab w:val="right" w:leader="dot" w:pos="9026"/>
            </w:tabs>
          </w:pPr>
          <w:r>
            <w:fldChar w:fldCharType="begin"/>
          </w:r>
          <w:r>
            <w:instrText xml:space="preserve"> HYPERLINK \l _Toc23591 </w:instrText>
          </w:r>
          <w:r>
            <w:fldChar w:fldCharType="separate"/>
          </w:r>
          <w:r>
            <w:t>11.3.5 信息化</w:t>
          </w:r>
          <w:r>
            <w:tab/>
          </w:r>
          <w:r>
            <w:fldChar w:fldCharType="begin"/>
          </w:r>
          <w:r>
            <w:instrText xml:space="preserve"> PAGEREF _Toc23591 \h </w:instrText>
          </w:r>
          <w:r>
            <w:fldChar w:fldCharType="separate"/>
          </w:r>
          <w:r>
            <w:t>34</w:t>
          </w:r>
          <w:r>
            <w:fldChar w:fldCharType="end"/>
          </w:r>
          <w:r>
            <w:fldChar w:fldCharType="end"/>
          </w:r>
        </w:p>
        <w:p w14:paraId="626D0083">
          <w:pPr>
            <w:pStyle w:val="12"/>
            <w:tabs>
              <w:tab w:val="right" w:leader="dot" w:pos="9026"/>
            </w:tabs>
          </w:pPr>
          <w:r>
            <w:fldChar w:fldCharType="begin"/>
          </w:r>
          <w:r>
            <w:instrText xml:space="preserve"> HYPERLINK \l _Toc22670 </w:instrText>
          </w:r>
          <w:r>
            <w:fldChar w:fldCharType="separate"/>
          </w:r>
          <w:r>
            <w:t>12 附录</w:t>
          </w:r>
          <w:r>
            <w:tab/>
          </w:r>
          <w:r>
            <w:fldChar w:fldCharType="begin"/>
          </w:r>
          <w:r>
            <w:instrText xml:space="preserve"> PAGEREF _Toc22670 \h </w:instrText>
          </w:r>
          <w:r>
            <w:fldChar w:fldCharType="separate"/>
          </w:r>
          <w:r>
            <w:t>34</w:t>
          </w:r>
          <w:r>
            <w:fldChar w:fldCharType="end"/>
          </w:r>
          <w:r>
            <w:fldChar w:fldCharType="end"/>
          </w:r>
        </w:p>
        <w:p w14:paraId="54FCB995">
          <w:pPr>
            <w:pStyle w:val="14"/>
            <w:tabs>
              <w:tab w:val="right" w:leader="dot" w:pos="9026"/>
            </w:tabs>
          </w:pPr>
          <w:r>
            <w:fldChar w:fldCharType="begin"/>
          </w:r>
          <w:r>
            <w:instrText xml:space="preserve"> HYPERLINK \l _Toc9317 </w:instrText>
          </w:r>
          <w:r>
            <w:fldChar w:fldCharType="separate"/>
          </w:r>
          <w:r>
            <w:t>附录 1：危及器官限量建议</w:t>
          </w:r>
          <w:r>
            <w:tab/>
          </w:r>
          <w:r>
            <w:fldChar w:fldCharType="begin"/>
          </w:r>
          <w:r>
            <w:instrText xml:space="preserve"> PAGEREF _Toc9317 \h </w:instrText>
          </w:r>
          <w:r>
            <w:fldChar w:fldCharType="separate"/>
          </w:r>
          <w:r>
            <w:t>34</w:t>
          </w:r>
          <w:r>
            <w:fldChar w:fldCharType="end"/>
          </w:r>
          <w:r>
            <w:fldChar w:fldCharType="end"/>
          </w:r>
        </w:p>
        <w:p w14:paraId="42E312A2">
          <w:pPr>
            <w:pStyle w:val="14"/>
            <w:tabs>
              <w:tab w:val="right" w:leader="dot" w:pos="9026"/>
            </w:tabs>
          </w:pPr>
          <w:r>
            <w:fldChar w:fldCharType="begin"/>
          </w:r>
          <w:r>
            <w:instrText xml:space="preserve"> HYPERLINK \l _Toc20397 </w:instrText>
          </w:r>
          <w:r>
            <w:fldChar w:fldCharType="separate"/>
          </w:r>
          <w:r>
            <w:t>附录 2：累计 EQD2Gy 剂量的目标参考值（密西根大学）</w:t>
          </w:r>
          <w:r>
            <w:tab/>
          </w:r>
          <w:r>
            <w:fldChar w:fldCharType="begin"/>
          </w:r>
          <w:r>
            <w:instrText xml:space="preserve"> PAGEREF _Toc20397 \h </w:instrText>
          </w:r>
          <w:r>
            <w:fldChar w:fldCharType="separate"/>
          </w:r>
          <w:r>
            <w:t>35</w:t>
          </w:r>
          <w:r>
            <w:fldChar w:fldCharType="end"/>
          </w:r>
          <w:r>
            <w:fldChar w:fldCharType="end"/>
          </w:r>
        </w:p>
        <w:p w14:paraId="79A0E555">
          <w:pPr>
            <w:pStyle w:val="12"/>
            <w:tabs>
              <w:tab w:val="right" w:leader="dot" w:pos="9026"/>
            </w:tabs>
          </w:pPr>
          <w:r>
            <w:fldChar w:fldCharType="begin"/>
          </w:r>
          <w:r>
            <w:instrText xml:space="preserve"> HYPERLINK \l _Toc27550 </w:instrText>
          </w:r>
          <w:r>
            <w:fldChar w:fldCharType="separate"/>
          </w:r>
          <w:r>
            <w:t>13 参考文献</w:t>
          </w:r>
          <w:r>
            <w:tab/>
          </w:r>
          <w:r>
            <w:fldChar w:fldCharType="begin"/>
          </w:r>
          <w:r>
            <w:instrText xml:space="preserve"> PAGEREF _Toc27550 \h </w:instrText>
          </w:r>
          <w:r>
            <w:fldChar w:fldCharType="separate"/>
          </w:r>
          <w:r>
            <w:t>37</w:t>
          </w:r>
          <w:r>
            <w:fldChar w:fldCharType="end"/>
          </w:r>
          <w:r>
            <w:fldChar w:fldCharType="end"/>
          </w:r>
        </w:p>
        <w:p w14:paraId="603852FC">
          <w:r>
            <w:fldChar w:fldCharType="end"/>
          </w:r>
        </w:p>
      </w:sdtContent>
    </w:sdt>
    <w:p w14:paraId="5BDAB540"/>
    <w:p w14:paraId="28C7421A">
      <w:pPr>
        <w:pStyle w:val="2"/>
        <w:jc w:val="center"/>
      </w:pPr>
      <w:bookmarkStart w:id="0" w:name="_Toc3319"/>
    </w:p>
    <w:p w14:paraId="59CADDEF">
      <w:pPr>
        <w:pStyle w:val="2"/>
        <w:jc w:val="center"/>
      </w:pPr>
    </w:p>
    <w:p w14:paraId="5905DC01">
      <w:pPr>
        <w:pStyle w:val="2"/>
        <w:jc w:val="center"/>
      </w:pPr>
    </w:p>
    <w:p w14:paraId="1BC2AB81">
      <w:pPr>
        <w:pStyle w:val="2"/>
        <w:jc w:val="center"/>
      </w:pPr>
    </w:p>
    <w:p w14:paraId="4A31024F">
      <w:pPr>
        <w:pStyle w:val="2"/>
        <w:jc w:val="center"/>
      </w:pPr>
    </w:p>
    <w:p w14:paraId="3CC66491">
      <w:pPr>
        <w:pStyle w:val="2"/>
        <w:jc w:val="center"/>
      </w:pPr>
    </w:p>
    <w:p w14:paraId="6F974B33">
      <w:pPr>
        <w:pStyle w:val="2"/>
        <w:jc w:val="center"/>
      </w:pPr>
      <w:bookmarkStart w:id="80" w:name="_GoBack"/>
      <w:bookmarkEnd w:id="80"/>
      <w:r>
        <w:t>引言</w:t>
      </w:r>
      <w:bookmarkEnd w:id="0"/>
    </w:p>
    <w:p w14:paraId="031B11FA">
      <w:pPr>
        <w:pStyle w:val="22"/>
      </w:pPr>
      <w:r>
        <w:t>随着放疗技术的快速发展，放疗新技术不断涌现，骨转移瘤立体定向放疗技术相对复杂，放疗临床面临前所未有的挑战。一方面，传统放疗技术在提高肿瘤剂量方面存在局限，难以满足肿瘤控制需求；另一方面，不同医疗机构在骨转移瘤立体定向放疗靶区勾画、剂量分割及质量控制标准上存在差异，导致立体定向放射治疗缺乏可比性，影响临床决策的科学性与一致性。此外，伴随个体化医疗、立体定向放射外科治疗等理念的普及，对保障放疗安全、优化治疗效果的关键环节，亟需统一规范骨转移瘤立体定向放疗的通用要求，以提升放射治疗质量与效果。</w:t>
      </w:r>
    </w:p>
    <w:p w14:paraId="10BDC53E">
      <w:pPr>
        <w:pStyle w:val="22"/>
      </w:pPr>
      <w:r>
        <w:t>本要求旨在建立一套覆盖骨转移瘤立体定向放疗全流程的标准化体系，包括靶区、剂量及质量控制等环节。通过明确技术参数、操作规范与评价标准，推动骨转移瘤立体定向放疗技术的规范化与同质化，降低治疗风险，为临床治疗和临床研究提供可靠数据支撑。其意义不仅在于提升医疗质量，减少放疗安全隐患，更有助于推动放疗学科发展，促进产学研医深度融合，增强我国在临床放疗领域的国际话语权。</w:t>
      </w:r>
    </w:p>
    <w:p w14:paraId="024146DE">
      <w:pPr>
        <w:pStyle w:val="22"/>
      </w:pPr>
      <w:r>
        <w:t>本通用要求编制过程遵循 “科学性、实用性、前瞻性” 原则，联合临床医疗机构、科研院所及企业专家，结合国内外最新骨转移瘤立体定向放疗研究成果与行业实践，系统梳理骨转移瘤立体定向放疗中的共性问题与技术瓶颈。通过文献调研、专家论证及多中心验证，综合考虑不同医院的特点与适用场景，形成涵盖骨转移瘤立体定向放疗全流程的完整框架。同时，充分借鉴国际标准及相关指南，确保本要求与国际接轨，满足我国临床骨转移瘤立体定向放疗的本土化需求。</w:t>
      </w:r>
    </w:p>
    <w:p w14:paraId="528622F3">
      <w:pPr>
        <w:pStyle w:val="22"/>
      </w:pPr>
      <w:r>
        <w:t>该要求适用于各级医疗机构肿瘤科、放疗科，可指导放疗中心临床工作，助力精准医疗与骨转移瘤立体定向放疗临床转化，最终实现优化立体定向放射治疗方案、保障患者放疗安全的目标。</w:t>
      </w:r>
    </w:p>
    <w:p w14:paraId="15885F78">
      <w:pPr>
        <w:pStyle w:val="22"/>
      </w:pPr>
    </w:p>
    <w:p w14:paraId="2C4A2219">
      <w:pPr>
        <w:pBdr>
          <w:bottom w:val="single" w:color="auto" w:sz="6" w:space="1"/>
        </w:pBdr>
      </w:pPr>
    </w:p>
    <w:p w14:paraId="27028328">
      <w:pPr>
        <w:pStyle w:val="2"/>
      </w:pPr>
    </w:p>
    <w:p w14:paraId="5C8936E6">
      <w:pPr>
        <w:pStyle w:val="2"/>
      </w:pPr>
    </w:p>
    <w:p w14:paraId="7D617751">
      <w:pPr>
        <w:pStyle w:val="2"/>
      </w:pPr>
    </w:p>
    <w:p w14:paraId="1011DFC5">
      <w:pPr>
        <w:pStyle w:val="2"/>
      </w:pPr>
    </w:p>
    <w:p w14:paraId="134AC8C6">
      <w:pPr>
        <w:pStyle w:val="2"/>
        <w:jc w:val="center"/>
      </w:pPr>
    </w:p>
    <w:p w14:paraId="28E17C61">
      <w:pPr>
        <w:pStyle w:val="2"/>
        <w:jc w:val="center"/>
      </w:pPr>
      <w:bookmarkStart w:id="1" w:name="_Toc15197"/>
      <w:r>
        <w:t>前言</w:t>
      </w:r>
      <w:bookmarkEnd w:id="1"/>
    </w:p>
    <w:p w14:paraId="3495879F">
      <w:pPr>
        <w:pStyle w:val="22"/>
      </w:pPr>
      <w:r>
        <w:t>本文件按照 GB/T 1.1-2020《标准化工作导则 第 1 部分：标准化文件的结构和起草规则》的规定起草。</w:t>
      </w:r>
    </w:p>
    <w:p w14:paraId="50F88405">
      <w:pPr>
        <w:pStyle w:val="22"/>
      </w:pPr>
      <w:r>
        <w:t>请注意本文件的某些内容可能涉及专利。本文件的发布机构不承担识别专利的责任。</w:t>
      </w:r>
    </w:p>
    <w:p w14:paraId="6BA0BD16">
      <w:pPr>
        <w:pStyle w:val="22"/>
      </w:pPr>
      <w:r>
        <w:t>本文件参考《国家标准管理办法》《计量法》。</w:t>
      </w:r>
    </w:p>
    <w:p w14:paraId="4847ACBA">
      <w:pPr>
        <w:pStyle w:val="22"/>
      </w:pPr>
      <w:r>
        <w:t>本标准主要起草单位：武汉市放疗质控中心（武汉市第五医院）、广州医科大学附属肿瘤医院、山东省肿瘤医院、天津肿瘤医院、复旦大学上海中山医院、上海长海医院、首都医科大学天坛医院、北京医院、中国人民解放军联勤保障部队第九四〇医院、温州医科大学附属一院、青岛市肿瘤医院、开封市肿瘤医院。</w:t>
      </w:r>
    </w:p>
    <w:p w14:paraId="5E437F76">
      <w:pPr>
        <w:pStyle w:val="22"/>
      </w:pPr>
      <w:r>
        <w:t>参加起草单位：北京大学第三医院、中山大学肿瘤医院、四川省肿瘤医院、复旦大学肿瘤医院、北京大学第一医院、重庆大学肿瘤医院、福建省肿瘤医院、兰州大学、武汉大学人民医院、河南省肿瘤医院、四川大学华西医院、郑州大学第一附属医院、复旦大学附属中山医院、枣庄市肿瘤医院、广州医科大学肿瘤医院、南方医科大学中西结合医院、暨南大学华侨医院、中山大学第一医院、华中科技大学同济医学院同济医院、广西医科大学肿瘤医院、大连市中心医院等。</w:t>
      </w:r>
    </w:p>
    <w:p w14:paraId="7A34636A">
      <w:pPr>
        <w:pStyle w:val="22"/>
      </w:pPr>
      <w:r>
        <w:t>指导专家：于金明 马骏 徐国镇 胡逸民 申文江 李晔雄 郎锦义 王俊杰 李宝生 张福泉 高献书 吴永忠 王 平 杨道科 陈传本 潘力</w:t>
      </w:r>
    </w:p>
    <w:p w14:paraId="086C7A45">
      <w:pPr>
        <w:pStyle w:val="22"/>
      </w:pPr>
      <w:r>
        <w:t>起草人：龙志雄 郑荣辉 孔凤鸣 邢力刚 曾昭冲 陈一兴 袁智勇 张火俊 孙时斌 张宗春 李莎 廖志伟</w:t>
      </w:r>
    </w:p>
    <w:p w14:paraId="79770B1A">
      <w:pPr>
        <w:pStyle w:val="22"/>
      </w:pPr>
      <w:r>
        <w:t>参与起草人：康静波 陈佳艺 朱小东 席许平 陈念永 钟军 王颖 郑颖娟 田野 何侠 程光惠 尹勇 黄晓延 柏森 赵路军 毛凯 阮长利 魏夏平 李振江 王惠 黄颖 刘艳屏 张江洲 万欢 曲宝林 黄润生 梁军潮 潘绵顺 郁志龙 邵秋菊 林宇 于德全 谢启超 张烨 刘原照 李建成 曹永珍 单国用 王恩敏 麦海强 赵充 韩非 袁娅维 任娟 白书衡 申良方 黎建绪 申戈 王峰 罗勇 吴开良 袁双虎 李建军 周伟 陶丹 杨镇洲 宋启斌 付振明 姚毅 葛红 贺春雨 徐向英 刘林林 李光 王维虎 黄慧 梁世雄 吴君心 钟亚华 袁响林 杨坤禹 李贵林 陈永顺 徐本华 张利伟 陈卫东 张涛 张罗生 马茗微 李洪振 王铁君 章真 陈锦飞 王若雨 朱广迎 朱健 黄伟 张秋宁 胡钦勇 李黎波 戈伟 聂大红 王奕鸣 赵仁 吴登斌 万海涛 李建雄 胡克 李险峰 王桂华 王宗烨 张盛 褚倩 张明生 翟传岭</w:t>
      </w:r>
    </w:p>
    <w:p w14:paraId="69C1A760">
      <w:pPr>
        <w:pStyle w:val="22"/>
      </w:pPr>
      <w:r>
        <w:t>骨转移是晚期恶性肿瘤最常见的并发症之一，在乳腺癌、前列腺癌及肺癌等实体瘤中的发生率高达 65%-75%，且常伴随骨痛、病理性骨折和脊髓压迫等严重骨相关事件（SREs），显著降低患者生存质量并缩短生存期。放射治疗是一种有效控制骨转移引起的疼痛的方法。近年来的研究表明，由于立体定向放射治疗（Stereotactic Body Radiation Therapy, SBRT）及影像引导放疗（Image-Guided Radiation Therapy, IGRT）等精准技术的发展，高剂量、少分次的放疗模式逐渐应用于脊柱及非脊柱骨转移的临床治疗中，显著提高了局部控制率并降低再治疗需求。SBRT 对体能状态良好、无手术指征的患者可替代常规姑息放疗，成为症状性骨转移的重要治疗选择。</w:t>
      </w:r>
    </w:p>
    <w:p w14:paraId="7ECEFE32">
      <w:pPr>
        <w:pStyle w:val="22"/>
      </w:pPr>
      <w:r>
        <w:t>骨转移瘤立体定向放疗使医师能够以每次高剂量照射来控制疼痛，同时减少副作用和可能的再次放疗，从而改善患者的生活质量。在无症状的寡转移或寡进展患者中，此种治疗模式可以改善患者的无进展生存期或总生存期 [1]。</w:t>
      </w:r>
    </w:p>
    <w:p w14:paraId="6F6DA15B">
      <w:pPr>
        <w:pStyle w:val="22"/>
      </w:pPr>
    </w:p>
    <w:p w14:paraId="5BEEA528">
      <w:pPr>
        <w:pBdr>
          <w:bottom w:val="single" w:color="auto" w:sz="6" w:space="1"/>
        </w:pBdr>
      </w:pPr>
    </w:p>
    <w:p w14:paraId="021B4EFE">
      <w:pPr>
        <w:pStyle w:val="2"/>
      </w:pPr>
    </w:p>
    <w:p w14:paraId="36D4790D">
      <w:pPr>
        <w:pStyle w:val="2"/>
      </w:pPr>
    </w:p>
    <w:p w14:paraId="40D9D6BB">
      <w:pPr>
        <w:pStyle w:val="2"/>
      </w:pPr>
    </w:p>
    <w:p w14:paraId="2FFE3C54">
      <w:pPr>
        <w:pStyle w:val="2"/>
      </w:pPr>
    </w:p>
    <w:p w14:paraId="4B64435F">
      <w:pPr>
        <w:pStyle w:val="2"/>
      </w:pPr>
    </w:p>
    <w:p w14:paraId="1B2DCF38">
      <w:pPr>
        <w:pStyle w:val="2"/>
      </w:pPr>
    </w:p>
    <w:p w14:paraId="337DEF26">
      <w:pPr>
        <w:pStyle w:val="2"/>
      </w:pPr>
    </w:p>
    <w:p w14:paraId="63DAA7A5">
      <w:pPr>
        <w:pStyle w:val="2"/>
      </w:pPr>
    </w:p>
    <w:p w14:paraId="1C2A4E7E">
      <w:pPr>
        <w:pStyle w:val="2"/>
      </w:pPr>
    </w:p>
    <w:p w14:paraId="285AFBF0">
      <w:pPr>
        <w:pStyle w:val="2"/>
      </w:pPr>
    </w:p>
    <w:p w14:paraId="43981069">
      <w:pPr>
        <w:pStyle w:val="2"/>
      </w:pPr>
    </w:p>
    <w:p w14:paraId="49DB7C25">
      <w:pPr>
        <w:pStyle w:val="2"/>
      </w:pPr>
    </w:p>
    <w:p w14:paraId="47F6EE35">
      <w:pPr>
        <w:pStyle w:val="2"/>
      </w:pPr>
    </w:p>
    <w:p w14:paraId="25890023">
      <w:pPr>
        <w:pStyle w:val="2"/>
      </w:pPr>
      <w:bookmarkStart w:id="2" w:name="_Toc25957"/>
      <w:r>
        <w:t>1 范围</w:t>
      </w:r>
      <w:bookmarkEnd w:id="2"/>
    </w:p>
    <w:p w14:paraId="00C4E03D">
      <w:pPr>
        <w:pStyle w:val="22"/>
      </w:pPr>
      <w:r>
        <w:t>本文件规定了骨转移瘤 SBRT 的治疗要求。</w:t>
      </w:r>
    </w:p>
    <w:p w14:paraId="6B7A6898">
      <w:pPr>
        <w:pStyle w:val="22"/>
      </w:pPr>
      <w:r>
        <w:t>本文件适用于癌症患者骨转移灶的 SBRT。</w:t>
      </w:r>
    </w:p>
    <w:p w14:paraId="489FE4E7">
      <w:pPr>
        <w:pStyle w:val="22"/>
      </w:pPr>
      <w:r>
        <w:t>本文件的制定旨在：使从事肿瘤放射治疗的临床医生了解 SBRT 在骨转移瘤治疗中的价值；指导临床医生正确开展骨转移瘤 SBRT；阐明骨转移瘤 SBRT 的适应症、实施流程及注意事项；规范 SBRT 技术的应用，以提升骨转移瘤的控制效果、缓解骨相关事件、改善患者生活质量，使更多患者获益。</w:t>
      </w:r>
    </w:p>
    <w:p w14:paraId="0B938BE0">
      <w:pPr>
        <w:pStyle w:val="22"/>
      </w:pPr>
      <w:r>
        <w:t>本文件的制定主要基于现有的系统评价研究结果和骨转移瘤放疗专家的共识观点。</w:t>
      </w:r>
    </w:p>
    <w:p w14:paraId="06AA6607">
      <w:pPr>
        <w:pStyle w:val="22"/>
      </w:pPr>
    </w:p>
    <w:p w14:paraId="3D242886">
      <w:pPr>
        <w:pBdr>
          <w:bottom w:val="single" w:color="auto" w:sz="6" w:space="1"/>
        </w:pBdr>
      </w:pPr>
    </w:p>
    <w:p w14:paraId="03AF2992">
      <w:pPr>
        <w:pStyle w:val="2"/>
      </w:pPr>
      <w:bookmarkStart w:id="3" w:name="_Toc13522"/>
      <w:r>
        <w:t>2 规范性引用文件</w:t>
      </w:r>
      <w:bookmarkEnd w:id="3"/>
    </w:p>
    <w:p w14:paraId="415682F0">
      <w:pPr>
        <w:pStyle w:val="22"/>
      </w:pPr>
      <w:r>
        <w:t>下列文件对本标准的引用是必不可少的。凡是注日期的引用文件，仅注日期的版本适用于本文件；凡是不注日期的引用文件，其最新版本（包括所有的修改单）适用于本文件。</w:t>
      </w:r>
    </w:p>
    <w:p w14:paraId="20140E3B">
      <w:pPr>
        <w:pStyle w:val="22"/>
        <w:numPr>
          <w:ilvl w:val="0"/>
          <w:numId w:val="1"/>
        </w:numPr>
      </w:pPr>
      <w:r>
        <w:t>GBZ/T 149 医学放射工作人员的卫生防护培训规范</w:t>
      </w:r>
    </w:p>
    <w:p w14:paraId="2C4593EC">
      <w:pPr>
        <w:pStyle w:val="22"/>
        <w:numPr>
          <w:ilvl w:val="0"/>
          <w:numId w:val="1"/>
        </w:numPr>
      </w:pPr>
      <w:r>
        <w:t>ISBN 978-7-5742-0908-4 中国肿瘤整合诊治技术指南（CACA）</w:t>
      </w:r>
    </w:p>
    <w:p w14:paraId="48124EE2">
      <w:pPr>
        <w:pStyle w:val="22"/>
        <w:numPr>
          <w:ilvl w:val="0"/>
          <w:numId w:val="1"/>
        </w:numPr>
      </w:pPr>
      <w:r>
        <w:t>NCC/T-RT 009-2023 肿瘤放射治疗质量安全评价标准指南</w:t>
      </w:r>
    </w:p>
    <w:p w14:paraId="23A97E48">
      <w:pPr>
        <w:pStyle w:val="22"/>
        <w:numPr>
          <w:ilvl w:val="0"/>
          <w:numId w:val="1"/>
        </w:numPr>
      </w:pPr>
      <w:r>
        <w:t>AAPM TG40 放射肿瘤学全面质量保证（Comprehensive Quality Assurance for Radiation Oncology）</w:t>
      </w:r>
    </w:p>
    <w:p w14:paraId="6B897271">
      <w:pPr>
        <w:pStyle w:val="22"/>
        <w:numPr>
          <w:ilvl w:val="0"/>
          <w:numId w:val="1"/>
        </w:numPr>
      </w:pPr>
      <w:r>
        <w:t>AAPM TG76 放射肿瘤学中呼吸运动管理（The Management of Respiratory Motion in Radiation Oncology）</w:t>
      </w:r>
    </w:p>
    <w:p w14:paraId="6AD5C42E">
      <w:pPr>
        <w:pStyle w:val="22"/>
        <w:numPr>
          <w:ilvl w:val="0"/>
          <w:numId w:val="1"/>
        </w:numPr>
      </w:pPr>
      <w:r>
        <w:t>ICRU 第 50 号报告 光子束治疗的处方、记录和报告（Prescribing, Recording, and Reporting Photon Beam Therapy）</w:t>
      </w:r>
    </w:p>
    <w:p w14:paraId="49AF2361">
      <w:pPr>
        <w:pStyle w:val="22"/>
        <w:numPr>
          <w:ilvl w:val="0"/>
          <w:numId w:val="1"/>
        </w:numPr>
      </w:pPr>
      <w:r>
        <w:t>ICRU 第 62 号报告 光子束治疗的处方、记录和报告 ——ICRU 第 50 号报告补充（Prescribing, Recording, and Reporting Photon Beam Therapy (Supplement to ICRU Report 50）</w:t>
      </w:r>
    </w:p>
    <w:p w14:paraId="2E137A84">
      <w:pPr>
        <w:pStyle w:val="22"/>
        <w:numPr>
          <w:ilvl w:val="0"/>
          <w:numId w:val="1"/>
        </w:numPr>
      </w:pPr>
      <w:r>
        <w:t>ICRU 第 83 号报告 调强放射治疗的处方、记录和报告（Prescribing, Recording, and Reporting of Intensity-Modulated Radiotherapy）</w:t>
      </w:r>
    </w:p>
    <w:p w14:paraId="26E21825">
      <w:pPr>
        <w:pStyle w:val="22"/>
        <w:numPr>
          <w:ilvl w:val="0"/>
          <w:numId w:val="1"/>
        </w:numPr>
      </w:pPr>
      <w:r>
        <w:t>T/SBIAORG 0001-2024 体部立体定向放射治疗呼吸门控技术运动管理团体标准</w:t>
      </w:r>
    </w:p>
    <w:p w14:paraId="6693B1C9">
      <w:pPr>
        <w:pStyle w:val="22"/>
      </w:pPr>
    </w:p>
    <w:p w14:paraId="350267CF">
      <w:pPr>
        <w:pBdr>
          <w:bottom w:val="single" w:color="auto" w:sz="6" w:space="1"/>
        </w:pBdr>
      </w:pPr>
    </w:p>
    <w:p w14:paraId="7BB6A762">
      <w:pPr>
        <w:pStyle w:val="2"/>
      </w:pPr>
      <w:bookmarkStart w:id="4" w:name="_Toc22129"/>
      <w:r>
        <w:t>3 术语和定义</w:t>
      </w:r>
      <w:bookmarkEnd w:id="4"/>
    </w:p>
    <w:p w14:paraId="1ABC6BD8">
      <w:pPr>
        <w:pStyle w:val="3"/>
      </w:pPr>
      <w:bookmarkStart w:id="5" w:name="_Toc6290"/>
      <w:r>
        <w:t>3.1 骨转移瘤立体定向放疗（Stereotactic Body Radiotherapy, SBRT）</w:t>
      </w:r>
      <w:bookmarkEnd w:id="5"/>
    </w:p>
    <w:p w14:paraId="79E28F16">
      <w:pPr>
        <w:pStyle w:val="22"/>
      </w:pPr>
      <w:r>
        <w:t>在影像引导（如锥形束 CT/CBCT）和个体化精密固定下，利用治疗计划系统和立体定向技术，将高剂量射线高度聚焦于骨转移靶区。其核心在于形成靶区内的高生物学效应剂量分布和靶区外（特别是临近脊髓、神经根、重要脏器等危险器官）剂量的快速跌落（陡峭剂量梯度），从而实现高精度、低分次（通常 1-5 次）的局部控制治疗目标。</w:t>
      </w:r>
    </w:p>
    <w:p w14:paraId="1CA847CD">
      <w:pPr>
        <w:pStyle w:val="3"/>
      </w:pPr>
      <w:bookmarkStart w:id="6" w:name="_Toc6434"/>
      <w:r>
        <w:t>3.2 立体定向消融放射治疗（Stereotactic Ablative Radiotherapy, SABR）</w:t>
      </w:r>
      <w:bookmarkEnd w:id="6"/>
    </w:p>
    <w:p w14:paraId="1CF41E5D">
      <w:pPr>
        <w:pStyle w:val="22"/>
      </w:pPr>
      <w:r>
        <w:t>由美国放射肿瘤学会定义，指针对骨转移瘤进行的高剂量、影像引导、超低分次（通常 1-3 次）骨转移瘤立体定向放疗模式。SABR 旨在通过消融性剂量精确摧毁靶区，其特点包括：严格依赖影像引导和立体定位技术（如肿瘤追踪或六维校正）、高度适形的剂量分布、靶区边缘极其陡峭的剂量梯度，以及旨在最大限度保护邻近高危结构（如脊髓）的技术实施。在骨转移瘤中，SABR 尤其适用于寡转移灶或需要快速缓解疼痛 / 控制进展的病灶 [2]。</w:t>
      </w:r>
    </w:p>
    <w:p w14:paraId="698D4482">
      <w:pPr>
        <w:pStyle w:val="22"/>
      </w:pPr>
    </w:p>
    <w:p w14:paraId="2250799D">
      <w:pPr>
        <w:pBdr>
          <w:bottom w:val="single" w:color="auto" w:sz="6" w:space="1"/>
        </w:pBdr>
      </w:pPr>
    </w:p>
    <w:p w14:paraId="7D758F8B">
      <w:pPr>
        <w:pStyle w:val="2"/>
      </w:pPr>
      <w:bookmarkStart w:id="7" w:name="_Toc20163"/>
      <w:r>
        <w:t>4 缩略语</w:t>
      </w:r>
      <w:bookmarkEnd w:id="7"/>
    </w:p>
    <w:p w14:paraId="09CCDD1F">
      <w:pPr>
        <w:pStyle w:val="22"/>
        <w:numPr>
          <w:ilvl w:val="0"/>
          <w:numId w:val="1"/>
        </w:numPr>
      </w:pPr>
      <w:r>
        <w:t>立体定向放疗（Stereotactic Body Radiotherapy, SBRT）</w:t>
      </w:r>
    </w:p>
    <w:p w14:paraId="339B7C47">
      <w:pPr>
        <w:pStyle w:val="22"/>
        <w:numPr>
          <w:ilvl w:val="0"/>
          <w:numId w:val="1"/>
        </w:numPr>
      </w:pPr>
      <w:r>
        <w:t>立体定向放射外科（stereotaxic radiosurgery，SRS）</w:t>
      </w:r>
    </w:p>
    <w:p w14:paraId="61861AB1">
      <w:pPr>
        <w:pStyle w:val="22"/>
        <w:numPr>
          <w:ilvl w:val="0"/>
          <w:numId w:val="1"/>
        </w:numPr>
      </w:pPr>
      <w:r>
        <w:t>多叶光栅系统（Multi-leave collimators，MLC）</w:t>
      </w:r>
    </w:p>
    <w:p w14:paraId="20D09E93">
      <w:pPr>
        <w:pStyle w:val="22"/>
        <w:numPr>
          <w:ilvl w:val="0"/>
          <w:numId w:val="1"/>
        </w:numPr>
      </w:pPr>
      <w:r>
        <w:t>美国放射肿瘤学会（American Society for Radiation Oncology，ASTRO）</w:t>
      </w:r>
    </w:p>
    <w:p w14:paraId="58461DD2">
      <w:pPr>
        <w:pStyle w:val="22"/>
        <w:numPr>
          <w:ilvl w:val="0"/>
          <w:numId w:val="1"/>
        </w:numPr>
      </w:pPr>
      <w:r>
        <w:t>椎体压缩骨折（Vertebral Compression Fracture，VCF）</w:t>
      </w:r>
    </w:p>
    <w:p w14:paraId="55740510">
      <w:pPr>
        <w:pStyle w:val="22"/>
        <w:numPr>
          <w:ilvl w:val="0"/>
          <w:numId w:val="1"/>
        </w:numPr>
      </w:pPr>
      <w:r>
        <w:t>影像引导放疗（Image-Guided Radiation Therapy, IGRT）</w:t>
      </w:r>
    </w:p>
    <w:p w14:paraId="66AEA145">
      <w:pPr>
        <w:pStyle w:val="22"/>
        <w:numPr>
          <w:ilvl w:val="0"/>
          <w:numId w:val="1"/>
        </w:numPr>
      </w:pPr>
      <w:r>
        <w:t>大体肿瘤体积（Gross Tumor Volume, GTV）</w:t>
      </w:r>
    </w:p>
    <w:p w14:paraId="12A6BDC5">
      <w:pPr>
        <w:pStyle w:val="22"/>
        <w:numPr>
          <w:ilvl w:val="0"/>
          <w:numId w:val="1"/>
        </w:numPr>
      </w:pPr>
      <w:r>
        <w:t>临床靶区（Clinical Target Volume, CTV）</w:t>
      </w:r>
    </w:p>
    <w:p w14:paraId="19E3770F">
      <w:pPr>
        <w:pStyle w:val="22"/>
        <w:numPr>
          <w:ilvl w:val="0"/>
          <w:numId w:val="1"/>
        </w:numPr>
      </w:pPr>
      <w:r>
        <w:t>计划靶体积（Planning Target Volume, PTV）</w:t>
      </w:r>
    </w:p>
    <w:p w14:paraId="05B1AF31">
      <w:pPr>
        <w:pStyle w:val="22"/>
        <w:numPr>
          <w:ilvl w:val="0"/>
          <w:numId w:val="1"/>
        </w:numPr>
      </w:pPr>
      <w:r>
        <w:t>危及器官（Organs at Risk, OAR）</w:t>
      </w:r>
    </w:p>
    <w:p w14:paraId="506903B6">
      <w:pPr>
        <w:pStyle w:val="22"/>
        <w:numPr>
          <w:ilvl w:val="0"/>
          <w:numId w:val="1"/>
        </w:numPr>
      </w:pPr>
      <w:r>
        <w:t>正常组织并发症概率（Normal Tissue Complication Probability, NTCP）</w:t>
      </w:r>
    </w:p>
    <w:p w14:paraId="45E903EA">
      <w:pPr>
        <w:pStyle w:val="22"/>
        <w:numPr>
          <w:ilvl w:val="0"/>
          <w:numId w:val="1"/>
        </w:numPr>
      </w:pPr>
      <w:r>
        <w:t>合理最低剂量（As Low As Reasonably Achievable, ALARA）</w:t>
      </w:r>
    </w:p>
    <w:p w14:paraId="75F61A91">
      <w:pPr>
        <w:pStyle w:val="22"/>
      </w:pPr>
    </w:p>
    <w:p w14:paraId="237DFD60">
      <w:pPr>
        <w:pBdr>
          <w:bottom w:val="single" w:color="auto" w:sz="6" w:space="1"/>
        </w:pBdr>
      </w:pPr>
    </w:p>
    <w:p w14:paraId="4FEDFE88">
      <w:pPr>
        <w:pStyle w:val="2"/>
      </w:pPr>
      <w:bookmarkStart w:id="8" w:name="_Toc9058"/>
      <w:r>
        <w:t>5 基本要求（医疗机构、设备、配套设施）</w:t>
      </w:r>
      <w:bookmarkEnd w:id="8"/>
    </w:p>
    <w:p w14:paraId="24B3AF63">
      <w:pPr>
        <w:pStyle w:val="3"/>
      </w:pPr>
      <w:bookmarkStart w:id="9" w:name="_Toc12981"/>
      <w:r>
        <w:t>5.1 医疗机构基本要求</w:t>
      </w:r>
      <w:bookmarkEnd w:id="9"/>
    </w:p>
    <w:p w14:paraId="77B35929">
      <w:pPr>
        <w:pStyle w:val="22"/>
      </w:pPr>
      <w:r>
        <w:t>a) 开展立体定向放射治疗技术应当与其功能、任务和技术能力相适应；</w:t>
      </w:r>
    </w:p>
    <w:p w14:paraId="124FABE7">
      <w:pPr>
        <w:pStyle w:val="22"/>
      </w:pPr>
      <w:r>
        <w:t>b) 具有卫生健康行政部门核准登记的外科、肿瘤内科、放射治疗科、病理科及医学影像科等相关诊疗科目，具备肿瘤综合诊治能力；</w:t>
      </w:r>
    </w:p>
    <w:p w14:paraId="7FE511CE">
      <w:pPr>
        <w:pStyle w:val="22"/>
      </w:pPr>
      <w:r>
        <w:t>c) 放射治疗科应具有 3 年以上的调强放射治疗技术（Intensity modulated radiotherapy，IMRT）治疗肿瘤的经验，多模态影像引导放射治疗 3 年以上；配备有 4DCT 模拟定位机、带多叶光栅的图像引导直线加速器、逆向放射治疗计划系统、配套完整的质量保证和质量控制设备等；按照国家卫生健康行政部门相关设备配置要求，规范配备立体定向放射治疗系统设备；</w:t>
      </w:r>
    </w:p>
    <w:p w14:paraId="59B312AD">
      <w:pPr>
        <w:pStyle w:val="22"/>
      </w:pPr>
      <w:r>
        <w:t>d) 新建医疗机构开展立体定向放射治疗，机构应当为集医疗、教育、科研为一体的综合医疗机构或肿瘤专科医疗机构，并符合相应人员和设备的具体要求；</w:t>
      </w:r>
    </w:p>
    <w:p w14:paraId="0B7881A9">
      <w:pPr>
        <w:pStyle w:val="22"/>
      </w:pPr>
      <w:r>
        <w:t>e) 常规开展质量保证和质量控制；</w:t>
      </w:r>
    </w:p>
    <w:p w14:paraId="703F0989">
      <w:pPr>
        <w:pStyle w:val="22"/>
      </w:pPr>
      <w:r>
        <w:t>f) 具有《放射诊疗许可证》《辐射安全许可证》等相关资质证明文件；《辐射安全许可证》的申办按生态环境部《建设项目环境影响评价分类管理名录》要求执行；</w:t>
      </w:r>
    </w:p>
    <w:p w14:paraId="69F20AA9">
      <w:pPr>
        <w:pStyle w:val="22"/>
      </w:pPr>
      <w:r>
        <w:t>g) 具备先进的网络系统，支持 5G 及以上先进通讯信息技术在立体定向放射治疗中的应用。</w:t>
      </w:r>
    </w:p>
    <w:p w14:paraId="2E7D8E4C">
      <w:pPr>
        <w:pStyle w:val="3"/>
      </w:pPr>
      <w:bookmarkStart w:id="10" w:name="_Toc21528"/>
      <w:r>
        <w:t>5.2 设备要求</w:t>
      </w:r>
      <w:bookmarkEnd w:id="10"/>
    </w:p>
    <w:p w14:paraId="629B8731">
      <w:pPr>
        <w:pStyle w:val="4"/>
      </w:pPr>
      <w:bookmarkStart w:id="11" w:name="_Toc23815"/>
      <w:r>
        <w:t>5.2.1 CT 模拟定位系统</w:t>
      </w:r>
      <w:bookmarkEnd w:id="11"/>
    </w:p>
    <w:p w14:paraId="090BD1DB">
      <w:pPr>
        <w:pStyle w:val="22"/>
        <w:numPr>
          <w:ilvl w:val="0"/>
          <w:numId w:val="1"/>
        </w:numPr>
      </w:pPr>
      <w:r>
        <w:t>具备无阻隔平板床面和大孔径扫描，最薄扫描层厚度≤2mm；射波刀放疗技术定位扫描时，扫描层厚可设置为 1-2mm，重建层厚可要求至 1mm；</w:t>
      </w:r>
    </w:p>
    <w:p w14:paraId="5FB90413">
      <w:pPr>
        <w:pStyle w:val="22"/>
        <w:numPr>
          <w:ilvl w:val="0"/>
          <w:numId w:val="1"/>
        </w:numPr>
      </w:pPr>
      <w:r>
        <w:t>具备 4D-CT 功能，了解肿瘤的动态轨迹；</w:t>
      </w:r>
    </w:p>
    <w:p w14:paraId="1334387E">
      <w:pPr>
        <w:pStyle w:val="22"/>
        <w:numPr>
          <w:ilvl w:val="0"/>
          <w:numId w:val="1"/>
        </w:numPr>
      </w:pPr>
      <w:r>
        <w:t>配备图像质量检测模体和电子密度转换模体等相应的质控工具 [35,36]；</w:t>
      </w:r>
    </w:p>
    <w:p w14:paraId="7712D06D">
      <w:pPr>
        <w:pStyle w:val="22"/>
        <w:numPr>
          <w:ilvl w:val="0"/>
          <w:numId w:val="1"/>
        </w:numPr>
      </w:pPr>
      <w:r>
        <w:t>网络兼容性方面，优选能无缝集成到现有放疗信息系统中的扫描设备，同时保持对未来技术进步的开放性。</w:t>
      </w:r>
    </w:p>
    <w:p w14:paraId="5C89DCBA">
      <w:pPr>
        <w:pStyle w:val="4"/>
      </w:pPr>
      <w:bookmarkStart w:id="12" w:name="_Toc10592"/>
      <w:r>
        <w:t>5.2.2 治疗计划系统</w:t>
      </w:r>
      <w:bookmarkEnd w:id="12"/>
    </w:p>
    <w:p w14:paraId="60B94C8D">
      <w:pPr>
        <w:pStyle w:val="22"/>
      </w:pPr>
      <w:r>
        <w:t>须遵循美国医学物理师学会（TG53）、国际原子能机构（TRS430）以及我国相关行业标准（如 YY/T 0789-2010、YY 0832.2-2015 和 YY0832.1-2011）的系列标准，核心功能包括：</w:t>
      </w:r>
    </w:p>
    <w:p w14:paraId="11110B8E">
      <w:pPr>
        <w:pStyle w:val="22"/>
        <w:numPr>
          <w:ilvl w:val="0"/>
          <w:numId w:val="2"/>
        </w:numPr>
      </w:pPr>
      <w:r>
        <w:t>多模态影像融合（4D-CT/MRI/PET-CT）；</w:t>
      </w:r>
    </w:p>
    <w:p w14:paraId="38E28287">
      <w:pPr>
        <w:pStyle w:val="22"/>
        <w:numPr>
          <w:ilvl w:val="0"/>
          <w:numId w:val="2"/>
        </w:numPr>
      </w:pPr>
      <w:r>
        <w:t>高清晰度、高精度的三维重建能力，保证长度、面积、体积和空间坐标位置等测量的准确性；</w:t>
      </w:r>
    </w:p>
    <w:p w14:paraId="0447FF92">
      <w:pPr>
        <w:pStyle w:val="22"/>
        <w:numPr>
          <w:ilvl w:val="0"/>
          <w:numId w:val="2"/>
        </w:numPr>
      </w:pPr>
      <w:r>
        <w:t>具备精确计算小射野剂量分布的能力；</w:t>
      </w:r>
    </w:p>
    <w:p w14:paraId="4E402143">
      <w:pPr>
        <w:pStyle w:val="22"/>
        <w:numPr>
          <w:ilvl w:val="0"/>
          <w:numId w:val="2"/>
        </w:numPr>
      </w:pPr>
      <w:r>
        <w:t>内置高精度的组织不均一性校正算法，准确反映体内射线剂量衰减和散射效应，优化剂量分布；</w:t>
      </w:r>
    </w:p>
    <w:p w14:paraId="77D95155">
      <w:pPr>
        <w:pStyle w:val="22"/>
        <w:numPr>
          <w:ilvl w:val="0"/>
          <w:numId w:val="2"/>
        </w:numPr>
      </w:pPr>
      <w:r>
        <w:t>采用细密剂量计算网格，提升剂量计算精度及可靠性，特别是涉及复杂剂量梯度时。</w:t>
      </w:r>
    </w:p>
    <w:p w14:paraId="1A4F43C7">
      <w:pPr>
        <w:pStyle w:val="4"/>
      </w:pPr>
      <w:bookmarkStart w:id="13" w:name="_Toc17301"/>
      <w:r>
        <w:t>5.2.3 放射治疗设备</w:t>
      </w:r>
      <w:bookmarkEnd w:id="13"/>
    </w:p>
    <w:p w14:paraId="3BD62672">
      <w:pPr>
        <w:pStyle w:val="22"/>
        <w:numPr>
          <w:ilvl w:val="0"/>
          <w:numId w:val="3"/>
        </w:numPr>
      </w:pPr>
      <w:r>
        <w:t>亚毫米级的等中心定位精度和多叶光栅系统（MLC）定位精度；</w:t>
      </w:r>
    </w:p>
    <w:p w14:paraId="3048F33B">
      <w:pPr>
        <w:pStyle w:val="22"/>
        <w:numPr>
          <w:ilvl w:val="0"/>
          <w:numId w:val="3"/>
        </w:numPr>
      </w:pPr>
      <w:r>
        <w:t>高分辨率 MLC：配备窄叶片（宽度≤5mm），提高剂量塑造能力；</w:t>
      </w:r>
    </w:p>
    <w:p w14:paraId="7BD1FCB1">
      <w:pPr>
        <w:pStyle w:val="22"/>
        <w:numPr>
          <w:ilvl w:val="0"/>
          <w:numId w:val="3"/>
        </w:numPr>
      </w:pPr>
      <w:r>
        <w:t>图像引导与运动管理技术：集成实时影像监控与自动跟踪装置，有效补偿呼吸等运动引起的靶区移动，确保剂量的准确投递；</w:t>
      </w:r>
    </w:p>
    <w:p w14:paraId="35A6E551">
      <w:pPr>
        <w:pStyle w:val="22"/>
        <w:numPr>
          <w:ilvl w:val="0"/>
          <w:numId w:val="3"/>
        </w:numPr>
      </w:pPr>
      <w:r>
        <w:t>必须配备 CBCT 或 EPID 图像引导技术；胸部肿瘤呼吸运动影响较大，尽量配备呼吸控制技术，有条件单位宜开展 4D 技术；无 4D 和呼吸控制设备的单位，必须使用腹压板或气囊压迫，减少呼吸动度。</w:t>
      </w:r>
    </w:p>
    <w:p w14:paraId="45168C49">
      <w:pPr>
        <w:pStyle w:val="3"/>
      </w:pPr>
      <w:bookmarkStart w:id="14" w:name="_Toc6439"/>
      <w:r>
        <w:t>5.3 配套设施要求</w:t>
      </w:r>
      <w:bookmarkEnd w:id="14"/>
    </w:p>
    <w:p w14:paraId="0A28B1D6">
      <w:pPr>
        <w:pStyle w:val="22"/>
      </w:pPr>
      <w:r>
        <w:t>a) 配备放疗专用 CT 模拟定位机；</w:t>
      </w:r>
    </w:p>
    <w:p w14:paraId="70ED0C34">
      <w:pPr>
        <w:pStyle w:val="22"/>
      </w:pPr>
      <w:r>
        <w:t>b) 配备 CT、MR、PET/CT 等影像诊断设备；</w:t>
      </w:r>
    </w:p>
    <w:p w14:paraId="608D6C62">
      <w:pPr>
        <w:pStyle w:val="22"/>
      </w:pPr>
      <w:r>
        <w:t>c) 配备立体定向放射外科（SRS）/ 立体定向体部放射治疗（SBRT）的直线加速器；</w:t>
      </w:r>
    </w:p>
    <w:p w14:paraId="5FFD53CF">
      <w:pPr>
        <w:pStyle w:val="22"/>
      </w:pPr>
      <w:r>
        <w:t>d) 配备骨转移瘤立体定向放疗相应的物理质控设备；</w:t>
      </w:r>
    </w:p>
    <w:p w14:paraId="26D07E6A">
      <w:pPr>
        <w:pStyle w:val="22"/>
      </w:pPr>
      <w:r>
        <w:t>e) 具有相应的放疗计划系统和信息管理系统；</w:t>
      </w:r>
    </w:p>
    <w:p w14:paraId="3A3C21AB">
      <w:pPr>
        <w:pStyle w:val="22"/>
      </w:pPr>
      <w:r>
        <w:t>f) 符合卫生健康和生态环境部门要求，具有电磁与辐射防护设施场地。</w:t>
      </w:r>
    </w:p>
    <w:p w14:paraId="751370EB">
      <w:pPr>
        <w:pStyle w:val="22"/>
      </w:pPr>
    </w:p>
    <w:p w14:paraId="393B8B9A">
      <w:pPr>
        <w:pBdr>
          <w:bottom w:val="single" w:color="auto" w:sz="6" w:space="1"/>
        </w:pBdr>
      </w:pPr>
    </w:p>
    <w:p w14:paraId="6673A7F7">
      <w:pPr>
        <w:pStyle w:val="2"/>
      </w:pPr>
      <w:bookmarkStart w:id="15" w:name="_Toc1550"/>
      <w:r>
        <w:t>6 人员要求</w:t>
      </w:r>
      <w:bookmarkEnd w:id="15"/>
    </w:p>
    <w:p w14:paraId="7881D071">
      <w:pPr>
        <w:pStyle w:val="3"/>
      </w:pPr>
      <w:bookmarkStart w:id="16" w:name="_Toc10224"/>
      <w:r>
        <w:t>6.1 人员资质</w:t>
      </w:r>
      <w:bookmarkEnd w:id="16"/>
    </w:p>
    <w:p w14:paraId="07E8992C">
      <w:pPr>
        <w:pStyle w:val="22"/>
      </w:pPr>
      <w:r>
        <w:t>放射治疗人员资质和培训要求按照《加速器放射治疗技术临床应用管理规范（2022 年版）》规定执行。</w:t>
      </w:r>
    </w:p>
    <w:p w14:paraId="722D0D70">
      <w:pPr>
        <w:pStyle w:val="4"/>
      </w:pPr>
      <w:bookmarkStart w:id="17" w:name="_Toc13364"/>
      <w:r>
        <w:t>6.1.1 放射治疗医师</w:t>
      </w:r>
      <w:bookmarkEnd w:id="17"/>
    </w:p>
    <w:p w14:paraId="15B92BE2">
      <w:pPr>
        <w:pStyle w:val="22"/>
        <w:numPr>
          <w:ilvl w:val="0"/>
          <w:numId w:val="1"/>
        </w:numPr>
      </w:pPr>
      <w:r>
        <w:t>取得《医师执业证书》，执业范围是医学影像和放射治疗专业；</w:t>
      </w:r>
    </w:p>
    <w:p w14:paraId="512BAA55">
      <w:pPr>
        <w:pStyle w:val="22"/>
        <w:numPr>
          <w:ilvl w:val="0"/>
          <w:numId w:val="1"/>
        </w:numPr>
      </w:pPr>
      <w:r>
        <w:t>至少 3 名以上具有超过 3 年 IMRT 工作经验且具备副主任医师及以上专业技术职务任职资格者（头颈部、胸部、腹部、盆腔等各专业至少 1 人）；</w:t>
      </w:r>
    </w:p>
    <w:p w14:paraId="363195E4">
      <w:pPr>
        <w:pStyle w:val="22"/>
        <w:numPr>
          <w:ilvl w:val="0"/>
          <w:numId w:val="1"/>
        </w:numPr>
      </w:pPr>
      <w:r>
        <w:t>在境外专门培训机构或国内省级卫生健康行政部门备案的培训机构完成立体定向放射治疗技术相关专业系统培训，具备开展立体定向放射治疗技术能力。</w:t>
      </w:r>
    </w:p>
    <w:p w14:paraId="4CF8A9F0">
      <w:pPr>
        <w:pStyle w:val="4"/>
      </w:pPr>
      <w:bookmarkStart w:id="18" w:name="_Toc30361"/>
      <w:r>
        <w:t>6.1.2 医学物理师</w:t>
      </w:r>
      <w:bookmarkEnd w:id="18"/>
    </w:p>
    <w:p w14:paraId="41DDBB5E">
      <w:pPr>
        <w:pStyle w:val="22"/>
        <w:numPr>
          <w:ilvl w:val="0"/>
          <w:numId w:val="1"/>
        </w:numPr>
      </w:pPr>
      <w:r>
        <w:t>取得《全国医用设备使用人员业务能力考评成绩合格证明》（LA、（X 刀、γ 刀）物理师）；</w:t>
      </w:r>
    </w:p>
    <w:p w14:paraId="1241DFA5">
      <w:pPr>
        <w:pStyle w:val="22"/>
        <w:numPr>
          <w:ilvl w:val="0"/>
          <w:numId w:val="1"/>
        </w:numPr>
      </w:pPr>
      <w:r>
        <w:t>至少 2 名 10 年以上工作经验的医学物理师，且至少 3 人具有副高（或相当职称）及以上专业技术职务任职资格；</w:t>
      </w:r>
    </w:p>
    <w:p w14:paraId="3CA3D975">
      <w:pPr>
        <w:pStyle w:val="22"/>
        <w:numPr>
          <w:ilvl w:val="0"/>
          <w:numId w:val="1"/>
        </w:numPr>
      </w:pPr>
      <w:r>
        <w:t>在境外专门培训机构或国内省级卫生健康行政部门备案的培训机构完成立体定向放射治疗物理技术相关专业系统培训，满足开展立体定向放射治疗技术临床应用所需的相关条件。</w:t>
      </w:r>
    </w:p>
    <w:p w14:paraId="0A0FC968">
      <w:pPr>
        <w:pStyle w:val="4"/>
      </w:pPr>
      <w:bookmarkStart w:id="19" w:name="_Toc778"/>
      <w:r>
        <w:t>6.1.3 放射治疗技师</w:t>
      </w:r>
      <w:bookmarkEnd w:id="19"/>
    </w:p>
    <w:p w14:paraId="4845C419">
      <w:pPr>
        <w:pStyle w:val="22"/>
      </w:pPr>
      <w:r>
        <w:t>经国内省级卫生健康行政部门备案的培训机构进行立体定向放射治疗技术相关专业系统培训，满足开展立体定向放射治疗技术临床应用所需的相关条件。</w:t>
      </w:r>
    </w:p>
    <w:p w14:paraId="72CE302C">
      <w:pPr>
        <w:pStyle w:val="4"/>
      </w:pPr>
      <w:bookmarkStart w:id="20" w:name="_Toc1866"/>
      <w:r>
        <w:t>6.1.4 护士</w:t>
      </w:r>
      <w:bookmarkEnd w:id="20"/>
    </w:p>
    <w:p w14:paraId="2566611E">
      <w:pPr>
        <w:pStyle w:val="22"/>
      </w:pPr>
      <w:r>
        <w:t>数量与开展服务相匹配。</w:t>
      </w:r>
    </w:p>
    <w:p w14:paraId="52A10E88">
      <w:pPr>
        <w:pStyle w:val="4"/>
      </w:pPr>
      <w:bookmarkStart w:id="21" w:name="_Toc20604"/>
      <w:r>
        <w:t>6.1.5 医学工程师</w:t>
      </w:r>
      <w:bookmarkEnd w:id="21"/>
    </w:p>
    <w:p w14:paraId="1EEF2216">
      <w:pPr>
        <w:pStyle w:val="22"/>
      </w:pPr>
      <w:r>
        <w:t>具备相应技术实力的设备维护、辐射防护工程师保障人员，其中配置骨转移瘤立体定向放疗设备的不少于 1 名。</w:t>
      </w:r>
    </w:p>
    <w:p w14:paraId="7F70E3ED">
      <w:pPr>
        <w:pStyle w:val="4"/>
      </w:pPr>
      <w:bookmarkStart w:id="22" w:name="_Toc15108"/>
      <w:r>
        <w:t>6.1.6 核安全工程师</w:t>
      </w:r>
      <w:bookmarkEnd w:id="22"/>
    </w:p>
    <w:p w14:paraId="66587FC2">
      <w:pPr>
        <w:pStyle w:val="22"/>
      </w:pPr>
      <w:r>
        <w:t>依据生态环境部颁发的《放射性同位素与射线装置安全许可管理办法》，辐射安全关键岗位可由获得相应资质的其他岗位人员兼任。</w:t>
      </w:r>
    </w:p>
    <w:p w14:paraId="1C574AF9">
      <w:pPr>
        <w:pStyle w:val="3"/>
      </w:pPr>
      <w:bookmarkStart w:id="23" w:name="_Toc4423"/>
      <w:r>
        <w:t>6.2 人员职责</w:t>
      </w:r>
      <w:bookmarkEnd w:id="23"/>
    </w:p>
    <w:p w14:paraId="3F613B13">
      <w:pPr>
        <w:pStyle w:val="22"/>
      </w:pPr>
      <w:r>
        <w:t>严格遵守立体定向放射治疗技术操作规范和诊疗指南，严格掌握立体定向放射治疗技术的适应证和禁忌证，开展多学科综合治疗和以循证医学为基础的肿瘤诊断和治疗。依据美国放射肿瘤学会（ASTRO）要求，医务人员总体职责包括但不限于：</w:t>
      </w:r>
    </w:p>
    <w:p w14:paraId="5C4C20C3">
      <w:pPr>
        <w:pStyle w:val="4"/>
      </w:pPr>
      <w:bookmarkStart w:id="24" w:name="_Toc21597"/>
      <w:r>
        <w:t>6.2.1 放疗医师职责</w:t>
      </w:r>
      <w:bookmarkEnd w:id="24"/>
    </w:p>
    <w:p w14:paraId="05C9DE62">
      <w:pPr>
        <w:pStyle w:val="22"/>
      </w:pPr>
      <w:r>
        <w:t>负责患者的整体治疗方案制定，监督治疗过程，与其他团队成员紧密合作确保治疗计划顺利实施；参与质量保证流程（如审批立体定向放射治疗评估报告）；评估治疗效果，处理患者并发症及治疗后随访监测。</w:t>
      </w:r>
    </w:p>
    <w:p w14:paraId="51480B8B">
      <w:pPr>
        <w:pStyle w:val="4"/>
      </w:pPr>
      <w:bookmarkStart w:id="25" w:name="_Toc25389"/>
      <w:r>
        <w:t>6.2.2 医学物理师职责</w:t>
      </w:r>
      <w:bookmarkEnd w:id="25"/>
    </w:p>
    <w:p w14:paraId="7E5CF5F4">
      <w:pPr>
        <w:pStyle w:val="22"/>
      </w:pPr>
      <w:r>
        <w:t>负责设备验收测试、质量保证、质量控制，以及治疗计划的设计和优化；确保放射治疗剂量分布的准确性和安全性，协助放疗医师制定治疗方案。</w:t>
      </w:r>
    </w:p>
    <w:p w14:paraId="5EAAD979">
      <w:pPr>
        <w:pStyle w:val="4"/>
      </w:pPr>
      <w:bookmarkStart w:id="26" w:name="_Toc29041"/>
      <w:r>
        <w:t>6.2.3 医学剂量师职责</w:t>
      </w:r>
      <w:bookmarkEnd w:id="26"/>
    </w:p>
    <w:p w14:paraId="258AFE60">
      <w:pPr>
        <w:pStyle w:val="22"/>
      </w:pPr>
      <w:r>
        <w:t>确保放射治疗计划系统中患者三维影像数据的正确方位校准；在放疗医师和医学物理师的指导下，设计并生成治疗计划，编制实施骨转移瘤立体定向放疗治疗计划所需的所有技术文档；参与首次治疗，必要时协助后续治疗的验证工作。</w:t>
      </w:r>
    </w:p>
    <w:p w14:paraId="631DB0F0">
      <w:pPr>
        <w:pStyle w:val="4"/>
      </w:pPr>
      <w:bookmarkStart w:id="27" w:name="_Toc3514"/>
      <w:r>
        <w:t>6.2.4 放疗技师职责</w:t>
      </w:r>
      <w:bookmarkEnd w:id="27"/>
    </w:p>
    <w:p w14:paraId="3065A04F">
      <w:pPr>
        <w:pStyle w:val="22"/>
      </w:pPr>
      <w:r>
        <w:t>负责放射治疗实施，协助患者定位和固定；实施骨转移瘤立体定向放疗治疗计划，定期获取验证图像供放疗医生审查；定期评估固定装置的稳定性及重复性，发现不一致情况立即向放疗医师和医学物理师报告，保证治疗的精确性。</w:t>
      </w:r>
    </w:p>
    <w:p w14:paraId="1196156B">
      <w:pPr>
        <w:pStyle w:val="4"/>
      </w:pPr>
      <w:bookmarkStart w:id="28" w:name="_Toc15891"/>
      <w:r>
        <w:t>6.2.5 放疗护士职责</w:t>
      </w:r>
      <w:bookmarkEnd w:id="28"/>
    </w:p>
    <w:p w14:paraId="59E0AA15">
      <w:pPr>
        <w:pStyle w:val="22"/>
      </w:pPr>
      <w:r>
        <w:t>负责患者的护理工作，包括治疗前后的准备和护理；监测患者的身体状况，提供必要的心理支持和健康教育。</w:t>
      </w:r>
    </w:p>
    <w:p w14:paraId="6DAE8CFC">
      <w:pPr>
        <w:pStyle w:val="4"/>
      </w:pPr>
      <w:bookmarkStart w:id="29" w:name="_Toc19994"/>
      <w:r>
        <w:t>6.2.6 放疗工程师职责</w:t>
      </w:r>
      <w:bookmarkEnd w:id="29"/>
    </w:p>
    <w:p w14:paraId="480DFDE1">
      <w:pPr>
        <w:pStyle w:val="22"/>
      </w:pPr>
      <w:r>
        <w:t>负责放疗设备的维护、维修。</w:t>
      </w:r>
    </w:p>
    <w:p w14:paraId="2DF3F383">
      <w:pPr>
        <w:pStyle w:val="3"/>
      </w:pPr>
      <w:bookmarkStart w:id="30" w:name="_Toc26813"/>
      <w:r>
        <w:t>6.3 培训要求</w:t>
      </w:r>
      <w:bookmarkEnd w:id="30"/>
    </w:p>
    <w:p w14:paraId="4CFC8E3A">
      <w:pPr>
        <w:pStyle w:val="4"/>
      </w:pPr>
      <w:bookmarkStart w:id="31" w:name="_Toc28380"/>
      <w:r>
        <w:t>6.3.1 医师培训要求</w:t>
      </w:r>
      <w:bookmarkEnd w:id="31"/>
    </w:p>
    <w:p w14:paraId="5B087ADE">
      <w:pPr>
        <w:pStyle w:val="22"/>
      </w:pPr>
      <w:r>
        <w:t>a) 具有执业范围为医学影像和放射治疗专业的《医师执业证书》，具有主治医师及以上专业技术职务任职资格；</w:t>
      </w:r>
    </w:p>
    <w:p w14:paraId="37F14F8E">
      <w:pPr>
        <w:pStyle w:val="22"/>
      </w:pPr>
      <w:r>
        <w:t>b) 接受系统培训并考核合格；</w:t>
      </w:r>
    </w:p>
    <w:p w14:paraId="67D7BE97">
      <w:pPr>
        <w:pStyle w:val="22"/>
      </w:pPr>
      <w:r>
        <w:t>c) 经省级卫生健康行政部门备案的培训基地考核合格后，可视为达到规定的培训要求；</w:t>
      </w:r>
    </w:p>
    <w:p w14:paraId="777AA1D2">
      <w:pPr>
        <w:pStyle w:val="22"/>
      </w:pPr>
      <w:r>
        <w:t>d) 从事临床工作满 15 年，具有主任医师专业技术职务任职资格，开展立体定向放射治疗技术临床应用不少于 1000 例，未发生严重不良事件的，可免于培训。</w:t>
      </w:r>
    </w:p>
    <w:p w14:paraId="321DE649">
      <w:pPr>
        <w:pStyle w:val="4"/>
      </w:pPr>
      <w:bookmarkStart w:id="32" w:name="_Toc30678"/>
      <w:r>
        <w:t>6.3.2 医学物理师培训要求</w:t>
      </w:r>
      <w:bookmarkEnd w:id="32"/>
    </w:p>
    <w:p w14:paraId="364FFDA6">
      <w:pPr>
        <w:pStyle w:val="22"/>
      </w:pPr>
      <w:r>
        <w:t>a) 取得《直线加速器物理师上岗证》；</w:t>
      </w:r>
    </w:p>
    <w:p w14:paraId="257D548A">
      <w:pPr>
        <w:pStyle w:val="22"/>
      </w:pPr>
      <w:r>
        <w:t>b) 接受系统培训并考核合格；</w:t>
      </w:r>
    </w:p>
    <w:p w14:paraId="26C4BEDD">
      <w:pPr>
        <w:pStyle w:val="22"/>
      </w:pPr>
      <w:r>
        <w:t>c) 经省级卫生健康行政部门备案的培训基地考核合格后，可视为达到规定的培训要求；</w:t>
      </w:r>
    </w:p>
    <w:p w14:paraId="6C6F83E7">
      <w:pPr>
        <w:pStyle w:val="22"/>
      </w:pPr>
      <w:r>
        <w:t>d) 从事医学物理师工作满 5 年，具有高级专业技术职务任职资格，近 5 年独立制定立体定向放射治疗计划不少于 100 例，可免于培训。</w:t>
      </w:r>
    </w:p>
    <w:p w14:paraId="0268F325">
      <w:pPr>
        <w:pStyle w:val="22"/>
      </w:pPr>
    </w:p>
    <w:p w14:paraId="0FC09E29">
      <w:pPr>
        <w:pBdr>
          <w:bottom w:val="single" w:color="auto" w:sz="6" w:space="1"/>
        </w:pBdr>
      </w:pPr>
    </w:p>
    <w:p w14:paraId="0679530B">
      <w:pPr>
        <w:pStyle w:val="2"/>
      </w:pPr>
      <w:bookmarkStart w:id="33" w:name="_Toc29333"/>
      <w:r>
        <w:t>7 SBRT 治疗的适应症</w:t>
      </w:r>
      <w:bookmarkEnd w:id="33"/>
    </w:p>
    <w:p w14:paraId="7CDF13DB">
      <w:pPr>
        <w:pStyle w:val="22"/>
      </w:pPr>
      <w:r>
        <w:t>放射治疗能够减轻或消除症状、改善生活质量，预防病理性骨折、缓解脊髓压迫症状。经药物治疗后仍无法缓解的顽固性疼痛，以及椎体不稳、即将发生病理性骨折和脊髓压迫症的患者可以考虑放疗。针对病灶局限、数目较少的骨转移患者，SBRT 可改善骨转移病灶的局部控制情况，目前研究显示 SBRT 对于骨转移灶有较好的局部控制率 [3]。在脊柱转移脊髓压迫患者中，SBRT 可以通过快速减少肿瘤负担，从而缓解脊髓受压的症状 [4]。同时，SBRT 比手术更为温和和无创，可以避免手术带来的风险和并发症，对于一些手术难度较大或不适合手术的患者，SBRT 也是一种可行的治疗选择。</w:t>
      </w:r>
    </w:p>
    <w:p w14:paraId="601093BD">
      <w:pPr>
        <w:pStyle w:val="22"/>
      </w:pPr>
      <w:r>
        <w:t>表 1 SBRT 治疗的适应证</w:t>
      </w:r>
    </w:p>
    <w:p w14:paraId="40DE03FB">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1C57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3ACE01">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52EBDB">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A047A6">
            <w:pPr>
              <w:pStyle w:val="22"/>
            </w:pPr>
            <w:r>
              <w:t>证据等级</w:t>
            </w:r>
          </w:p>
        </w:tc>
      </w:tr>
      <w:tr w14:paraId="115C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99748C">
            <w:pPr>
              <w:pStyle w:val="22"/>
            </w:pPr>
            <w:r>
              <w:t>1 根治性治疗目的（旨在完全根治肿瘤）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FA2AE9">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A16C0D">
            <w:pPr>
              <w:pStyle w:val="22"/>
            </w:pPr>
            <w:r>
              <w:t>-</w:t>
            </w:r>
          </w:p>
        </w:tc>
      </w:tr>
      <w:tr w14:paraId="2C78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EA802E">
            <w:pPr>
              <w:pStyle w:val="22"/>
            </w:pPr>
            <w:r>
              <w:t>1.1 适用于寡转移状态 (≤5 处转移灶）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1D0E3D">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B1CF17">
            <w:pPr>
              <w:pStyle w:val="22"/>
            </w:pPr>
            <w:r>
              <w:t>2A</w:t>
            </w:r>
          </w:p>
        </w:tc>
      </w:tr>
      <w:tr w14:paraId="402E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807CB6">
            <w:pPr>
              <w:pStyle w:val="22"/>
            </w:pPr>
            <w:r>
              <w:t>1.2 患者预期寿命≥6 个月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1BAEAA">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BF347C">
            <w:pPr>
              <w:pStyle w:val="22"/>
            </w:pPr>
            <w:r>
              <w:t>2B</w:t>
            </w:r>
          </w:p>
        </w:tc>
      </w:tr>
      <w:tr w14:paraId="457E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0429CE">
            <w:pPr>
              <w:pStyle w:val="22"/>
            </w:pPr>
            <w:r>
              <w:t>1.3 患者体能状态（PS）评分≤2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7C7D61">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D64CC1">
            <w:pPr>
              <w:pStyle w:val="22"/>
            </w:pPr>
            <w:r>
              <w:t>2B</w:t>
            </w:r>
          </w:p>
        </w:tc>
      </w:tr>
      <w:tr w14:paraId="0AFE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51DFA5">
            <w:pPr>
              <w:pStyle w:val="22"/>
            </w:pPr>
            <w:r>
              <w:t>1.4 适用于异时性寡转移病灶（SBRT 治疗同时发生的或诱发的寡转移病灶应限于临床试验）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B727A2">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F2CF99">
            <w:pPr>
              <w:pStyle w:val="22"/>
            </w:pPr>
            <w:r>
              <w:t>3</w:t>
            </w:r>
          </w:p>
        </w:tc>
      </w:tr>
      <w:tr w14:paraId="143B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776CF1">
            <w:pPr>
              <w:pStyle w:val="22"/>
            </w:pPr>
            <w:r>
              <w:t>2 脊柱骨转移专项适应证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197353">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EE94BF">
            <w:pPr>
              <w:pStyle w:val="22"/>
            </w:pPr>
            <w:r>
              <w:t>-</w:t>
            </w:r>
          </w:p>
        </w:tc>
      </w:tr>
      <w:tr w14:paraId="3369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306879">
            <w:pPr>
              <w:pStyle w:val="22"/>
            </w:pPr>
            <w:r>
              <w:t>2.1 肿瘤区 (GTV) 最大直径≤5cm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0A2B84">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5FEC05">
            <w:pPr>
              <w:pStyle w:val="22"/>
            </w:pPr>
            <w:r>
              <w:t>1B</w:t>
            </w:r>
          </w:p>
        </w:tc>
      </w:tr>
      <w:tr w14:paraId="4D1E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497C29">
            <w:pPr>
              <w:pStyle w:val="22"/>
            </w:pPr>
            <w:r>
              <w:t>2.2 同时治疗的椎骨不超过 2 个连续椎体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31BA71">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1739C4">
            <w:pPr>
              <w:pStyle w:val="22"/>
            </w:pPr>
            <w:r>
              <w:t>2B</w:t>
            </w:r>
          </w:p>
        </w:tc>
      </w:tr>
      <w:tr w14:paraId="4DCC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25AC53">
            <w:pPr>
              <w:pStyle w:val="22"/>
            </w:pPr>
            <w:r>
              <w:t>2.3 必须使用脊髓 MRI 及 Bilsky 硬膜外分级系统评估 GTV 与脊髓的距离；对于 Bilsky 评分 1c-3 或 GTV 与脊髓距离不足以产生足够剂量下降（通常 &lt; 2-3mm）者，可考虑在 SBRT 前行脊髓分离手术（切除肿瘤硬膜外部分，保留重要椎体结构）</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7A2C7C">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3FB5C7">
            <w:pPr>
              <w:pStyle w:val="22"/>
            </w:pPr>
            <w:r>
              <w:t>2B</w:t>
            </w:r>
          </w:p>
        </w:tc>
      </w:tr>
      <w:tr w14:paraId="4063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564C95">
            <w:pPr>
              <w:pStyle w:val="22"/>
            </w:pPr>
            <w:r>
              <w:t>2.4 必须在 SBRT 治疗前使用脊柱不稳定肿瘤评分系统（SINS）评估每个目标椎体的机械不稳定性；若 SINS 评分 &gt; 7，需咨询神经外科医生讨论脊柱稳定性干预（如后凸成形术、椎体骨合成术）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55622F">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7BDEF7">
            <w:pPr>
              <w:pStyle w:val="22"/>
            </w:pPr>
            <w:r>
              <w:t>2B</w:t>
            </w:r>
          </w:p>
        </w:tc>
      </w:tr>
      <w:tr w14:paraId="6273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74A4A4">
            <w:pPr>
              <w:pStyle w:val="22"/>
            </w:pPr>
            <w:r>
              <w:t>3 非脊柱骨转移专项适应证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FFED66">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AD7CB7">
            <w:pPr>
              <w:pStyle w:val="22"/>
            </w:pPr>
            <w:r>
              <w:t>-</w:t>
            </w:r>
          </w:p>
        </w:tc>
      </w:tr>
      <w:tr w14:paraId="0E9D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7AB0DE">
            <w:pPr>
              <w:pStyle w:val="22"/>
            </w:pPr>
            <w:r>
              <w:t>3.1 肿瘤区 (GTV) 最大直径≤5cm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920D48">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289BAD">
            <w:pPr>
              <w:pStyle w:val="22"/>
            </w:pPr>
            <w:r>
              <w:t>2A</w:t>
            </w:r>
          </w:p>
        </w:tc>
      </w:tr>
      <w:tr w14:paraId="3EE4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A46D70">
            <w:pPr>
              <w:pStyle w:val="22"/>
            </w:pPr>
            <w:r>
              <w:t>3.2 必须使用 Mirels 评分系统评估 SBRT 后骨折风险，并在 CT 扫描中测量皮质浸润程度；当 Mirels 评分≥9 和 / 或周围皮质浸润≥30% 时，需咨询骨科医生讨论骨稳定性手术（如骨合成术）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A6684D">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0804B4">
            <w:pPr>
              <w:pStyle w:val="22"/>
            </w:pPr>
            <w:r>
              <w:t>2A</w:t>
            </w:r>
          </w:p>
        </w:tc>
      </w:tr>
      <w:tr w14:paraId="5C11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37657F">
            <w:pPr>
              <w:pStyle w:val="22"/>
            </w:pPr>
            <w:r>
              <w:t>3.3 非脊柱骨成骨固定术后不建议行 SBRT 治疗（因存在潜在的肿瘤细胞从管状骨髓腔扩散的风险）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8C76E7">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82125E">
            <w:pPr>
              <w:pStyle w:val="22"/>
            </w:pPr>
            <w:r>
              <w:t>3</w:t>
            </w:r>
          </w:p>
        </w:tc>
      </w:tr>
    </w:tbl>
    <w:p w14:paraId="22D3235F">
      <w:pPr>
        <w:pStyle w:val="22"/>
      </w:pPr>
    </w:p>
    <w:p w14:paraId="6E7C9149">
      <w:pPr>
        <w:pBdr>
          <w:bottom w:val="single" w:color="auto" w:sz="6" w:space="1"/>
        </w:pBdr>
      </w:pPr>
    </w:p>
    <w:p w14:paraId="62176232">
      <w:pPr>
        <w:pStyle w:val="2"/>
      </w:pPr>
      <w:bookmarkStart w:id="34" w:name="_Toc19008"/>
      <w:r>
        <w:t>8 图像引导技术</w:t>
      </w:r>
      <w:bookmarkEnd w:id="34"/>
    </w:p>
    <w:p w14:paraId="3422336C">
      <w:pPr>
        <w:pStyle w:val="22"/>
      </w:pPr>
      <w:r>
        <w:t>图像引导 (IGRT) 指使用正交 x 射线、CT 扫描、光学引导和 / 或 MRI 引导来确认照射前患者的正确体位。该技术可利用先进的成像技术在患者放疗前、中、后获取图像，然后将这些图像与定位 CT 图像或数字重建图像（DRR）进行配准和融合，以获取两者之间的差异。通过放射治疗床的移动、旋转、呼吸门控等方式，可使放射治疗的位置与定位图像完全一致，从而提高放疗的精度。在实际应用中，IGRT 可采用骨性标记、软组织和解剖区域配准等多种方法分析患者体位误差，不同的配准方法适用于不同的患者情况，可提高分析精度，减少患者在配准过程中的等待时间。IGRT 技术在骨转移 SBRT 放射治疗中应用广泛，其优势也在其他放疗领域得到了充分体现 [16]。</w:t>
      </w:r>
    </w:p>
    <w:p w14:paraId="7E0155E8">
      <w:pPr>
        <w:pStyle w:val="22"/>
      </w:pPr>
      <w:r>
        <w:t>表 2 图像引导放疗 (IGRT) 建议</w:t>
      </w:r>
    </w:p>
    <w:p w14:paraId="7B2155FF">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3BFC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C5A13B">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CDDB7F">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7F08A5">
            <w:pPr>
              <w:pStyle w:val="22"/>
            </w:pPr>
            <w:r>
              <w:t>证据等级</w:t>
            </w:r>
          </w:p>
        </w:tc>
      </w:tr>
      <w:tr w14:paraId="173F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0BE9DF">
            <w:pPr>
              <w:pStyle w:val="22"/>
            </w:pPr>
            <w:r>
              <w:t>1 通用要求（脊柱及非脊柱骨转移）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107A87">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7273C2">
            <w:pPr>
              <w:pStyle w:val="22"/>
            </w:pPr>
            <w:r>
              <w:t>-</w:t>
            </w:r>
          </w:p>
        </w:tc>
      </w:tr>
      <w:tr w14:paraId="3855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42E3F9">
            <w:pPr>
              <w:pStyle w:val="22"/>
            </w:pPr>
            <w:r>
              <w:t>1.1 每次治疗必须采用带在线矫正的 IGRT 技术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35B3EA">
            <w:pPr>
              <w:pStyle w:val="22"/>
            </w:pPr>
            <w:r>
              <w:t>1A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33F1AB">
            <w:pPr>
              <w:pStyle w:val="22"/>
            </w:pPr>
            <w:r>
              <w:t>-</w:t>
            </w:r>
          </w:p>
        </w:tc>
      </w:tr>
      <w:tr w14:paraId="47AA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0C146E">
            <w:pPr>
              <w:pStyle w:val="22"/>
            </w:pPr>
            <w:r>
              <w:t>1.2 位移 &gt; 1mm 或旋转 &gt; 1° 时必须移床校正</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8875C6">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64F3EF">
            <w:pPr>
              <w:pStyle w:val="22"/>
            </w:pPr>
            <w:r>
              <w:t>-</w:t>
            </w:r>
          </w:p>
        </w:tc>
      </w:tr>
      <w:tr w14:paraId="64DD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A5B51C">
            <w:pPr>
              <w:pStyle w:val="22"/>
            </w:pPr>
            <w:r>
              <w:t>1.3 每次放疗前必须采用千伏级锥形束 CT（kV-CBCT）进行初始校正</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55A98D">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6C0D36">
            <w:pPr>
              <w:pStyle w:val="22"/>
            </w:pPr>
            <w:r>
              <w:t>-</w:t>
            </w:r>
          </w:p>
        </w:tc>
      </w:tr>
      <w:tr w14:paraId="1B97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6C1E0C">
            <w:pPr>
              <w:pStyle w:val="22"/>
            </w:pPr>
            <w:r>
              <w:t>1.4 正交 kV 图像仅允许用于：・Cyberknife© 图像跟踪系统・Exatrac© 系统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6D0F36">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952859">
            <w:pPr>
              <w:pStyle w:val="22"/>
            </w:pPr>
            <w:r>
              <w:t>-</w:t>
            </w:r>
          </w:p>
        </w:tc>
      </w:tr>
      <w:tr w14:paraId="44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306ABA">
            <w:pPr>
              <w:pStyle w:val="22"/>
            </w:pPr>
            <w:r>
              <w:t>1.5 共面计划摆位精度要求：・kV-CBCT 可作为金标准・Exactrac® 系统为可选项（Cyberknife© 系统除外）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E87386">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976C3A">
            <w:pPr>
              <w:pStyle w:val="22"/>
            </w:pPr>
            <w:r>
              <w:t>-</w:t>
            </w:r>
          </w:p>
        </w:tc>
      </w:tr>
      <w:tr w14:paraId="1674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1A0F16">
            <w:pPr>
              <w:pStyle w:val="22"/>
            </w:pPr>
            <w:r>
              <w:t>1.6 非共面计划摆位要求：・必须采用机载成像设备（如 Exactrac® 系统）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7BE1E3">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3D342D">
            <w:pPr>
              <w:pStyle w:val="22"/>
            </w:pPr>
            <w:r>
              <w:t>-</w:t>
            </w:r>
          </w:p>
        </w:tc>
      </w:tr>
      <w:tr w14:paraId="0939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CC11BE">
            <w:pPr>
              <w:pStyle w:val="22"/>
            </w:pPr>
            <w:r>
              <w:t>1.7 移床后必须再次确认患者体位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DAF5FE">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181759">
            <w:pPr>
              <w:pStyle w:val="22"/>
            </w:pPr>
            <w:r>
              <w:t>-</w:t>
            </w:r>
          </w:p>
        </w:tc>
      </w:tr>
      <w:tr w14:paraId="6757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73506F">
            <w:pPr>
              <w:pStyle w:val="22"/>
            </w:pPr>
            <w:r>
              <w:t>1.8 治疗时长 &lt; 2 分钟，不必进行分次内的患者体位的确认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0D54A3">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435C59">
            <w:pPr>
              <w:pStyle w:val="22"/>
            </w:pPr>
            <w:r>
              <w:t>-</w:t>
            </w:r>
          </w:p>
        </w:tc>
      </w:tr>
      <w:tr w14:paraId="700C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742B3C">
            <w:pPr>
              <w:pStyle w:val="22"/>
            </w:pPr>
            <w:r>
              <w:t>1.9 治疗后 kV-CBCT 为可选项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82316E">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F4AD4F">
            <w:pPr>
              <w:pStyle w:val="22"/>
            </w:pPr>
            <w:r>
              <w:t>-</w:t>
            </w:r>
          </w:p>
        </w:tc>
      </w:tr>
      <w:tr w14:paraId="5452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7C103C">
            <w:pPr>
              <w:pStyle w:val="22"/>
            </w:pPr>
            <w:r>
              <w:t>2 脊柱骨转移专项要求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A38689">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5A8870">
            <w:pPr>
              <w:pStyle w:val="22"/>
            </w:pPr>
            <w:r>
              <w:t>-</w:t>
            </w:r>
          </w:p>
        </w:tc>
      </w:tr>
      <w:tr w14:paraId="716F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FF7574">
            <w:pPr>
              <w:pStyle w:val="22"/>
            </w:pPr>
            <w:r>
              <w:t>2.1 必须使用 6 维放疗床纠正各向位移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50CDCD">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C55053">
            <w:pPr>
              <w:pStyle w:val="22"/>
            </w:pPr>
            <w:r>
              <w:t>-</w:t>
            </w:r>
          </w:p>
        </w:tc>
      </w:tr>
    </w:tbl>
    <w:p w14:paraId="61943A41">
      <w:pPr>
        <w:pStyle w:val="22"/>
      </w:pPr>
    </w:p>
    <w:p w14:paraId="454CD490">
      <w:pPr>
        <w:pBdr>
          <w:bottom w:val="single" w:color="auto" w:sz="6" w:space="1"/>
        </w:pBdr>
      </w:pPr>
    </w:p>
    <w:p w14:paraId="1C2FE35B">
      <w:pPr>
        <w:pStyle w:val="2"/>
      </w:pPr>
      <w:bookmarkStart w:id="35" w:name="_Toc4281"/>
      <w:r>
        <w:t>9 SBRT 靶区勾画及剂量</w:t>
      </w:r>
      <w:bookmarkEnd w:id="35"/>
    </w:p>
    <w:p w14:paraId="71090FD2">
      <w:pPr>
        <w:pStyle w:val="3"/>
      </w:pPr>
      <w:bookmarkStart w:id="36" w:name="_Toc9555"/>
      <w:r>
        <w:t>9.1 靶区勾画</w:t>
      </w:r>
      <w:bookmarkEnd w:id="36"/>
    </w:p>
    <w:p w14:paraId="65B5ABB1">
      <w:pPr>
        <w:pStyle w:val="4"/>
      </w:pPr>
      <w:bookmarkStart w:id="37" w:name="_Toc32296"/>
      <w:r>
        <w:t>9.1.1 通用定义</w:t>
      </w:r>
      <w:bookmarkEnd w:id="37"/>
    </w:p>
    <w:p w14:paraId="4FFC16A5">
      <w:pPr>
        <w:pStyle w:val="22"/>
        <w:numPr>
          <w:ilvl w:val="0"/>
          <w:numId w:val="1"/>
        </w:numPr>
      </w:pPr>
      <w:r>
        <w:t>GTV（大体肿瘤体积）：可使用 CT、MRI 或 PET-CT 定义肿瘤的总体积。单独在 CT 上勾画可能会低估肿瘤体积，MRI 的诊断敏感性比 CT 更高，可更好地识别骨转移范围；将 CT 图像和 MRI 图像融合有助于准确勾画肿瘤和脊髓，推荐使用 T1 加权 MRI（T2 序列的价值不清楚）± 其他可用成像检查共同确定 GTV [10]。</w:t>
      </w:r>
    </w:p>
    <w:p w14:paraId="1559A581">
      <w:pPr>
        <w:pStyle w:val="22"/>
        <w:numPr>
          <w:ilvl w:val="0"/>
          <w:numId w:val="1"/>
        </w:numPr>
      </w:pPr>
      <w:r>
        <w:t>CTV（临床靶区）：建议在 GTV 基础上外扩边界以涵盖潜在的亚临床病灶；GTV 基础上外扩≤5mm 的骨内边缘 ±≤5mm 的骨外边缘形成 CTV，对软组织癌和 / 或皮质骨有明显破坏的患者，应考虑包括骨外边缘；自然外扩的 CTV 必须手动修改，以避免照射 OAR 和未侵犯的关节腔，并考虑自然解剖障碍（如腹膜腔或胸膜）[11]。</w:t>
      </w:r>
    </w:p>
    <w:p w14:paraId="4043D961">
      <w:pPr>
        <w:pStyle w:val="22"/>
        <w:numPr>
          <w:ilvl w:val="0"/>
          <w:numId w:val="1"/>
        </w:numPr>
      </w:pPr>
      <w:r>
        <w:t>PTV（计划靶体积）：因不同机构运动管理技术、治疗平台、固定方法和处方剂量等方面存在差异，尚未提出明确建议；一般建议，PTV 应：1）在所有方向上将 CTV 扩大 2-5 毫米；2）根据硬膜外缘和相邻的重要结构调整 PTV，前提是确保 GTV 和 CTV 都包含在 PTV 之内。</w:t>
      </w:r>
    </w:p>
    <w:p w14:paraId="16DB9388">
      <w:pPr>
        <w:pStyle w:val="4"/>
      </w:pPr>
      <w:bookmarkStart w:id="38" w:name="_Toc941"/>
      <w:r>
        <w:t>9.1.2 脊柱骨转移 SBRT 靶区勾画</w:t>
      </w:r>
      <w:bookmarkEnd w:id="38"/>
    </w:p>
    <w:p w14:paraId="32BFE9A3">
      <w:pPr>
        <w:pStyle w:val="22"/>
      </w:pPr>
      <w:r>
        <w:t>表 3 脊柱骨转移 SBRT 靶区勾画</w:t>
      </w:r>
    </w:p>
    <w:p w14:paraId="76097A10">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6022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E3A176">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31049F">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2CA65F">
            <w:pPr>
              <w:pStyle w:val="22"/>
            </w:pPr>
            <w:r>
              <w:t>证据等级</w:t>
            </w:r>
          </w:p>
        </w:tc>
      </w:tr>
      <w:tr w14:paraId="1EAC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15D1E5">
            <w:pPr>
              <w:pStyle w:val="22"/>
            </w:pPr>
            <w:r>
              <w:t>1 命名规范：所有靶区（GTV，CTV，PTV）和危及器官（OAR）的命名应严格遵循 ICRU-50、ICRU-62 和 AAPM TG-263 指南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F41828">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BF37A7">
            <w:pPr>
              <w:pStyle w:val="22"/>
            </w:pPr>
            <w:r>
              <w:t>-</w:t>
            </w:r>
          </w:p>
        </w:tc>
      </w:tr>
      <w:tr w14:paraId="6476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6B5794">
            <w:pPr>
              <w:pStyle w:val="22"/>
            </w:pPr>
            <w:r>
              <w:t>2 GTV 定义：GTV 定义为肉眼可见的肿瘤范围，基于计划 CT 扫描和诊断性影像（MRI±PET-CT）综合评估确定；GTV 必须包含硬膜外和椎旁肿瘤成分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E70D83">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AB42FF">
            <w:pPr>
              <w:pStyle w:val="22"/>
            </w:pPr>
            <w:r>
              <w:t>-</w:t>
            </w:r>
          </w:p>
        </w:tc>
      </w:tr>
      <w:tr w14:paraId="46F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BEE0ED">
            <w:pPr>
              <w:pStyle w:val="22"/>
            </w:pPr>
            <w:r>
              <w:t>3 CTV 定义：CTV 定义为 GTV 加上显微镜下存在侵犯风险的相关椎骨解剖区域；CTV 勾画可参考椎体和骶骨转移灶的专门 SBRT 勾画指南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6CD38C">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6052F6">
            <w:pPr>
              <w:pStyle w:val="22"/>
            </w:pPr>
            <w:r>
              <w:t>-</w:t>
            </w:r>
          </w:p>
        </w:tc>
      </w:tr>
      <w:tr w14:paraId="2ADB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FA5C55">
            <w:pPr>
              <w:pStyle w:val="22"/>
            </w:pPr>
            <w:r>
              <w:t>4 CTV 形状避免：CTV 应覆盖显微镜下浸润风险区域，不建议勾画仅围绕 GTV 外缘的 "环状"（或 "甜甜圈" 形）CTV</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D92AAA">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B24D7E">
            <w:pPr>
              <w:pStyle w:val="22"/>
            </w:pPr>
            <w:r>
              <w:t>-</w:t>
            </w:r>
          </w:p>
        </w:tc>
      </w:tr>
      <w:tr w14:paraId="6694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91F693">
            <w:pPr>
              <w:pStyle w:val="22"/>
            </w:pPr>
            <w:r>
              <w:t>5 术后靶区定义：对于接受过减压手术的患者：GTV 定义为术后残留的肉眼可见病变；CTV 需包含该残留 GTV、术前影像显示的骨性病变和硬膜外病变范围、以及显微镜下存在侵犯风险的相邻椎体节段</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988F33">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F0D817">
            <w:pPr>
              <w:pStyle w:val="22"/>
            </w:pPr>
            <w:r>
              <w:t>-</w:t>
            </w:r>
          </w:p>
        </w:tc>
      </w:tr>
      <w:tr w14:paraId="67A7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D014CB">
            <w:pPr>
              <w:pStyle w:val="22"/>
            </w:pPr>
            <w:r>
              <w:t>6 影像融合辅助：强烈建议将术前 MRI 与术后定位 CT 进行图像配准融合，以辅助术后患者 CTV 的准确勾画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99AEB8">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3C76E2">
            <w:pPr>
              <w:pStyle w:val="22"/>
            </w:pPr>
            <w:r>
              <w:t>-</w:t>
            </w:r>
          </w:p>
        </w:tc>
      </w:tr>
      <w:tr w14:paraId="380C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BFEE7D">
            <w:pPr>
              <w:pStyle w:val="22"/>
            </w:pPr>
            <w:r>
              <w:t>7 计划靶区（PTV）定义：PTV 定义为 CTV 加上计划专用的摆位和分次内不确定性外扩边界；通常该边界范围在 1-2mm（具体数值取决于各中心的质控标准）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059598">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1FAB2C">
            <w:pPr>
              <w:pStyle w:val="22"/>
            </w:pPr>
            <w:r>
              <w:t>-</w:t>
            </w:r>
          </w:p>
        </w:tc>
      </w:tr>
      <w:tr w14:paraId="5DA2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30CCFB">
            <w:pPr>
              <w:pStyle w:val="22"/>
            </w:pPr>
            <w:r>
              <w:t>8 受限计划靶区（PTV!）创建与应用：当 PTV 与关键危及器官（特别是椎管 / 脊髓）重叠时，应创建 "受限计划靶区"（标记为 PTV!）；PTV! 定义为 PTV 减去椎管内容物（和 / 或该危及器官的规划风险体积 PRV）后的体积；批准治疗计划时，必须确保计划靶区（PTV）得到充分覆盖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1786E9">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0897BE">
            <w:pPr>
              <w:pStyle w:val="22"/>
            </w:pPr>
            <w:r>
              <w:t>-</w:t>
            </w:r>
          </w:p>
        </w:tc>
      </w:tr>
    </w:tbl>
    <w:p w14:paraId="0D3C12BE">
      <w:pPr>
        <w:pStyle w:val="4"/>
      </w:pPr>
      <w:bookmarkStart w:id="39" w:name="_Toc1859"/>
      <w:r>
        <w:t>9.1.3 非脊椎骨转移 SBRT 靶区勾画</w:t>
      </w:r>
      <w:bookmarkEnd w:id="39"/>
    </w:p>
    <w:p w14:paraId="1E8C7CC8">
      <w:pPr>
        <w:pStyle w:val="22"/>
      </w:pPr>
      <w:r>
        <w:t>表 4 非脊椎骨转移 SBRT 靶区勾画</w:t>
      </w:r>
    </w:p>
    <w:p w14:paraId="62510B5D">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5A1C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A985FD">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F3805C">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F3248B">
            <w:pPr>
              <w:pStyle w:val="22"/>
            </w:pPr>
            <w:r>
              <w:t>证据等级</w:t>
            </w:r>
          </w:p>
        </w:tc>
      </w:tr>
      <w:tr w14:paraId="3403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50A91D">
            <w:pPr>
              <w:pStyle w:val="22"/>
            </w:pPr>
            <w:r>
              <w:t>1 命名规范：所有靶区（GTV，CTV，PTV）和危及器官（OAR）的命名应严格遵循 ICRU-50、ICRU-62 和 AAPM TG-263 指南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A506B9">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A05990">
            <w:pPr>
              <w:pStyle w:val="22"/>
            </w:pPr>
            <w:r>
              <w:t>-</w:t>
            </w:r>
          </w:p>
        </w:tc>
      </w:tr>
      <w:tr w14:paraId="2753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8FD1E9">
            <w:pPr>
              <w:pStyle w:val="22"/>
            </w:pPr>
            <w:r>
              <w:t>2 GTV 定义：GTV 定义为肉眼可见的肿瘤范围，基于计划 CT 扫描和诊断性影像（MRI±PET）综合评估确定；GTV 必须包含骨外和骨髓肿瘤外扩部分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D53358">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56956C">
            <w:pPr>
              <w:pStyle w:val="22"/>
            </w:pPr>
            <w:r>
              <w:t>-</w:t>
            </w:r>
          </w:p>
        </w:tc>
      </w:tr>
      <w:tr w14:paraId="69D4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387521">
            <w:pPr>
              <w:pStyle w:val="22"/>
            </w:pPr>
            <w:r>
              <w:t>3 移动靶区处理：对于移动靶区，ITV 定义为 4D-CT 中不同时序的所有 GTV 的总和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CCFF72">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30B568">
            <w:pPr>
              <w:pStyle w:val="22"/>
            </w:pPr>
            <w:r>
              <w:t>-</w:t>
            </w:r>
          </w:p>
        </w:tc>
      </w:tr>
      <w:tr w14:paraId="4985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9E7E76">
            <w:pPr>
              <w:pStyle w:val="22"/>
            </w:pPr>
            <w:r>
              <w:t>4 CTV 定义：CTV 定义为 GTV（或 ITV）加上 3-5mm 的外扩边界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530831">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5E5F4B">
            <w:pPr>
              <w:pStyle w:val="22"/>
            </w:pPr>
            <w:r>
              <w:t>-</w:t>
            </w:r>
          </w:p>
        </w:tc>
      </w:tr>
      <w:tr w14:paraId="2FF3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04EED3">
            <w:pPr>
              <w:pStyle w:val="22"/>
            </w:pPr>
            <w:r>
              <w:t>5 CTV 修正原则：CTV 必须手动修正以保持其在皮质骨内（除非肿瘤已扩散到周围软组织）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775258">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8ECC49">
            <w:pPr>
              <w:pStyle w:val="22"/>
            </w:pPr>
            <w:r>
              <w:t>-</w:t>
            </w:r>
          </w:p>
        </w:tc>
      </w:tr>
      <w:tr w14:paraId="47A5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F51D81">
            <w:pPr>
              <w:pStyle w:val="22"/>
            </w:pPr>
            <w:r>
              <w:t>6 计划靶区（PTV）定义：PTV 定义为 CTV 加上 3-5mm 的外扩边界（具体数值取决于各中心的质控标准）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16E091">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6FFFF6">
            <w:pPr>
              <w:pStyle w:val="22"/>
            </w:pPr>
            <w:r>
              <w:t>-</w:t>
            </w:r>
          </w:p>
        </w:tc>
      </w:tr>
    </w:tbl>
    <w:p w14:paraId="3460F8AA">
      <w:pPr>
        <w:pStyle w:val="3"/>
      </w:pPr>
      <w:bookmarkStart w:id="40" w:name="_Toc13182"/>
      <w:r>
        <w:t>9.2 SBRT 剂量</w:t>
      </w:r>
      <w:bookmarkEnd w:id="40"/>
    </w:p>
    <w:p w14:paraId="39A3926F">
      <w:pPr>
        <w:pStyle w:val="22"/>
      </w:pPr>
      <w:r>
        <w:t>不同研究处方剂量变化很大，包括 15-24Gy / 单次到 24-50Gy/3-5 次的多个剂量方案，目前尚无确定最佳方案 [12-13]。剂量 / 分割方案可能受到多种因素的影响，包括：1）中度至重度皮层侵蚀≥30％（提示高骨折风险）；2）骨外受累情况；3）肿瘤体积或肿块（直径 7cm 或更大）；4）负重骨中的病变；5）肿瘤病理组织学；6）正常组织限量（首选保护重要器官）；7）是否曾接受放射治疗（SBRT 或 EBRT）。若病灶之前接受 SBRT 或 EBRT 治疗（治疗间隔 &gt; 3 个月）、或负重骨病变、或中度至重度 (≥30％）骨皮质侵蚀，则应考虑降低剂量强度（即更多分数，单次剂量更低）；若存在放射抗性转移组织（如结肠癌、肾癌、黑色素瘤和肉瘤），或者有肿块或骨外受累，则应提高剂量强度。考虑到椎体压缩性骨折风险和治疗体积，非常大的肿瘤可能需要 4-5 个分次。单次 15-24Gy 照射是有效的，但可能会导致副作用增加，如椎体压缩性骨折、疼痛爆发和脊髓病变 [14]。分次剂量和分次方案的最终确定取决于各治疗中心的经验。</w:t>
      </w:r>
    </w:p>
    <w:p w14:paraId="0295CFFF">
      <w:pPr>
        <w:pStyle w:val="4"/>
      </w:pPr>
      <w:bookmarkStart w:id="41" w:name="_Toc28550"/>
      <w:r>
        <w:t>9.2.1 脊柱骨转移的 SBRT 治疗模式推荐（按优先级排列）</w:t>
      </w:r>
      <w:bookmarkEnd w:id="41"/>
    </w:p>
    <w:p w14:paraId="7ED06667">
      <w:pPr>
        <w:pStyle w:val="22"/>
        <w:numPr>
          <w:ilvl w:val="0"/>
          <w:numId w:val="1"/>
        </w:numPr>
      </w:pPr>
      <w:r>
        <w:t>30Gy/3F (10Gy/F)</w:t>
      </w:r>
    </w:p>
    <w:p w14:paraId="2BD64102">
      <w:pPr>
        <w:pStyle w:val="22"/>
        <w:numPr>
          <w:ilvl w:val="0"/>
          <w:numId w:val="1"/>
        </w:numPr>
      </w:pPr>
      <w:r>
        <w:t>27Gy/3F (9Gy/F)</w:t>
      </w:r>
    </w:p>
    <w:p w14:paraId="4FD11675">
      <w:pPr>
        <w:pStyle w:val="22"/>
        <w:numPr>
          <w:ilvl w:val="0"/>
          <w:numId w:val="1"/>
        </w:numPr>
      </w:pPr>
      <w:r>
        <w:t>35Gy/5F (7Gy/F)</w:t>
      </w:r>
    </w:p>
    <w:p w14:paraId="4507A5BC">
      <w:pPr>
        <w:pStyle w:val="22"/>
        <w:numPr>
          <w:ilvl w:val="0"/>
          <w:numId w:val="1"/>
        </w:numPr>
      </w:pPr>
      <w:r>
        <w:t>30Gy/5F (6Gy/F)</w:t>
      </w:r>
    </w:p>
    <w:p w14:paraId="6B055CF2">
      <w:pPr>
        <w:pStyle w:val="22"/>
        <w:numPr>
          <w:ilvl w:val="0"/>
          <w:numId w:val="1"/>
        </w:numPr>
      </w:pPr>
      <w:r>
        <w:t>50Gy/10F (5Gy/F)</w:t>
      </w:r>
    </w:p>
    <w:p w14:paraId="3B9C7822">
      <w:pPr>
        <w:pStyle w:val="22"/>
      </w:pPr>
      <w:r>
        <w:t>注：脊柱骨转移 SBRT 治疗通常应间隔一天进行；在完成脊柱减压手术后，推荐采用前述相同的多分次处方方案；对于由放射抵抗性肿瘤（如肾癌、前列腺癌）所致的脊柱骨转移，可采用单次超高剂量 24Gy 的治疗方案 [15]。</w:t>
      </w:r>
    </w:p>
    <w:p w14:paraId="29B2CFE9">
      <w:pPr>
        <w:pStyle w:val="4"/>
      </w:pPr>
      <w:bookmarkStart w:id="42" w:name="_Toc2105"/>
      <w:r>
        <w:t>9.2.2 非脊柱骨转移的 SBRT 治疗模式推荐（按优先级排列）</w:t>
      </w:r>
      <w:bookmarkEnd w:id="42"/>
    </w:p>
    <w:p w14:paraId="11893124">
      <w:pPr>
        <w:pStyle w:val="22"/>
        <w:numPr>
          <w:ilvl w:val="0"/>
          <w:numId w:val="1"/>
        </w:numPr>
      </w:pPr>
      <w:r>
        <w:t>30Gy/3F (10Gy/F)</w:t>
      </w:r>
    </w:p>
    <w:p w14:paraId="08A291F2">
      <w:pPr>
        <w:pStyle w:val="22"/>
        <w:numPr>
          <w:ilvl w:val="0"/>
          <w:numId w:val="1"/>
        </w:numPr>
      </w:pPr>
      <w:r>
        <w:t>27Gy/3F (9Gy/F)</w:t>
      </w:r>
    </w:p>
    <w:p w14:paraId="37206573">
      <w:pPr>
        <w:pStyle w:val="22"/>
        <w:numPr>
          <w:ilvl w:val="0"/>
          <w:numId w:val="1"/>
        </w:numPr>
      </w:pPr>
      <w:r>
        <w:t>35Gy/5F (7Gy/F)</w:t>
      </w:r>
    </w:p>
    <w:p w14:paraId="1692EF1F">
      <w:pPr>
        <w:pStyle w:val="22"/>
        <w:numPr>
          <w:ilvl w:val="0"/>
          <w:numId w:val="1"/>
        </w:numPr>
      </w:pPr>
      <w:r>
        <w:t>30Gy/5F (6Gy/F)</w:t>
      </w:r>
    </w:p>
    <w:p w14:paraId="01F68381">
      <w:pPr>
        <w:pStyle w:val="22"/>
        <w:numPr>
          <w:ilvl w:val="0"/>
          <w:numId w:val="1"/>
        </w:numPr>
      </w:pPr>
      <w:r>
        <w:t>50Gy/10F (5Gy/F)</w:t>
      </w:r>
    </w:p>
    <w:p w14:paraId="1643B8B2">
      <w:pPr>
        <w:pStyle w:val="22"/>
      </w:pPr>
      <w:r>
        <w:t>注：治疗间隔一天，也可选择每天进行治疗，但需确保两个分次之间间隔 24 小时。</w:t>
      </w:r>
    </w:p>
    <w:p w14:paraId="0DDF4201">
      <w:pPr>
        <w:pStyle w:val="4"/>
      </w:pPr>
      <w:bookmarkStart w:id="43" w:name="_Toc27373"/>
      <w:r>
        <w:t>9.2.3 剂量相关要求</w:t>
      </w:r>
      <w:bookmarkEnd w:id="43"/>
    </w:p>
    <w:p w14:paraId="76A76C2C">
      <w:pPr>
        <w:pStyle w:val="22"/>
      </w:pPr>
      <w:r>
        <w:t>表 5 骨转移 SBRT 的剂量</w:t>
      </w:r>
    </w:p>
    <w:p w14:paraId="4E239F75">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6D5A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6FC062">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0EC5C0">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14229F">
            <w:pPr>
              <w:pStyle w:val="22"/>
            </w:pPr>
            <w:r>
              <w:t>证据等级</w:t>
            </w:r>
          </w:p>
        </w:tc>
      </w:tr>
      <w:tr w14:paraId="025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C2C08A">
            <w:pPr>
              <w:pStyle w:val="22"/>
            </w:pPr>
            <w:r>
              <w:t>1 通用要求（适用于脊柱及非脊柱骨转移）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E16FA0">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E3D677">
            <w:pPr>
              <w:pStyle w:val="22"/>
            </w:pPr>
            <w:r>
              <w:t>-</w:t>
            </w:r>
          </w:p>
        </w:tc>
      </w:tr>
      <w:tr w14:paraId="331F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9B5656">
            <w:pPr>
              <w:pStyle w:val="22"/>
            </w:pPr>
            <w:r>
              <w:t>1.1 处方剂量定义的剂量应覆盖理想情况下≥95% 的 PTV 体积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14EF8C">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CC2390">
            <w:pPr>
              <w:pStyle w:val="22"/>
            </w:pPr>
            <w:r>
              <w:t>-</w:t>
            </w:r>
          </w:p>
        </w:tc>
      </w:tr>
      <w:tr w14:paraId="6FE1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A3E805">
            <w:pPr>
              <w:pStyle w:val="22"/>
            </w:pPr>
            <w:r>
              <w:t>1.2 治疗计划应允许 PTV 内存在显著的剂量异质性，可接受剂量热点（&gt;107% 处方剂量）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25D21C">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9E28F8">
            <w:pPr>
              <w:pStyle w:val="22"/>
            </w:pPr>
            <w:r>
              <w:t>-</w:t>
            </w:r>
          </w:p>
        </w:tc>
      </w:tr>
      <w:tr w14:paraId="0966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B7DED8">
            <w:pPr>
              <w:pStyle w:val="22"/>
            </w:pPr>
            <w:r>
              <w:t>1.3 PTV 内的最大剂量可达到处方剂量的 140%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2FB3E8">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D45198">
            <w:pPr>
              <w:pStyle w:val="22"/>
            </w:pPr>
            <w:r>
              <w:t>-</w:t>
            </w:r>
          </w:p>
        </w:tc>
      </w:tr>
      <w:tr w14:paraId="0117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B7BBFE">
            <w:pPr>
              <w:pStyle w:val="22"/>
            </w:pPr>
            <w:r>
              <w:t>1.4 剂量报告必须遵守 ICRU-91 指南，至少包含：处方剂量、单次剂量与总次数、PTV（脊柱）/PTV/CTV/GTV 体积、PTV（脊柱）/PTV/CTV/GTV 的 D98%、D95%、D50%、D2%（以处方剂量百分比表示）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C5D904">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E0F844">
            <w:pPr>
              <w:pStyle w:val="22"/>
            </w:pPr>
            <w:r>
              <w:t>-</w:t>
            </w:r>
          </w:p>
        </w:tc>
      </w:tr>
      <w:tr w14:paraId="3640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672EF4">
            <w:pPr>
              <w:pStyle w:val="22"/>
            </w:pPr>
            <w:r>
              <w:t>2 脊柱骨转移专项要求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40F201">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69EA78">
            <w:pPr>
              <w:pStyle w:val="22"/>
            </w:pPr>
            <w:r>
              <w:t>-</w:t>
            </w:r>
          </w:p>
        </w:tc>
      </w:tr>
      <w:tr w14:paraId="4A89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906EEB">
            <w:pPr>
              <w:pStyle w:val="22"/>
            </w:pPr>
            <w:r>
              <w:t>2.1 可使用同步瘤床加量技术（SIB）提升 GTV 内的剂量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47E1F7">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E5E446">
            <w:pPr>
              <w:pStyle w:val="22"/>
            </w:pPr>
            <w:r>
              <w:t>-</w:t>
            </w:r>
          </w:p>
        </w:tc>
      </w:tr>
      <w:tr w14:paraId="7684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83B070">
            <w:pPr>
              <w:pStyle w:val="22"/>
            </w:pPr>
            <w:r>
              <w:t>2.2 PTV 目标剂量要求：≥95% PTV 接受≥100% 的处方剂量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D2E096">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1C9E0E">
            <w:pPr>
              <w:pStyle w:val="22"/>
            </w:pPr>
            <w:r>
              <w:t>-</w:t>
            </w:r>
          </w:p>
        </w:tc>
      </w:tr>
      <w:tr w14:paraId="221A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7ED786">
            <w:pPr>
              <w:pStyle w:val="22"/>
            </w:pPr>
            <w:r>
              <w:t>2.3 为满足危及器官（OARs）剂量限制要求时，可适当降低 PTV 目标剂量至：≥90% PTV 接受≥100% 的处方剂量；同时必须满足：≥98% GTV 接受≥21Gy/3 次或≥23Gy/5 次，必要时可 50Gy/10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4B9A13">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A712CC">
            <w:pPr>
              <w:pStyle w:val="22"/>
            </w:pPr>
            <w:r>
              <w:t>-</w:t>
            </w:r>
          </w:p>
        </w:tc>
      </w:tr>
      <w:tr w14:paraId="68E3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6F78F8">
            <w:pPr>
              <w:pStyle w:val="22"/>
            </w:pPr>
            <w:r>
              <w:t>2.4 对于来源于肾细胞癌（放射抵抗性）的脊柱转移灶：≥98% GTV 的剂量应满足：单次治疗≥18Gy，3 次治疗≥24Gy，5 次治疗≥30Gy，必要时可 50Gy/10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643FAA">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DB3BD0">
            <w:pPr>
              <w:pStyle w:val="22"/>
            </w:pPr>
            <w:r>
              <w:t>-</w:t>
            </w:r>
          </w:p>
        </w:tc>
      </w:tr>
      <w:tr w14:paraId="22A3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37DCAA">
            <w:pPr>
              <w:pStyle w:val="22"/>
            </w:pPr>
            <w:r>
              <w:t>3 非脊柱骨转移专项要求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BB1306">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62547B">
            <w:pPr>
              <w:pStyle w:val="22"/>
            </w:pPr>
            <w:r>
              <w:t>-</w:t>
            </w:r>
          </w:p>
        </w:tc>
      </w:tr>
      <w:tr w14:paraId="4DD6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8D92CD">
            <w:pPr>
              <w:pStyle w:val="22"/>
            </w:pPr>
            <w:r>
              <w:t>3.1 PTV 目标剂量要求：≥95% PTV 接受≥100% 的处方剂量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A118BB">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F8C3C0">
            <w:pPr>
              <w:pStyle w:val="22"/>
            </w:pPr>
            <w:r>
              <w:t>-</w:t>
            </w:r>
          </w:p>
        </w:tc>
      </w:tr>
      <w:tr w14:paraId="65E8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9F780A">
            <w:pPr>
              <w:pStyle w:val="22"/>
            </w:pPr>
            <w:r>
              <w:t>3.2 由于 GTV 通常紧邻 PTV（扩展范围小），不应降低非脊柱骨转移的 PTV 目标剂量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4EE410">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503BEA">
            <w:pPr>
              <w:pStyle w:val="22"/>
            </w:pPr>
            <w:r>
              <w:t>-</w:t>
            </w:r>
          </w:p>
        </w:tc>
      </w:tr>
    </w:tbl>
    <w:p w14:paraId="030B1508">
      <w:pPr>
        <w:pStyle w:val="3"/>
      </w:pPr>
      <w:bookmarkStart w:id="44" w:name="_Toc17110"/>
      <w:r>
        <w:t>9.3 SBRT 的危及器官的限量</w:t>
      </w:r>
      <w:bookmarkEnd w:id="44"/>
    </w:p>
    <w:p w14:paraId="5BD000D6">
      <w:pPr>
        <w:pStyle w:val="22"/>
      </w:pPr>
      <w:r>
        <w:t>OAR 剂量限制是 SBRT 治疗计划的重要方面。许多 OAR 的剂量限制的证据有限，为了标准化协议和相关的放射治疗计划，建议采用国际指南关于多种常见 SBRT 分数的正常组织剂量限制的共识。</w:t>
      </w:r>
    </w:p>
    <w:p w14:paraId="3D3E8DC0">
      <w:pPr>
        <w:pStyle w:val="22"/>
      </w:pPr>
      <w:r>
        <w:t>表 6 危及器官勾画建议</w:t>
      </w:r>
    </w:p>
    <w:p w14:paraId="11B5F64A">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56D7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71AC0D">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56BF9B">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388645">
            <w:pPr>
              <w:pStyle w:val="22"/>
            </w:pPr>
            <w:r>
              <w:t>证据等级</w:t>
            </w:r>
          </w:p>
        </w:tc>
      </w:tr>
      <w:tr w14:paraId="10F2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BE7DA4">
            <w:pPr>
              <w:pStyle w:val="22"/>
            </w:pPr>
            <w:r>
              <w:t>1 国际指南遵循：根据国际指南，勾画危及器官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8D56AE">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73E198">
            <w:pPr>
              <w:pStyle w:val="22"/>
            </w:pPr>
            <w:r>
              <w:t>-</w:t>
            </w:r>
          </w:p>
        </w:tc>
      </w:tr>
      <w:tr w14:paraId="1F92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E8FAB4">
            <w:pPr>
              <w:pStyle w:val="22"/>
            </w:pPr>
            <w:r>
              <w:t>2 神经系统危及器官勾画：基于轴位 T2 加权 MRI 序列，在 CT 上勾画脑干、脊髓、马尾和神经丛等神经系统危及器官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5EB3F2">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11FA99">
            <w:pPr>
              <w:pStyle w:val="22"/>
            </w:pPr>
            <w:r>
              <w:t>-</w:t>
            </w:r>
          </w:p>
        </w:tc>
      </w:tr>
      <w:tr w14:paraId="2A4D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AEF950">
            <w:pPr>
              <w:pStyle w:val="22"/>
            </w:pPr>
            <w:r>
              <w:t>3 神经系统 PRV 要求：必须在神经系统危及器官周围外放边界生成危险器官计划体积 (PRV)；PRV 必须受到剂量限制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E44FD0">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14F63A">
            <w:pPr>
              <w:pStyle w:val="22"/>
            </w:pPr>
            <w:r>
              <w:t>-</w:t>
            </w:r>
          </w:p>
        </w:tc>
      </w:tr>
      <w:tr w14:paraId="17CE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734EAC">
            <w:pPr>
              <w:pStyle w:val="22"/>
            </w:pPr>
            <w:r>
              <w:t>4 食管 PRV 处理：食管是可能与 PTV 紧邻的连续 OAR，因此，应在食管周围外放边界生成 PRV，并对 PRV 予剂量限制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D7AF85">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34B16E">
            <w:pPr>
              <w:pStyle w:val="22"/>
            </w:pPr>
            <w:r>
              <w:t>-</w:t>
            </w:r>
          </w:p>
        </w:tc>
      </w:tr>
      <w:tr w14:paraId="7A03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B7E5C4">
            <w:pPr>
              <w:pStyle w:val="22"/>
            </w:pPr>
            <w:r>
              <w:t>5 PRV 边界生成规则：根据 CTV 到 PTV 的相同外放边界生成 PRV</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D59ECD">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86B2A3">
            <w:pPr>
              <w:pStyle w:val="22"/>
            </w:pPr>
            <w:r>
              <w:t>-</w:t>
            </w:r>
          </w:p>
        </w:tc>
      </w:tr>
      <w:tr w14:paraId="7B38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374114">
            <w:pPr>
              <w:pStyle w:val="22"/>
            </w:pPr>
            <w:r>
              <w:t>6 硬膜鞘替代规则：在 MRI 评估下，硬膜鞘可以用作脊髓 PRV 或马尾 PRV 的替代物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A23363">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2D05DB">
            <w:pPr>
              <w:pStyle w:val="22"/>
            </w:pPr>
            <w:r>
              <w:t>-</w:t>
            </w:r>
          </w:p>
        </w:tc>
      </w:tr>
      <w:tr w14:paraId="5AA4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C0ABE3">
            <w:pPr>
              <w:pStyle w:val="22"/>
            </w:pPr>
            <w:r>
              <w:t>7 髓管替代规则：在极少数情况下，当患者存在 MRI 禁忌症，且 GTV 未触及髓管边缘的情况下，才考虑将髓管（根据定位 CT）作为脊髓 PRV 或马尾 PRV 的替代物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AEB265">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BE6D71">
            <w:pPr>
              <w:pStyle w:val="22"/>
            </w:pPr>
            <w:r>
              <w:t>-</w:t>
            </w:r>
          </w:p>
        </w:tc>
      </w:tr>
      <w:tr w14:paraId="5B0A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8E45B1">
            <w:pPr>
              <w:pStyle w:val="22"/>
            </w:pPr>
            <w:r>
              <w:t>8 非神经系统 PRV 规定：除神经系统和食管之外，其余危险器官未强制规定 PRV</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1A4DF1">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8695E6">
            <w:pPr>
              <w:pStyle w:val="22"/>
            </w:pPr>
            <w:r>
              <w:t>-</w:t>
            </w:r>
          </w:p>
        </w:tc>
      </w:tr>
      <w:tr w14:paraId="3805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5D5CB0">
            <w:pPr>
              <w:pStyle w:val="22"/>
            </w:pPr>
            <w:r>
              <w:t>9 特殊神经根处理：若肱神经或骶神经丛的神经根从椎间孔穿出并穿过 PTV，可以将这些神经根单独划分为一个保护区域；避免其在该区域接受高峰值剂量（计划 Dmax），同时不影响 PTV 的充分覆盖（不降低治疗强度）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3E50A4">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84C496">
            <w:pPr>
              <w:pStyle w:val="22"/>
            </w:pPr>
            <w:r>
              <w:t>-</w:t>
            </w:r>
          </w:p>
        </w:tc>
      </w:tr>
    </w:tbl>
    <w:p w14:paraId="78C36AB9">
      <w:pPr>
        <w:pStyle w:val="3"/>
      </w:pPr>
      <w:bookmarkStart w:id="45" w:name="_Toc26560"/>
      <w:r>
        <w:t>9.4 SBRT 毒性反应控制</w:t>
      </w:r>
      <w:bookmarkEnd w:id="45"/>
    </w:p>
    <w:p w14:paraId="67B630AF">
      <w:pPr>
        <w:pStyle w:val="22"/>
      </w:pPr>
      <w:r>
        <w:t>骨转移放疗副作用主要取决于受照组织。非脊柱骨 SBRT 常见急性反应包括皮肤红斑和腰背部胃肠道反应；颈胸部放疗可能导致张口困难、吞咽痛及黏膜炎；脊柱 SBRT 则以食管炎、支气管炎、暂时性脊神经根炎等为主，多为自限性。</w:t>
      </w:r>
    </w:p>
    <w:p w14:paraId="6E883775">
      <w:pPr>
        <w:pStyle w:val="22"/>
      </w:pPr>
      <w:r>
        <w:t>疼痛反弹（Pain Flare）是指放疗后短时间内疼痛暂时增加的现象 [17]。McDonald 等人发现外照射 EBRT 的疼痛加剧发生率在 2%-44% 之间，而 SBRT 的疼痛加剧发生率则为 20%-68%，通常在 1-3 天内消退 [18]。为控制疼痛反弹，可予扑热息痛或地塞米松对症处理。放疗后疼痛复发多呈自限性，部分与疾病进展相关；若初始镇痛不佳或疼痛复发，建议再程骨转移瘤立体定向放疗。</w:t>
      </w:r>
    </w:p>
    <w:p w14:paraId="33D8C42A">
      <w:pPr>
        <w:pStyle w:val="22"/>
      </w:pPr>
      <w:r>
        <w:t>椎体压缩骨折（VCF）风险与高剂量放疗削弱骨质有关。危险因素包括：高剂量、既往 VCF、溶骨性病变程度、胸椎受累、SINS&gt;8、Bilsky&gt;0、年龄 &gt; 55 岁、女性及肺癌转移（高于前列腺癌转移）[19-20]。单次放疗后再放疗 VCF 发生率高于分次放疗。</w:t>
      </w:r>
    </w:p>
    <w:p w14:paraId="5AC0F9F7">
      <w:pPr>
        <w:pStyle w:val="22"/>
      </w:pPr>
      <w:r>
        <w:t>放射性脊髓病是脊柱 SBRT 的重要迟发并发症。相比常规放疗，SBRT 的剂量梯度更陡峭，可能导致小体积脊髓接受更高剂量。常规放疗 45Gy (2Gy/d) 时发生率 &lt; 0.5%，而 SBRT 相关报道较少。RTOG97-14 研究显示，单次 8Gy 或 30Gy/10F 照射椎体转移瘤时，放射性脊髓炎发生率均为 0.4%，证实单次 8-10Gy 对脊髓是安全的 [21]。</w:t>
      </w:r>
    </w:p>
    <w:p w14:paraId="42AB1B03">
      <w:pPr>
        <w:pStyle w:val="22"/>
      </w:pPr>
      <w:r>
        <w:t>对于脊髓再次照射的患者，放射性脊髓炎的发生率取决于前后两次放疗的等效生物剂量（BED）之和。Nieder 等研究发现，脊髓累积 BED＜135.5Gy（两次放疗）或单次 BED＜98Gy，两次放疗间隔大于 6 个月的患者放射性脊髓炎发生率较低 [22]。Sahgal 等研究结果显示，脊髓点剂量 BED&lt;20-25Gy（a/β=2），两次间隔大于 5 个月，累积 BED&lt;70Gy 的患者未出现放射性脊髓病 [23]。</w:t>
      </w:r>
    </w:p>
    <w:p w14:paraId="68C0256A">
      <w:pPr>
        <w:pStyle w:val="22"/>
      </w:pPr>
      <w:r>
        <w:t>表 7 骨转移 SBRT 毒性反应及管理建议</w:t>
      </w:r>
    </w:p>
    <w:p w14:paraId="23B73CAF">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65F2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43E58D">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C8B8C4">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D9C0A1">
            <w:pPr>
              <w:pStyle w:val="22"/>
            </w:pPr>
            <w:r>
              <w:t>证据等级</w:t>
            </w:r>
          </w:p>
        </w:tc>
      </w:tr>
      <w:tr w14:paraId="29FC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56EA76">
            <w:pPr>
              <w:pStyle w:val="22"/>
            </w:pPr>
            <w:r>
              <w:t>1 急性毒性反应（通用）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A81E09">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6B1646">
            <w:pPr>
              <w:pStyle w:val="22"/>
            </w:pPr>
            <w:r>
              <w:t>-</w:t>
            </w:r>
          </w:p>
        </w:tc>
      </w:tr>
      <w:tr w14:paraId="38BA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C98429">
            <w:pPr>
              <w:pStyle w:val="22"/>
            </w:pPr>
            <w:r>
              <w:t>1.1 非脊柱骨 SBRT：关注皮肤红斑、腰背部胃肠道反应</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D6A80C">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92E8E9">
            <w:pPr>
              <w:pStyle w:val="22"/>
            </w:pPr>
            <w:r>
              <w:t>-</w:t>
            </w:r>
          </w:p>
        </w:tc>
      </w:tr>
      <w:tr w14:paraId="2FE2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55C334">
            <w:pPr>
              <w:pStyle w:val="22"/>
            </w:pPr>
            <w:r>
              <w:t>1.2 颈胸部骨 SBRT：关注张口困难、吞咽痛、吞咽困难、局部黏膜炎</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014C21">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CCFA2A">
            <w:pPr>
              <w:pStyle w:val="22"/>
            </w:pPr>
            <w:r>
              <w:t>-</w:t>
            </w:r>
          </w:p>
        </w:tc>
      </w:tr>
      <w:tr w14:paraId="58FA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89F606">
            <w:pPr>
              <w:pStyle w:val="22"/>
            </w:pPr>
            <w:r>
              <w:t>1.3 脊柱 SBRT：关注食管炎、支气管炎、腹泻、短暂性脊神经根炎、感觉异常</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344464">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709ED1">
            <w:pPr>
              <w:pStyle w:val="22"/>
            </w:pPr>
            <w:r>
              <w:t>-</w:t>
            </w:r>
          </w:p>
        </w:tc>
      </w:tr>
      <w:tr w14:paraId="2E95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51EC3A">
            <w:pPr>
              <w:pStyle w:val="22"/>
            </w:pPr>
            <w:r>
              <w:t>2 疼痛反弹（Pain Flare）</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A910C5">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65B19B">
            <w:pPr>
              <w:pStyle w:val="22"/>
            </w:pPr>
            <w:r>
              <w:t>-</w:t>
            </w:r>
          </w:p>
        </w:tc>
      </w:tr>
      <w:tr w14:paraId="00C2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FD3921">
            <w:pPr>
              <w:pStyle w:val="22"/>
            </w:pPr>
            <w:r>
              <w:t>2.1 推荐使用扑热息痛和 / 或地塞米松预防或控制疼痛反弹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F97FB0">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CC66DA">
            <w:pPr>
              <w:pStyle w:val="22"/>
            </w:pPr>
            <w:r>
              <w:t>-</w:t>
            </w:r>
          </w:p>
        </w:tc>
      </w:tr>
      <w:tr w14:paraId="07A0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8CFBA0">
            <w:pPr>
              <w:pStyle w:val="22"/>
            </w:pPr>
            <w:r>
              <w:t>2.2 初始疼痛缓解不足、无缓解或复发者，可考虑再次放疗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3D1C2E">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79F144">
            <w:pPr>
              <w:pStyle w:val="22"/>
            </w:pPr>
            <w:r>
              <w:t>-</w:t>
            </w:r>
          </w:p>
        </w:tc>
      </w:tr>
      <w:tr w14:paraId="012D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203EA3">
            <w:pPr>
              <w:pStyle w:val="22"/>
            </w:pPr>
            <w:r>
              <w:t>3 脊柱相关并发症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FF2D09">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43AB0E">
            <w:pPr>
              <w:pStyle w:val="22"/>
            </w:pPr>
            <w:r>
              <w:t>-</w:t>
            </w:r>
          </w:p>
        </w:tc>
      </w:tr>
      <w:tr w14:paraId="2FFE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5EC317">
            <w:pPr>
              <w:pStyle w:val="22"/>
            </w:pPr>
            <w:r>
              <w:t>3.1 椎体压缩性骨折 (VCF)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14D9D3">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9EE841">
            <w:pPr>
              <w:pStyle w:val="22"/>
            </w:pPr>
            <w:r>
              <w:t>-</w:t>
            </w:r>
          </w:p>
        </w:tc>
      </w:tr>
      <w:tr w14:paraId="21B0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D18D8F">
            <w:pPr>
              <w:pStyle w:val="22"/>
            </w:pPr>
            <w:r>
              <w:t>3.1.1 单次 SBRT 方案较分次方案 VCF 发生率更高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3C0DC8">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A7B637">
            <w:pPr>
              <w:pStyle w:val="22"/>
            </w:pPr>
            <w:r>
              <w:t>-</w:t>
            </w:r>
          </w:p>
        </w:tc>
      </w:tr>
      <w:tr w14:paraId="0063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5D4792">
            <w:pPr>
              <w:pStyle w:val="22"/>
            </w:pPr>
            <w:r>
              <w:t>3.2 放射性脊髓病</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4C9D30">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C2EC70">
            <w:pPr>
              <w:pStyle w:val="22"/>
            </w:pPr>
            <w:r>
              <w:t>-</w:t>
            </w:r>
          </w:p>
        </w:tc>
      </w:tr>
      <w:tr w14:paraId="7AED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C31A36">
            <w:pPr>
              <w:pStyle w:val="22"/>
            </w:pPr>
            <w:r>
              <w:t>3.2.1 需通过精确摆位和 IGRT 严格控制脊髓受量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298148">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B90833">
            <w:pPr>
              <w:pStyle w:val="22"/>
            </w:pPr>
            <w:r>
              <w:t>-</w:t>
            </w:r>
          </w:p>
        </w:tc>
      </w:tr>
      <w:tr w14:paraId="0BA4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856CDD">
            <w:pPr>
              <w:pStyle w:val="22"/>
            </w:pPr>
            <w:r>
              <w:t>3.2.2 初次照射脊髓点剂量 BED&lt;45 Gy (α/β=2) 时，风险极低</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99B1D0">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71C3E5">
            <w:pPr>
              <w:pStyle w:val="22"/>
            </w:pPr>
            <w:r>
              <w:t>-</w:t>
            </w:r>
          </w:p>
        </w:tc>
      </w:tr>
      <w:tr w14:paraId="751A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0D9C61">
            <w:pPr>
              <w:pStyle w:val="22"/>
            </w:pPr>
            <w:r>
              <w:t>3.2.3 初次放疗患者，单次照射 8-10 Gy 脊髓耐受性良好</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42E7C6">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B99282">
            <w:pPr>
              <w:pStyle w:val="22"/>
            </w:pPr>
            <w:r>
              <w:t>-</w:t>
            </w:r>
          </w:p>
        </w:tc>
      </w:tr>
      <w:tr w14:paraId="51A4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E8A2EF">
            <w:pPr>
              <w:pStyle w:val="22"/>
            </w:pPr>
            <w:r>
              <w:t>3.3 再次放疗患者的脊髓风险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EAA761">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7187BD">
            <w:pPr>
              <w:pStyle w:val="22"/>
            </w:pPr>
            <w:r>
              <w:t>-</w:t>
            </w:r>
          </w:p>
        </w:tc>
      </w:tr>
      <w:tr w14:paraId="2C47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027EAB">
            <w:pPr>
              <w:pStyle w:val="22"/>
            </w:pPr>
            <w:r>
              <w:t>3.3.1 风险取决于两次放疗脊髓累积 BED 值</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DE5C32">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93872C">
            <w:pPr>
              <w:pStyle w:val="22"/>
            </w:pPr>
            <w:r>
              <w:t>-</w:t>
            </w:r>
          </w:p>
        </w:tc>
      </w:tr>
      <w:tr w14:paraId="4E54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390CB6">
            <w:pPr>
              <w:pStyle w:val="22"/>
            </w:pPr>
            <w:r>
              <w:t>3.3.2 间隔 &gt; 6 月，且 BED 之和 &lt; 135.5 Gy (α/β=2）时风险低</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C56EB8">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B052D9">
            <w:pPr>
              <w:pStyle w:val="22"/>
            </w:pPr>
            <w:r>
              <w:t>-</w:t>
            </w:r>
          </w:p>
        </w:tc>
      </w:tr>
      <w:tr w14:paraId="60C5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976FD3">
            <w:pPr>
              <w:pStyle w:val="22"/>
            </w:pPr>
            <w:r>
              <w:t>3.3.3 间隔 &gt; 5 月，且 BED&lt;70 Gy (α/β=2）时风险低</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E724C5">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8A7488">
            <w:pPr>
              <w:pStyle w:val="22"/>
            </w:pPr>
            <w:r>
              <w:t>-</w:t>
            </w:r>
          </w:p>
        </w:tc>
      </w:tr>
      <w:tr w14:paraId="5576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0DD990">
            <w:pPr>
              <w:pStyle w:val="22"/>
            </w:pPr>
            <w:r>
              <w:t>3.3.4 再次照射前必须谨慎评估前次脊髓剂量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27B740">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5C8A65">
            <w:pPr>
              <w:pStyle w:val="22"/>
            </w:pPr>
            <w:r>
              <w:t>-</w:t>
            </w:r>
          </w:p>
        </w:tc>
      </w:tr>
    </w:tbl>
    <w:p w14:paraId="622822CD">
      <w:pPr>
        <w:pStyle w:val="22"/>
      </w:pPr>
    </w:p>
    <w:p w14:paraId="3AC73A37">
      <w:pPr>
        <w:pBdr>
          <w:bottom w:val="single" w:color="auto" w:sz="6" w:space="1"/>
        </w:pBdr>
      </w:pPr>
    </w:p>
    <w:p w14:paraId="4F0B2277">
      <w:pPr>
        <w:pStyle w:val="2"/>
      </w:pPr>
      <w:bookmarkStart w:id="46" w:name="_Toc11520"/>
      <w:r>
        <w:t>10 治疗流程</w:t>
      </w:r>
      <w:bookmarkEnd w:id="46"/>
    </w:p>
    <w:p w14:paraId="02E17453">
      <w:pPr>
        <w:pStyle w:val="22"/>
      </w:pPr>
      <w:r>
        <w:t>治疗前需经肿瘤多学科讨论，根据适应症选择合适病例。</w:t>
      </w:r>
    </w:p>
    <w:p w14:paraId="2033E1B0">
      <w:pPr>
        <w:pStyle w:val="3"/>
      </w:pPr>
      <w:bookmarkStart w:id="47" w:name="_Toc21365"/>
      <w:r>
        <w:t>10.1 体位固定</w:t>
      </w:r>
      <w:bookmarkEnd w:id="47"/>
    </w:p>
    <w:p w14:paraId="292FB410">
      <w:pPr>
        <w:pStyle w:val="22"/>
        <w:numPr>
          <w:ilvl w:val="0"/>
          <w:numId w:val="1"/>
        </w:numPr>
      </w:pPr>
      <w:r>
        <w:t>采用双手上举，头颈部使用个性化枕垫固定，膝关节处放置支撑垫减少体位移动；</w:t>
      </w:r>
    </w:p>
    <w:p w14:paraId="5085B68E">
      <w:pPr>
        <w:pStyle w:val="22"/>
        <w:numPr>
          <w:ilvl w:val="0"/>
          <w:numId w:val="1"/>
        </w:numPr>
      </w:pPr>
      <w:r>
        <w:t>患者体位固定需使用真空负压袋或体膜进行严格固定，每次固定后需评估其重复性；</w:t>
      </w:r>
    </w:p>
    <w:p w14:paraId="77E30D75">
      <w:pPr>
        <w:pStyle w:val="22"/>
        <w:numPr>
          <w:ilvl w:val="0"/>
          <w:numId w:val="1"/>
        </w:numPr>
      </w:pPr>
      <w:r>
        <w:t>建议使用个性化立体定向固定系统以确保患者定位的可重复性和舒适度；</w:t>
      </w:r>
    </w:p>
    <w:p w14:paraId="0F3CF2CB">
      <w:pPr>
        <w:pStyle w:val="22"/>
        <w:numPr>
          <w:ilvl w:val="0"/>
          <w:numId w:val="1"/>
        </w:numPr>
      </w:pPr>
      <w:r>
        <w:t>根据靶病灶的位置，单独或组合使用以下固定元素：热塑性面罩、Brainlab® 无框面罩、热塑性腰带、真空床垫和腹部压缩器；每个中心应单独验证其使用的固定系统；</w:t>
      </w:r>
    </w:p>
    <w:p w14:paraId="15067D8F">
      <w:pPr>
        <w:pStyle w:val="22"/>
        <w:numPr>
          <w:ilvl w:val="0"/>
          <w:numId w:val="1"/>
        </w:numPr>
      </w:pPr>
      <w:r>
        <w:t>Owen 等人建议使用颅骨热塑性面罩固定位于 T3 以上区域的非脊柱骨转移，使用 BodyFIX® 固定位于 T3 以下的非脊柱骨转移 [5]；</w:t>
      </w:r>
    </w:p>
    <w:p w14:paraId="6F03BEC7">
      <w:pPr>
        <w:pStyle w:val="22"/>
        <w:numPr>
          <w:ilvl w:val="0"/>
          <w:numId w:val="1"/>
        </w:numPr>
      </w:pPr>
      <w:r>
        <w:t>在肋骨和骨盆转移中，Erler 等人使用腹部压迫和真空袋或 BodyFIX®[6]；</w:t>
      </w:r>
    </w:p>
    <w:p w14:paraId="5D24EF1F">
      <w:pPr>
        <w:pStyle w:val="22"/>
        <w:numPr>
          <w:ilvl w:val="0"/>
          <w:numId w:val="1"/>
        </w:numPr>
      </w:pPr>
      <w:r>
        <w:t>为最大程度降低 SBRT 治疗四肢部位病变时的肢体转动风险，应使用真空床垫或 Alpha Cradle 技术。</w:t>
      </w:r>
    </w:p>
    <w:p w14:paraId="220A5802">
      <w:pPr>
        <w:pStyle w:val="3"/>
      </w:pPr>
      <w:bookmarkStart w:id="48" w:name="_Toc1770"/>
      <w:r>
        <w:t>10.2 模拟定位</w:t>
      </w:r>
      <w:bookmarkEnd w:id="48"/>
    </w:p>
    <w:p w14:paraId="2E4D4D13">
      <w:pPr>
        <w:pStyle w:val="22"/>
        <w:numPr>
          <w:ilvl w:val="0"/>
          <w:numId w:val="1"/>
        </w:numPr>
      </w:pPr>
      <w:r>
        <w:t>定位 CT 应包括靶病灶周围足够边缘且涵盖危及器官（OAR）；CT 图像扫描在靶病灶头脚方向尽量外扩 10cm，以覆盖潜在的治疗区域，使用 1-1.5mm 层厚；</w:t>
      </w:r>
    </w:p>
    <w:p w14:paraId="358061DA">
      <w:pPr>
        <w:pStyle w:val="22"/>
        <w:numPr>
          <w:ilvl w:val="0"/>
          <w:numId w:val="1"/>
        </w:numPr>
      </w:pPr>
      <w:r>
        <w:t>为尽可能避免图像伪影，根据靶病灶及周围 OAR 的需要，选择是否静脉注射造影剂；</w:t>
      </w:r>
    </w:p>
    <w:p w14:paraId="5FA709F5">
      <w:pPr>
        <w:pStyle w:val="22"/>
        <w:numPr>
          <w:ilvl w:val="0"/>
          <w:numId w:val="1"/>
        </w:numPr>
      </w:pPr>
      <w:r>
        <w:t>对于易受呼吸运动影响的病变（如肋骨或胸骨病变）以及病灶靠近受呼吸运动影响的 OAR 时，可考虑行 4D-CT 扫描；</w:t>
      </w:r>
    </w:p>
    <w:p w14:paraId="2D81ADE3">
      <w:pPr>
        <w:pStyle w:val="22"/>
        <w:numPr>
          <w:ilvl w:val="0"/>
          <w:numId w:val="1"/>
        </w:numPr>
      </w:pPr>
      <w:r>
        <w:t>为正确勾画靶区和 OAR，应将计划 CT 图像与其他可用的成像检查进行融合，MRI 是脊柱和脊髓疾病的首选检查方法 [7]；</w:t>
      </w:r>
    </w:p>
    <w:p w14:paraId="5DDF08E8">
      <w:pPr>
        <w:pStyle w:val="22"/>
        <w:numPr>
          <w:ilvl w:val="0"/>
          <w:numId w:val="1"/>
        </w:numPr>
      </w:pPr>
      <w:r>
        <w:t>若已行 PET/CT 成像进行癌症分期，可将其与计划 CT 图像融合。</w:t>
      </w:r>
    </w:p>
    <w:p w14:paraId="1B7C6B25">
      <w:pPr>
        <w:pStyle w:val="22"/>
      </w:pPr>
      <w:r>
        <w:t>表 8 SBRT 治疗的体位固定与影像学要求</w:t>
      </w:r>
    </w:p>
    <w:p w14:paraId="2AC0DF88">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61F0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425D1A">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273D4C">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B5F185">
            <w:pPr>
              <w:pStyle w:val="22"/>
            </w:pPr>
            <w:r>
              <w:t>证据等级</w:t>
            </w:r>
          </w:p>
        </w:tc>
      </w:tr>
      <w:tr w14:paraId="1375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406434">
            <w:pPr>
              <w:pStyle w:val="22"/>
            </w:pPr>
            <w:r>
              <w:t>1 脊柱骨转移专项要求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8EEE27">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3B7284">
            <w:pPr>
              <w:pStyle w:val="22"/>
            </w:pPr>
            <w:r>
              <w:t>-</w:t>
            </w:r>
          </w:p>
        </w:tc>
      </w:tr>
      <w:tr w14:paraId="39BB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829BB6">
            <w:pPr>
              <w:pStyle w:val="22"/>
            </w:pPr>
            <w:r>
              <w:t>1.1 无图像引导系统时，必须使用定制固定装置（平移误差≤1mm，旋转误差≤1°)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E28B85">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7D4E2B">
            <w:pPr>
              <w:pStyle w:val="22"/>
            </w:pPr>
            <w:r>
              <w:t>-</w:t>
            </w:r>
          </w:p>
        </w:tc>
      </w:tr>
      <w:tr w14:paraId="27E9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8EFF11">
            <w:pPr>
              <w:pStyle w:val="22"/>
            </w:pPr>
            <w:r>
              <w:t>1.2 体位固定要求：・T5 以上转移：手臂朝下，头颈肩热塑膜 + 个性化头膝支撑・T5 及以下转移：双臂上举 α 架 / 真空架 + 膝支撑・附加固定装置由医院自行决定</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A67D52">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F2EAA5">
            <w:pPr>
              <w:pStyle w:val="22"/>
            </w:pPr>
            <w:r>
              <w:t>-</w:t>
            </w:r>
          </w:p>
        </w:tc>
      </w:tr>
      <w:tr w14:paraId="5E45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29AC8D">
            <w:pPr>
              <w:pStyle w:val="22"/>
            </w:pPr>
            <w:r>
              <w:t>1.3 定位 CT 范围：PTV 上下至少 2 个椎体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B1C0D3">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D1A2C9">
            <w:pPr>
              <w:pStyle w:val="22"/>
            </w:pPr>
            <w:r>
              <w:t>-</w:t>
            </w:r>
          </w:p>
        </w:tc>
      </w:tr>
      <w:tr w14:paraId="1E1F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26F4E5">
            <w:pPr>
              <w:pStyle w:val="22"/>
            </w:pPr>
            <w:r>
              <w:t>1.4 计划制定：平扫 CT（层厚≤2mm）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848FA2">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3C911D">
            <w:pPr>
              <w:pStyle w:val="22"/>
            </w:pPr>
            <w:r>
              <w:t>-</w:t>
            </w:r>
          </w:p>
        </w:tc>
      </w:tr>
      <w:tr w14:paraId="6B97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204FE8">
            <w:pPr>
              <w:pStyle w:val="22"/>
            </w:pPr>
            <w:r>
              <w:t>1.5 基于层厚≤3mm 的脊柱 MRI 设计计划，并包含以下序列：轴向 T2 序列（用于脊髓识别），T1 序列及钆增强 T1 序列（用于 GTV 精准定位）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1F6D30">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9F527C">
            <w:pPr>
              <w:pStyle w:val="22"/>
            </w:pPr>
            <w:r>
              <w:t>-</w:t>
            </w:r>
          </w:p>
        </w:tc>
      </w:tr>
      <w:tr w14:paraId="0056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0755D2">
            <w:pPr>
              <w:pStyle w:val="22"/>
            </w:pPr>
            <w:r>
              <w:t>1.6 脊柱 MRI 扫描应在治疗前 3 周内采用定制固定装置完成扫描，并符合 SPINO 质量标准的技术规范要求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DA51F5">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AF5F26">
            <w:pPr>
              <w:pStyle w:val="22"/>
            </w:pPr>
            <w:r>
              <w:t>-</w:t>
            </w:r>
          </w:p>
        </w:tc>
      </w:tr>
      <w:tr w14:paraId="2A5F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BBA8A6">
            <w:pPr>
              <w:pStyle w:val="22"/>
            </w:pPr>
            <w:r>
              <w:t>1.7 需先完成 CT/MRI 刚性配准（聚焦感兴趣区）校准，再行靶区勾画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09C5A5">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49E5AB">
            <w:pPr>
              <w:pStyle w:val="22"/>
            </w:pPr>
            <w:r>
              <w:t>-</w:t>
            </w:r>
          </w:p>
        </w:tc>
      </w:tr>
      <w:tr w14:paraId="4A6B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9D1CA0">
            <w:pPr>
              <w:pStyle w:val="22"/>
            </w:pPr>
            <w:r>
              <w:t>2 非脊柱骨转移专项要求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FC2C4F">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7891C1">
            <w:pPr>
              <w:pStyle w:val="22"/>
            </w:pPr>
            <w:r>
              <w:t>-</w:t>
            </w:r>
          </w:p>
        </w:tc>
      </w:tr>
      <w:tr w14:paraId="3382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25C6BF">
            <w:pPr>
              <w:pStyle w:val="22"/>
            </w:pPr>
            <w:r>
              <w:t>2.1 必须采用适配靶区位置的定制固定装置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1EF932">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E4225D">
            <w:pPr>
              <w:pStyle w:val="22"/>
            </w:pPr>
            <w:r>
              <w:t>-</w:t>
            </w:r>
          </w:p>
        </w:tc>
      </w:tr>
      <w:tr w14:paraId="4EDA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5B7632">
            <w:pPr>
              <w:pStyle w:val="22"/>
            </w:pPr>
            <w:r>
              <w:t>2.2 计划制定：平扫 CT（层厚≤2mm，禁用造影剂）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A8F1A4">
            <w:pPr>
              <w:pStyle w:val="22"/>
            </w:pPr>
            <w:r>
              <w:t>2B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59E318">
            <w:pPr>
              <w:pStyle w:val="22"/>
            </w:pPr>
            <w:r>
              <w:t>-</w:t>
            </w:r>
          </w:p>
        </w:tc>
      </w:tr>
      <w:tr w14:paraId="1F4C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C2C771">
            <w:pPr>
              <w:pStyle w:val="22"/>
            </w:pPr>
            <w:r>
              <w:t>2.3 定位 CT 范围：PTV 上下≥10cm 且包含整个受累骨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C0B1E2">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D79CDA">
            <w:pPr>
              <w:pStyle w:val="22"/>
            </w:pPr>
            <w:r>
              <w:t>-</w:t>
            </w:r>
          </w:p>
        </w:tc>
      </w:tr>
      <w:tr w14:paraId="01C0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7368A8">
            <w:pPr>
              <w:pStyle w:val="22"/>
            </w:pPr>
            <w:r>
              <w:t>2.4 运动部位（如肋骨）需实施 4D-CT 扫描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7AFE07">
            <w:pPr>
              <w:pStyle w:val="22"/>
            </w:pPr>
            <w:r>
              <w:t>2A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D77E7D">
            <w:pPr>
              <w:pStyle w:val="22"/>
            </w:pPr>
            <w:r>
              <w:t>-</w:t>
            </w:r>
          </w:p>
        </w:tc>
      </w:tr>
      <w:tr w14:paraId="0E20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EA94F3">
            <w:pPr>
              <w:pStyle w:val="22"/>
            </w:pPr>
            <w:r>
              <w:t>2.5 计划 CT/MRI 配准时，允许使用≤3 月内诊断性 MRI（无需定制固定）</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AC6B7A">
            <w:pPr>
              <w:pStyle w:val="22"/>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794841">
            <w:pPr>
              <w:pStyle w:val="22"/>
            </w:pPr>
            <w:r>
              <w:t>-</w:t>
            </w:r>
          </w:p>
        </w:tc>
      </w:tr>
    </w:tbl>
    <w:p w14:paraId="5FE6424B">
      <w:pPr>
        <w:pStyle w:val="3"/>
      </w:pPr>
      <w:bookmarkStart w:id="49" w:name="_Toc7100"/>
      <w:r>
        <w:t>10.3 靶区勾画及剂量处方</w:t>
      </w:r>
      <w:bookmarkEnd w:id="49"/>
    </w:p>
    <w:p w14:paraId="10809967">
      <w:pPr>
        <w:pStyle w:val="22"/>
      </w:pPr>
      <w:r>
        <w:t>建议融合 CT、MRI、PET-CT 等影像，采用多模态影像融合技术，由资深医生精细勾画靶区和危及器官；医生勾画后，需经上级医生审核；资深医生根据病情兼顾疗效与安全给定靶区剂量及危及器官限制的剂量处方（详见第 9 章）。</w:t>
      </w:r>
    </w:p>
    <w:p w14:paraId="13AD41C4">
      <w:pPr>
        <w:pStyle w:val="3"/>
      </w:pPr>
      <w:bookmarkStart w:id="50" w:name="_Toc9380"/>
      <w:r>
        <w:t>10.4 计划设计 (plan design)</w:t>
      </w:r>
      <w:bookmarkEnd w:id="50"/>
    </w:p>
    <w:p w14:paraId="67162887">
      <w:pPr>
        <w:pStyle w:val="22"/>
        <w:numPr>
          <w:ilvl w:val="0"/>
          <w:numId w:val="1"/>
        </w:numPr>
      </w:pPr>
      <w:r>
        <w:t>物理师根据医师处方优化立体定向放疗计划，达到医师处方的剂量雕刻要求，在确保正常组织安全的情况下，尽量提高肿瘤剂量；</w:t>
      </w:r>
    </w:p>
    <w:p w14:paraId="0AD17AC1">
      <w:pPr>
        <w:pStyle w:val="22"/>
        <w:numPr>
          <w:ilvl w:val="0"/>
          <w:numId w:val="1"/>
        </w:numPr>
      </w:pPr>
      <w:r>
        <w:t>剂量梯度优化：通过≤2mm³ 剂量网格实现 “刀锋” 般的剂量分布，即高度聚集的剂量峰和急剧递减的衰减区，确保 PTV 覆盖度 [48]；</w:t>
      </w:r>
    </w:p>
    <w:p w14:paraId="58898DCA">
      <w:pPr>
        <w:pStyle w:val="22"/>
        <w:numPr>
          <w:ilvl w:val="0"/>
          <w:numId w:val="1"/>
        </w:numPr>
      </w:pPr>
      <w:r>
        <w:t>射束参数规范：推荐 5-9 个非共面射野或容积旋转调强技术（VMAT），同时使用限光筒等技术，提升剂量适形度和梯度 [49]；</w:t>
      </w:r>
    </w:p>
    <w:p w14:paraId="390E9DAC">
      <w:pPr>
        <w:pStyle w:val="22"/>
        <w:numPr>
          <w:ilvl w:val="0"/>
          <w:numId w:val="1"/>
        </w:numPr>
      </w:pPr>
      <w:r>
        <w:t>组织异质性校正：剂量计算需考虑组织不均匀性，特别是胃肠区域等敏感部位附近，以提高计划准确性；遵循 RTOG1112 等指南，确保剂量计算反映真实人体环境；</w:t>
      </w:r>
    </w:p>
    <w:p w14:paraId="0A4583E7">
      <w:pPr>
        <w:pStyle w:val="22"/>
        <w:numPr>
          <w:ilvl w:val="0"/>
          <w:numId w:val="1"/>
        </w:numPr>
      </w:pPr>
      <w:r>
        <w:t>计划验证评估：通过剂量覆盖率、适形指数（CI）、梯度指数（GI）、R50%、D2cm 等评估计划有效性和安全性 [50]；要求≥95% PTV 接收处方剂量，≥99% PTV 接收 90% 处方剂量；CI 衡量剂量分布与靶区形状的契合度；GI 评估剂量跌落速率；R50% 为 V50% 与 PTV 体积比值；D2cm 反映剂量扩散程度；靶区内允许 110%-150% 处方剂量的 “热点”，但此热点仅限于 ITV 内且不导致不可逆损伤；</w:t>
      </w:r>
    </w:p>
    <w:p w14:paraId="02533908">
      <w:pPr>
        <w:pStyle w:val="22"/>
        <w:numPr>
          <w:ilvl w:val="0"/>
          <w:numId w:val="1"/>
        </w:numPr>
      </w:pPr>
      <w:r>
        <w:t>放疗计划必须在科室内部进行强制性的同行评议，由多位医生和物理师共同审核 DVH 图、剂量分布和危及器官限量；确保计划从 TPS 准确无误地传输到治疗记录与验证系统（R&amp;V）和治疗机。</w:t>
      </w:r>
    </w:p>
    <w:p w14:paraId="2108BC76">
      <w:pPr>
        <w:pStyle w:val="3"/>
      </w:pPr>
      <w:bookmarkStart w:id="51" w:name="_Toc29953"/>
      <w:r>
        <w:t>10.5 计划审核 (Plan Review)</w:t>
      </w:r>
      <w:bookmarkEnd w:id="51"/>
    </w:p>
    <w:p w14:paraId="6C94A056">
      <w:pPr>
        <w:pStyle w:val="22"/>
      </w:pPr>
      <w:r>
        <w:t>放疗计划必须在科室内部进行强制性的同行评议，由经验丰富的上级医生和物理师共同审核 DVH 图、剂量分布和危及器官限量。</w:t>
      </w:r>
    </w:p>
    <w:p w14:paraId="5E599BE7">
      <w:pPr>
        <w:pStyle w:val="3"/>
      </w:pPr>
      <w:bookmarkStart w:id="52" w:name="_Toc16156"/>
      <w:r>
        <w:t>10.6 剂量验证</w:t>
      </w:r>
      <w:bookmarkEnd w:id="52"/>
    </w:p>
    <w:p w14:paraId="2B7C98EF">
      <w:pPr>
        <w:pStyle w:val="22"/>
        <w:numPr>
          <w:ilvl w:val="0"/>
          <w:numId w:val="1"/>
        </w:numPr>
      </w:pPr>
      <w:r>
        <w:t>计划审核通过后，在放疗实施前需采用专用模体对放疗计划进行剂量验证；须在非患者特异性模体上完整执行整个治疗计划；</w:t>
      </w:r>
    </w:p>
    <w:p w14:paraId="4FE9EA26">
      <w:pPr>
        <w:pStyle w:val="22"/>
        <w:numPr>
          <w:ilvl w:val="0"/>
          <w:numId w:val="1"/>
        </w:numPr>
      </w:pPr>
      <w:r>
        <w:t>治疗前剂量验证必须使用第二套经过独立验证的计算软件或方法（如基于 Clarkson 积分算法的专用验证软件），对 TPS 计算的每个射野 / 弧的机器跳数（MU）进行独立复核，两者差异应在 ±3% 以内；</w:t>
      </w:r>
    </w:p>
    <w:p w14:paraId="40FF8AA0">
      <w:pPr>
        <w:pStyle w:val="22"/>
        <w:numPr>
          <w:ilvl w:val="0"/>
          <w:numId w:val="1"/>
        </w:numPr>
      </w:pPr>
      <w:r>
        <w:t>模体测量内容包括绝对点剂量（如用微型电离室测量）和相对剂量分布（如用二维探测器矩阵测量 Gamma 通过率）；通过标准：Gamma 分析（如 2%/2mm, 10% 阈值）的通过率通常要求 &gt; 90-95%，点剂量差异必须 &lt; 3%。</w:t>
      </w:r>
    </w:p>
    <w:p w14:paraId="6BD2E6C9">
      <w:pPr>
        <w:pStyle w:val="3"/>
      </w:pPr>
      <w:bookmarkStart w:id="53" w:name="_Toc31204"/>
      <w:r>
        <w:t>10.7 位置验证</w:t>
      </w:r>
      <w:bookmarkEnd w:id="53"/>
    </w:p>
    <w:p w14:paraId="5DA777D0">
      <w:pPr>
        <w:pStyle w:val="22"/>
        <w:numPr>
          <w:ilvl w:val="0"/>
          <w:numId w:val="1"/>
        </w:numPr>
      </w:pPr>
      <w:r>
        <w:t>如放疗计划中心点与定位点不同，剂量验证通过后需采用 CT 定位机或模拟定位机对计划中心点进行验证，误差超过 2mm 要查找原因，必要时重新定位；</w:t>
      </w:r>
    </w:p>
    <w:p w14:paraId="13372EC3">
      <w:pPr>
        <w:pStyle w:val="22"/>
        <w:numPr>
          <w:ilvl w:val="0"/>
          <w:numId w:val="1"/>
        </w:numPr>
      </w:pPr>
      <w:r>
        <w:t>如放疗计划中心点与定位点相同，可直接采用机载影像进行位置验证（如 CBCT）。</w:t>
      </w:r>
    </w:p>
    <w:p w14:paraId="686281A9">
      <w:pPr>
        <w:pStyle w:val="3"/>
      </w:pPr>
      <w:bookmarkStart w:id="54" w:name="_Toc24119"/>
      <w:r>
        <w:t>10.8 计划传输 (Plan Transfer)</w:t>
      </w:r>
      <w:bookmarkEnd w:id="54"/>
    </w:p>
    <w:p w14:paraId="70FB5966">
      <w:pPr>
        <w:pStyle w:val="22"/>
      </w:pPr>
      <w:r>
        <w:t>确保计划从 TPS 准确无误地传输到治疗记录与验证系统（R&amp;V）和治疗机。</w:t>
      </w:r>
    </w:p>
    <w:p w14:paraId="61D74C06">
      <w:pPr>
        <w:pStyle w:val="3"/>
      </w:pPr>
      <w:bookmarkStart w:id="55" w:name="_Toc4974"/>
      <w:r>
        <w:t>10.9 首次治疗摆位 (Initial Setup)</w:t>
      </w:r>
      <w:bookmarkEnd w:id="55"/>
    </w:p>
    <w:p w14:paraId="28490D63">
      <w:pPr>
        <w:pStyle w:val="22"/>
        <w:numPr>
          <w:ilvl w:val="0"/>
          <w:numId w:val="1"/>
        </w:numPr>
      </w:pPr>
      <w:r>
        <w:t>采用六维床进行基于骨性标志和 / 或软组织匹配的精细校正（6 个自由度：3 平移 + 3 旋转）；</w:t>
      </w:r>
    </w:p>
    <w:p w14:paraId="7D12C6AE">
      <w:pPr>
        <w:pStyle w:val="22"/>
        <w:numPr>
          <w:ilvl w:val="0"/>
          <w:numId w:val="1"/>
        </w:numPr>
      </w:pPr>
      <w:r>
        <w:t>校正后，必须再次拍摄验证片或 CBCT，确认误差已修正到可接受范围（通常 &lt; 1mm）；</w:t>
      </w:r>
    </w:p>
    <w:p w14:paraId="713742E7">
      <w:pPr>
        <w:pStyle w:val="22"/>
        <w:numPr>
          <w:ilvl w:val="0"/>
          <w:numId w:val="1"/>
        </w:numPr>
      </w:pPr>
      <w:r>
        <w:t>SRS/SBRT 每次治疗前都必须进行影像引导（如 CBCT）。</w:t>
      </w:r>
    </w:p>
    <w:p w14:paraId="25CCD19C">
      <w:pPr>
        <w:pStyle w:val="3"/>
      </w:pPr>
      <w:bookmarkStart w:id="56" w:name="_Toc11429"/>
      <w:r>
        <w:t>10.10 肿瘤位置的监测</w:t>
      </w:r>
      <w:bookmarkEnd w:id="56"/>
    </w:p>
    <w:p w14:paraId="5E6859A2">
      <w:pPr>
        <w:pStyle w:val="22"/>
        <w:numPr>
          <w:ilvl w:val="0"/>
          <w:numId w:val="1"/>
        </w:numPr>
      </w:pPr>
      <w:r>
        <w:t>胸式呼吸或腹式呼吸对肝的位置影响很大，须采用四维 CT（4DCT）进行模拟定位，并在治疗时尽量使用呼吸门控 (Gating) 或实时肿瘤追踪 (Real-time Tumor Tracking, 如 Synchrony) 技术；</w:t>
      </w:r>
    </w:p>
    <w:p w14:paraId="12AAB8BA">
      <w:pPr>
        <w:pStyle w:val="22"/>
        <w:numPr>
          <w:ilvl w:val="0"/>
          <w:numId w:val="1"/>
        </w:numPr>
      </w:pPr>
      <w:r>
        <w:t>无呼吸控制设备需采用腹压板等物理限制技术，尽量减少腹式呼吸运动范围。</w:t>
      </w:r>
    </w:p>
    <w:p w14:paraId="5550B7E4">
      <w:pPr>
        <w:pStyle w:val="3"/>
      </w:pPr>
      <w:bookmarkStart w:id="57" w:name="_Toc22555"/>
      <w:r>
        <w:t>10.11 分次内运动管理（Intrafraction Motion Management）</w:t>
      </w:r>
      <w:bookmarkEnd w:id="57"/>
    </w:p>
    <w:p w14:paraId="4A1A33DB">
      <w:pPr>
        <w:pStyle w:val="22"/>
      </w:pPr>
      <w:r>
        <w:t>在治疗中可能需要进行中期 CBCT 扫描，以监测患者可能发生的移动（如咳嗽、肠蠕动）。</w:t>
      </w:r>
    </w:p>
    <w:p w14:paraId="2EE9ABB2">
      <w:pPr>
        <w:pStyle w:val="3"/>
      </w:pPr>
      <w:bookmarkStart w:id="58" w:name="_Toc19291"/>
      <w:r>
        <w:t>10.12 安全核对（Time-out）</w:t>
      </w:r>
      <w:bookmarkEnd w:id="58"/>
    </w:p>
    <w:p w14:paraId="40D673C8">
      <w:pPr>
        <w:pStyle w:val="22"/>
      </w:pPr>
      <w:r>
        <w:t>在照射开始前，执行强制性的 “时间暂停”；治疗团队（至少两名人员）共同口头核对患者身份、治疗部位、计划名称、预设跳数、能量、门控参数等所有关键信息。</w:t>
      </w:r>
    </w:p>
    <w:p w14:paraId="73C52AC1">
      <w:pPr>
        <w:pStyle w:val="3"/>
      </w:pPr>
      <w:bookmarkStart w:id="59" w:name="_Toc16357"/>
      <w:r>
        <w:t>10.13 治疗中验证 (In-treatment Verification)</w:t>
      </w:r>
      <w:bookmarkEnd w:id="59"/>
    </w:p>
    <w:p w14:paraId="62159D92">
      <w:pPr>
        <w:pStyle w:val="22"/>
        <w:numPr>
          <w:ilvl w:val="0"/>
          <w:numId w:val="1"/>
        </w:numPr>
      </w:pPr>
      <w:r>
        <w:t>治疗中图像引导放疗 (IGRT)：治疗中器官位移需拍摄 KV-CBCT 或 MV-CT 等图像，与计划 CT 匹配，实时校正摆位误差；</w:t>
      </w:r>
    </w:p>
    <w:p w14:paraId="0A9E1C1D">
      <w:pPr>
        <w:pStyle w:val="22"/>
        <w:numPr>
          <w:ilvl w:val="0"/>
          <w:numId w:val="1"/>
        </w:numPr>
      </w:pPr>
      <w:r>
        <w:t>实时监控 MLC 位置、机器跳数和呼吸运动轨迹等参数是否与计划一致。</w:t>
      </w:r>
    </w:p>
    <w:p w14:paraId="6D30667C">
      <w:pPr>
        <w:pStyle w:val="3"/>
      </w:pPr>
      <w:bookmarkStart w:id="60" w:name="_Toc10713"/>
      <w:r>
        <w:t>10.14 自适应装置</w:t>
      </w:r>
      <w:bookmarkEnd w:id="60"/>
    </w:p>
    <w:p w14:paraId="3763F78A">
      <w:pPr>
        <w:pStyle w:val="22"/>
      </w:pPr>
      <w:r>
        <w:t>靶区及体态变化较大时，有条件的单位可实施自适应放疗，每次治疗重新修订治疗计划，最大程度确保治疗精准，减少治疗失误。</w:t>
      </w:r>
    </w:p>
    <w:p w14:paraId="4F8F7E12">
      <w:pPr>
        <w:pStyle w:val="3"/>
      </w:pPr>
      <w:bookmarkStart w:id="61" w:name="_Toc15861"/>
      <w:r>
        <w:t>10.15 数据纪录、存档</w:t>
      </w:r>
      <w:bookmarkEnd w:id="61"/>
    </w:p>
    <w:p w14:paraId="2360F713">
      <w:pPr>
        <w:pStyle w:val="22"/>
      </w:pPr>
      <w:r>
        <w:t>机器、治疗技术、部位、参数及剂量等放疗数据如实记录，经医生、物理师、技术员签字后，保存完好并电子化存档。</w:t>
      </w:r>
    </w:p>
    <w:p w14:paraId="6D3A5CF4">
      <w:pPr>
        <w:pStyle w:val="3"/>
      </w:pPr>
      <w:bookmarkStart w:id="62" w:name="_Toc20903"/>
      <w:r>
        <w:t>10.16 疗效评估及随访</w:t>
      </w:r>
      <w:bookmarkEnd w:id="62"/>
    </w:p>
    <w:p w14:paraId="2C2359F4">
      <w:pPr>
        <w:pStyle w:val="22"/>
        <w:numPr>
          <w:ilvl w:val="0"/>
          <w:numId w:val="1"/>
        </w:numPr>
      </w:pPr>
      <w:r>
        <w:t>患者治疗结束后 2-3 月复查影像评估近期疗效；随访频率、复查内容根据随访结果决定；</w:t>
      </w:r>
    </w:p>
    <w:p w14:paraId="2862E870">
      <w:pPr>
        <w:pStyle w:val="22"/>
        <w:numPr>
          <w:ilvl w:val="0"/>
          <w:numId w:val="1"/>
        </w:numPr>
      </w:pPr>
      <w:r>
        <w:t>建议使用 RESIST1.1 标准评价近期疗效，CTCAE5.0 评估放疗期间和放疗后的毒性反应；</w:t>
      </w:r>
    </w:p>
    <w:p w14:paraId="157B66B3">
      <w:pPr>
        <w:pStyle w:val="22"/>
        <w:numPr>
          <w:ilvl w:val="0"/>
          <w:numId w:val="1"/>
        </w:numPr>
      </w:pPr>
      <w:r>
        <w:t>肺癌 SBRT 后建议第 1 次随访在放疗后 4~6 周评估急性毒性，后续随访为第 1 年每 3 个月 1 次，第 2 年每 3—6 个月 1 次，以后每年每 6 个月 1 次，至少随访 5 年，5 年后可每年复查一次；</w:t>
      </w:r>
    </w:p>
    <w:p w14:paraId="3626CAE8">
      <w:pPr>
        <w:pStyle w:val="22"/>
        <w:numPr>
          <w:ilvl w:val="0"/>
          <w:numId w:val="1"/>
        </w:numPr>
      </w:pPr>
      <w:r>
        <w:t>用实体瘤临床疗效评价标准 RECIST1.1 评估肿瘤情况，复查项目通常包括：体格检查、肿瘤标志物及必要的影像学检查（如胸腹 CT、脑 MRI 等）及肺功能检查等。</w:t>
      </w:r>
    </w:p>
    <w:p w14:paraId="224C62AD">
      <w:pPr>
        <w:pStyle w:val="22"/>
      </w:pPr>
    </w:p>
    <w:p w14:paraId="6BCE5CA6">
      <w:pPr>
        <w:pBdr>
          <w:bottom w:val="single" w:color="auto" w:sz="6" w:space="1"/>
        </w:pBdr>
      </w:pPr>
    </w:p>
    <w:p w14:paraId="05903885">
      <w:pPr>
        <w:pStyle w:val="2"/>
      </w:pPr>
      <w:bookmarkStart w:id="63" w:name="_Toc5295"/>
      <w:r>
        <w:t>11 质量控制</w:t>
      </w:r>
      <w:bookmarkEnd w:id="63"/>
    </w:p>
    <w:p w14:paraId="4AFD6709">
      <w:pPr>
        <w:pStyle w:val="22"/>
      </w:pPr>
      <w:r>
        <w:t>立体定向放射外科治疗（SBRT）的治疗流程中必须嵌入多重 “冗余” 核查机制，确保任何一个环节的单点错误都能被及时发现，保障呼吸控制及影像引导下的立体定向放射治疗质量。</w:t>
      </w:r>
    </w:p>
    <w:p w14:paraId="13ECF96B">
      <w:pPr>
        <w:pStyle w:val="3"/>
      </w:pPr>
      <w:bookmarkStart w:id="64" w:name="_Toc18092"/>
      <w:r>
        <w:t>11.1 人员质控</w:t>
      </w:r>
      <w:bookmarkEnd w:id="64"/>
    </w:p>
    <w:p w14:paraId="1AC4BA50">
      <w:pPr>
        <w:pStyle w:val="22"/>
        <w:numPr>
          <w:ilvl w:val="0"/>
          <w:numId w:val="1"/>
        </w:numPr>
      </w:pPr>
      <w:r>
        <w:t>建立 “分层培训 + 持证上岗 + 持续考核” 的管理模式；</w:t>
      </w:r>
    </w:p>
    <w:p w14:paraId="52861088">
      <w:pPr>
        <w:pStyle w:val="22"/>
        <w:numPr>
          <w:ilvl w:val="0"/>
          <w:numId w:val="1"/>
        </w:numPr>
      </w:pPr>
      <w:r>
        <w:t>放疗科医师需具备肿瘤多学科诊疗思维，熟练掌握 SBRT 适应证筛选，能结合影像引导技术调整治疗方案；</w:t>
      </w:r>
    </w:p>
    <w:p w14:paraId="38C703C1">
      <w:pPr>
        <w:pStyle w:val="22"/>
        <w:numPr>
          <w:ilvl w:val="0"/>
          <w:numId w:val="1"/>
        </w:numPr>
      </w:pPr>
      <w:r>
        <w:t>物理师需通过放疗物理师资格认证，精通剂量计算算法（如蒙特卡洛算法）、计划优化技巧及放疗相关设备质控；</w:t>
      </w:r>
    </w:p>
    <w:p w14:paraId="1EEBD741">
      <w:pPr>
        <w:pStyle w:val="22"/>
        <w:numPr>
          <w:ilvl w:val="0"/>
          <w:numId w:val="1"/>
        </w:numPr>
      </w:pPr>
      <w:r>
        <w:t>技师团队需接受专项操作培训，考核通过后方可独立执行治疗，内容涵盖直线加速器摆位精度（误差需≤1mm）、影像设备（如 CBCT）图像匹配流程等；</w:t>
      </w:r>
    </w:p>
    <w:p w14:paraId="2FB7D36F">
      <w:pPr>
        <w:pStyle w:val="22"/>
        <w:numPr>
          <w:ilvl w:val="0"/>
          <w:numId w:val="1"/>
        </w:numPr>
      </w:pPr>
      <w:r>
        <w:t>科室定期组织病例讨论会，分析质控偏差案例，开展外院专家质控督导，确保人员能力与技术发展同步。</w:t>
      </w:r>
    </w:p>
    <w:p w14:paraId="665CF45A">
      <w:pPr>
        <w:pStyle w:val="3"/>
      </w:pPr>
      <w:bookmarkStart w:id="65" w:name="_Toc7975"/>
      <w:r>
        <w:t>11.2 设备质控</w:t>
      </w:r>
      <w:bookmarkEnd w:id="65"/>
    </w:p>
    <w:p w14:paraId="61DD7873">
      <w:pPr>
        <w:pStyle w:val="22"/>
      </w:pPr>
      <w:r>
        <w:t>建立 “日常 + 月度 + 年度” 的三级质控体系，核心设备直线加速器的质控要求如下：</w:t>
      </w:r>
    </w:p>
    <w:p w14:paraId="12EE7D26">
      <w:pPr>
        <w:pStyle w:val="4"/>
      </w:pPr>
      <w:bookmarkStart w:id="66" w:name="_Toc27469"/>
      <w:r>
        <w:t>11.2.1 日常质控</w:t>
      </w:r>
      <w:bookmarkEnd w:id="66"/>
    </w:p>
    <w:p w14:paraId="6311D086">
      <w:pPr>
        <w:pStyle w:val="22"/>
        <w:numPr>
          <w:ilvl w:val="0"/>
          <w:numId w:val="1"/>
        </w:numPr>
      </w:pPr>
      <w:r>
        <w:t>激光定位灯校准（偏差≤1mm）；</w:t>
      </w:r>
    </w:p>
    <w:p w14:paraId="3CAFB1E8">
      <w:pPr>
        <w:pStyle w:val="22"/>
        <w:numPr>
          <w:ilvl w:val="0"/>
          <w:numId w:val="1"/>
        </w:numPr>
      </w:pPr>
      <w:r>
        <w:t>准直器射野显示器校准（偏差≤1mm）；</w:t>
      </w:r>
    </w:p>
    <w:p w14:paraId="7E3FA1F5">
      <w:pPr>
        <w:pStyle w:val="22"/>
        <w:numPr>
          <w:ilvl w:val="0"/>
          <w:numId w:val="1"/>
        </w:numPr>
      </w:pPr>
      <w:r>
        <w:t>立体定位装置校准（功能正常）。</w:t>
      </w:r>
    </w:p>
    <w:p w14:paraId="5770FD69">
      <w:pPr>
        <w:pStyle w:val="4"/>
      </w:pPr>
      <w:bookmarkStart w:id="67" w:name="_Toc25418"/>
      <w:r>
        <w:t>11.2.2 月度质控</w:t>
      </w:r>
      <w:bookmarkEnd w:id="67"/>
    </w:p>
    <w:p w14:paraId="481021EB">
      <w:pPr>
        <w:pStyle w:val="22"/>
        <w:numPr>
          <w:ilvl w:val="0"/>
          <w:numId w:val="1"/>
        </w:numPr>
      </w:pPr>
      <w:r>
        <w:t>治疗床位置显示器校准（偏差≤1mm/0.5°）；</w:t>
      </w:r>
    </w:p>
    <w:p w14:paraId="042A9A6C">
      <w:pPr>
        <w:pStyle w:val="22"/>
        <w:numPr>
          <w:ilvl w:val="0"/>
          <w:numId w:val="1"/>
        </w:numPr>
      </w:pPr>
      <w:r>
        <w:t>定位激光灯校准（偏差＜±1mm）。</w:t>
      </w:r>
    </w:p>
    <w:p w14:paraId="3C586C62">
      <w:pPr>
        <w:pStyle w:val="4"/>
      </w:pPr>
      <w:bookmarkStart w:id="68" w:name="_Toc3702"/>
      <w:r>
        <w:t>11.2.3 年度质控</w:t>
      </w:r>
      <w:bookmarkEnd w:id="68"/>
    </w:p>
    <w:p w14:paraId="64A02834">
      <w:pPr>
        <w:pStyle w:val="22"/>
        <w:numPr>
          <w:ilvl w:val="0"/>
          <w:numId w:val="1"/>
        </w:numPr>
      </w:pPr>
      <w:r>
        <w:t>SRS 弧形旋转模式（范围：0.5-10MU/deg）校准（剂量输出时监测室设定为 1.0M 或 2%（以较高者为佳），剂量输出时设定的机架弧度 1.0MU 或 2%（以较高者为佳））；</w:t>
      </w:r>
    </w:p>
    <w:p w14:paraId="2410C3E9">
      <w:pPr>
        <w:pStyle w:val="22"/>
        <w:numPr>
          <w:ilvl w:val="0"/>
          <w:numId w:val="1"/>
        </w:numPr>
      </w:pPr>
      <w:r>
        <w:t>辐射和机械等中心重合一致校准（偏离基线偏差≤±1mm）；</w:t>
      </w:r>
    </w:p>
    <w:p w14:paraId="455D37E3">
      <w:pPr>
        <w:pStyle w:val="22"/>
        <w:numPr>
          <w:ilvl w:val="0"/>
          <w:numId w:val="1"/>
        </w:numPr>
      </w:pPr>
      <w:r>
        <w:t>立体定位辅助程序、锁定系统等校准（功能正常）。</w:t>
      </w:r>
    </w:p>
    <w:p w14:paraId="285AC96D">
      <w:pPr>
        <w:pStyle w:val="4"/>
      </w:pPr>
      <w:bookmarkStart w:id="69" w:name="_Toc6716"/>
      <w:r>
        <w:t>11.2.4 其他设备质控</w:t>
      </w:r>
      <w:bookmarkEnd w:id="69"/>
    </w:p>
    <w:p w14:paraId="53275BEC">
      <w:pPr>
        <w:pStyle w:val="22"/>
      </w:pPr>
      <w:r>
        <w:t>CT 定位机、影像引导设备（如 CBCT、MRI）、治疗计划系统等应定期进行校准，所有质控数据需实时记录，发现异常立即停机检修，待复检合格后方可恢复使用。</w:t>
      </w:r>
    </w:p>
    <w:p w14:paraId="42C120A6">
      <w:pPr>
        <w:pStyle w:val="3"/>
      </w:pPr>
      <w:bookmarkStart w:id="70" w:name="_Toc15098"/>
      <w:r>
        <w:t>11.3 流程质控</w:t>
      </w:r>
      <w:bookmarkEnd w:id="70"/>
    </w:p>
    <w:p w14:paraId="4F68C792">
      <w:pPr>
        <w:pStyle w:val="22"/>
      </w:pPr>
      <w:r>
        <w:t>采用 “五化” 管理模式，确保放疗流程规范高效：</w:t>
      </w:r>
    </w:p>
    <w:p w14:paraId="3D7DAFA5">
      <w:pPr>
        <w:pStyle w:val="4"/>
      </w:pPr>
      <w:bookmarkStart w:id="71" w:name="_Toc2236"/>
      <w:r>
        <w:t>11.3.1 量化</w:t>
      </w:r>
      <w:bookmarkEnd w:id="71"/>
    </w:p>
    <w:p w14:paraId="7218CB06">
      <w:pPr>
        <w:pStyle w:val="22"/>
      </w:pPr>
      <w:r>
        <w:t>各工作岗位人员及设备使用情况均数字量化，对科内人员、设备、病房月工作量进行量化，使各岗位工作具体、明确、合理，可清晰度量、随时调控，确保工作高效有序。</w:t>
      </w:r>
    </w:p>
    <w:p w14:paraId="47C2C2D8">
      <w:pPr>
        <w:pStyle w:val="4"/>
      </w:pPr>
      <w:bookmarkStart w:id="72" w:name="_Toc23283"/>
      <w:r>
        <w:t>11.3.2 细化</w:t>
      </w:r>
      <w:bookmarkEnd w:id="72"/>
    </w:p>
    <w:p w14:paraId="579E98AB">
      <w:pPr>
        <w:pStyle w:val="22"/>
      </w:pPr>
      <w:r>
        <w:t>放射治疗流程所涉及的每一步均细致到位，条理步骤清晰明确，包括工作流程、规章制度、岗位职责、操作规程等；设计温馨提示卡、醒目的治疗室序号和地标，方便患者寻找；治疗前对患者进行心理疏导和全方位宣教，减轻患者紧张恐惧情绪，提高依从性。</w:t>
      </w:r>
    </w:p>
    <w:p w14:paraId="3107375D">
      <w:pPr>
        <w:pStyle w:val="4"/>
      </w:pPr>
      <w:bookmarkStart w:id="73" w:name="_Toc3978"/>
      <w:r>
        <w:t>11.3.3 专业化</w:t>
      </w:r>
      <w:bookmarkEnd w:id="73"/>
    </w:p>
    <w:p w14:paraId="0E2D4313">
      <w:pPr>
        <w:pStyle w:val="22"/>
      </w:pPr>
      <w:r>
        <w:t>放疗流程的每一步细化标准均体现专业水平，过程细腻不繁琐、言简意赅，突出环节要害，既保证质量又提高效率；每一个环节严格按照操作规程执行，将放疗误差降到最低。</w:t>
      </w:r>
    </w:p>
    <w:p w14:paraId="64A88E7C">
      <w:pPr>
        <w:pStyle w:val="4"/>
      </w:pPr>
      <w:bookmarkStart w:id="74" w:name="_Toc5886"/>
      <w:r>
        <w:t>11.3.4 最优化</w:t>
      </w:r>
      <w:bookmarkEnd w:id="74"/>
    </w:p>
    <w:p w14:paraId="1B2944C7">
      <w:pPr>
        <w:pStyle w:val="22"/>
      </w:pPr>
      <w:r>
        <w:t>最终治疗计划实现 “三低一高”：正常组织器官受量最低、患者近期及远期毒反应最低、患者治疗时间和费用最低、肿瘤剂量最高。</w:t>
      </w:r>
    </w:p>
    <w:p w14:paraId="3C4AE177">
      <w:pPr>
        <w:pStyle w:val="4"/>
      </w:pPr>
      <w:bookmarkStart w:id="75" w:name="_Toc23591"/>
      <w:r>
        <w:t>11.3.5 信息化</w:t>
      </w:r>
      <w:bookmarkEnd w:id="75"/>
    </w:p>
    <w:p w14:paraId="6669A97B">
      <w:pPr>
        <w:pStyle w:val="22"/>
      </w:pPr>
      <w:r>
        <w:t>借助信息化管理系统，各级责任人在权限指令范围内可随时随地开展工作，包括调阅查询、修改医嘱、远程会诊等，提高工作效率，为后续工作及科研课题提供支持。</w:t>
      </w:r>
    </w:p>
    <w:p w14:paraId="07D07543">
      <w:pPr>
        <w:pStyle w:val="22"/>
      </w:pPr>
    </w:p>
    <w:p w14:paraId="4C8DF8D2">
      <w:pPr>
        <w:pBdr>
          <w:bottom w:val="single" w:color="auto" w:sz="6" w:space="1"/>
        </w:pBdr>
      </w:pPr>
    </w:p>
    <w:p w14:paraId="3D519115">
      <w:pPr>
        <w:pStyle w:val="2"/>
      </w:pPr>
      <w:bookmarkStart w:id="76" w:name="_Toc22670"/>
      <w:r>
        <w:t>12 附录</w:t>
      </w:r>
      <w:bookmarkEnd w:id="76"/>
    </w:p>
    <w:p w14:paraId="3BFE07B1">
      <w:pPr>
        <w:pStyle w:val="3"/>
      </w:pPr>
      <w:bookmarkStart w:id="77" w:name="_Toc9317"/>
      <w:r>
        <w:t>附录 1：危及器官限量建议</w:t>
      </w:r>
      <w:bookmarkEnd w:id="77"/>
    </w:p>
    <w:p w14:paraId="7C19A13B">
      <w:pPr>
        <w:pStyle w:val="22"/>
      </w:pPr>
      <w:r>
        <w:t>（美国医学物理师协会 TG-101 报告危及器官的限量，5 次分割为例）</w:t>
      </w:r>
    </w:p>
    <w:p w14:paraId="3C8A440F">
      <w:pPr>
        <w:pStyle w:val="22"/>
      </w:pPr>
      <w:r>
        <w:t>表 9 危及器官限量建议</w:t>
      </w:r>
    </w:p>
    <w:p w14:paraId="4BA40661">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18"/>
        <w:gridCol w:w="2530"/>
        <w:gridCol w:w="2809"/>
        <w:gridCol w:w="2809"/>
      </w:tblGrid>
      <w:tr w14:paraId="39B0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46686A">
            <w:pPr>
              <w:pStyle w:val="22"/>
            </w:pPr>
            <w:r>
              <w:t>PRV</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C92970">
            <w:pPr>
              <w:pStyle w:val="22"/>
            </w:pPr>
            <w:r>
              <w:t>1 fraction</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6CFC02">
            <w:pPr>
              <w:pStyle w:val="22"/>
            </w:pPr>
            <w:r>
              <w:t>3 fractions</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43D191">
            <w:pPr>
              <w:pStyle w:val="22"/>
            </w:pPr>
            <w:r>
              <w:t>5 fractions</w:t>
            </w:r>
          </w:p>
        </w:tc>
      </w:tr>
      <w:tr w14:paraId="798D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FDE459">
            <w:pPr>
              <w:pStyle w:val="22"/>
            </w:pPr>
            <w:r>
              <w:t>脑干（Brainstem）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082CE4">
            <w:pPr>
              <w:pStyle w:val="22"/>
            </w:pPr>
            <w:r>
              <w:t>D0.1cc&lt;15GyD1cc&lt;10Gy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511857">
            <w:pPr>
              <w:pStyle w:val="22"/>
            </w:pPr>
            <w:r>
              <w:t>D0.1cc&lt;23.1GyD1cc&lt;18Gy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CAA5C1">
            <w:pPr>
              <w:pStyle w:val="22"/>
            </w:pPr>
            <w:r>
              <w:t>D0.1cc&lt;31GyD1cc&lt;26Gy</w:t>
            </w:r>
          </w:p>
        </w:tc>
      </w:tr>
      <w:tr w14:paraId="18BC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017F0B">
            <w:pPr>
              <w:pStyle w:val="22"/>
            </w:pPr>
            <w:r>
              <w:t>脊髓（Spinal Cord）</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624381">
            <w:pPr>
              <w:pStyle w:val="22"/>
            </w:pPr>
            <w:r>
              <w:t>D0.1cc&lt;14GyD0.35cc&lt;10GyD1.2cc&lt;7Gy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A630E0">
            <w:pPr>
              <w:pStyle w:val="22"/>
            </w:pPr>
            <w:r>
              <w:t>D0.1cc&lt;21.9GyD0.35cc&lt;18GyD1.2cc&lt;12.3Gy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E3F282">
            <w:pPr>
              <w:pStyle w:val="22"/>
            </w:pPr>
            <w:r>
              <w:t>D0.1cc&lt;30GyD0.35cc&lt;22.5GyD1.2cc&lt;14.5Gy</w:t>
            </w:r>
          </w:p>
        </w:tc>
      </w:tr>
      <w:tr w14:paraId="7DA9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6271F6">
            <w:pPr>
              <w:pStyle w:val="22"/>
            </w:pPr>
            <w:r>
              <w:t>马尾神经（Cauda Equina）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41EDE9">
            <w:pPr>
              <w:pStyle w:val="22"/>
            </w:pPr>
            <w:r>
              <w:t>D0.1cc&lt;16GyD5cc&lt;14Gy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D324A4">
            <w:pPr>
              <w:pStyle w:val="22"/>
            </w:pPr>
            <w:r>
              <w:t>D0.1cc&lt;24GyD5cc&lt;21.9Gy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E791A8">
            <w:pPr>
              <w:pStyle w:val="22"/>
            </w:pPr>
            <w:r>
              <w:t>D0.1cc&lt;32GyD5cc&lt;30Gy</w:t>
            </w:r>
          </w:p>
        </w:tc>
      </w:tr>
      <w:tr w14:paraId="496D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210174">
            <w:pPr>
              <w:pStyle w:val="22"/>
            </w:pPr>
            <w:r>
              <w:t>神经丛（Plexus）</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70EA72">
            <w:pPr>
              <w:pStyle w:val="22"/>
            </w:pPr>
            <w:r>
              <w:t>D0.035cc&lt;17.5GyD3cc&lt;14Gy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47CEBA">
            <w:pPr>
              <w:pStyle w:val="22"/>
            </w:pPr>
            <w:r>
              <w:t>D0.035cc&lt;24GyD3cc&lt;22.5Gy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31B732">
            <w:pPr>
              <w:pStyle w:val="22"/>
            </w:pPr>
            <w:r>
              <w:t>D0.035cc&lt;32GyD3cc&lt;30Gy</w:t>
            </w:r>
          </w:p>
        </w:tc>
      </w:tr>
      <w:tr w14:paraId="5A7C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F95233">
            <w:pPr>
              <w:pStyle w:val="22"/>
            </w:pPr>
            <w:r>
              <w:t>食管（Esophagus）</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25DCE2">
            <w:pPr>
              <w:pStyle w:val="22"/>
            </w:pPr>
            <w:r>
              <w:t>D0.035cc&lt;16GyD5cc&lt;11.9Gy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ED9DB7">
            <w:pPr>
              <w:pStyle w:val="22"/>
            </w:pPr>
            <w:r>
              <w:t>D0.5cc&lt;25.2GyD5cc&lt;21Gy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9CF9DE">
            <w:pPr>
              <w:pStyle w:val="22"/>
            </w:pPr>
            <w:r>
              <w:t>D0.5cc&lt;34GyD5cc&lt;27.5Gy</w:t>
            </w:r>
          </w:p>
        </w:tc>
      </w:tr>
      <w:tr w14:paraId="379F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1FAE1A">
            <w:pPr>
              <w:pStyle w:val="22"/>
            </w:pPr>
            <w:r>
              <w:t>大血管（Large Vessels）</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BDA2C4">
            <w:pPr>
              <w:pStyle w:val="22"/>
            </w:pPr>
            <w:r>
              <w:t>D0.035cc&lt;37GyD10cc&lt;31Gy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3F9419">
            <w:pPr>
              <w:pStyle w:val="22"/>
            </w:pPr>
            <w:r>
              <w:t>D0.5cc&lt;45GyD10cc&lt;39Gy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194F88">
            <w:pPr>
              <w:pStyle w:val="22"/>
            </w:pPr>
            <w:r>
              <w:t>D0.5cc&lt;53GyD10cc&lt;47Gy</w:t>
            </w:r>
          </w:p>
        </w:tc>
      </w:tr>
      <w:tr w14:paraId="3DA0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EB2912">
            <w:pPr>
              <w:pStyle w:val="22"/>
            </w:pPr>
            <w:r>
              <w:t>皮肤（Skin）</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B00240">
            <w:pPr>
              <w:pStyle w:val="22"/>
            </w:pPr>
            <w:r>
              <w:t>D0.035cc&lt;26GyD10cc&lt;23Gy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8FCCF4">
            <w:pPr>
              <w:pStyle w:val="22"/>
            </w:pPr>
            <w:r>
              <w:t>D0.5cc&lt;33GyD10cc&lt;30Gy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CA84CE">
            <w:pPr>
              <w:pStyle w:val="22"/>
            </w:pPr>
            <w:r>
              <w:t>D0.5cc&lt;39.5GyD10cc&lt;36.5Gy</w:t>
            </w:r>
          </w:p>
        </w:tc>
      </w:tr>
    </w:tbl>
    <w:p w14:paraId="3E55B16F">
      <w:pPr>
        <w:pStyle w:val="3"/>
      </w:pPr>
      <w:bookmarkStart w:id="78" w:name="_Toc20397"/>
      <w:r>
        <w:t>附录 2：累计 EQD2Gy 剂量的目标参考值（密西根大学）</w:t>
      </w:r>
      <w:bookmarkEnd w:id="78"/>
    </w:p>
    <w:p w14:paraId="38ACE34C">
      <w:pPr>
        <w:pStyle w:val="22"/>
      </w:pPr>
      <w:r>
        <w:t>表 10 累计 EQD2Gy 剂量的目标参考值</w:t>
      </w:r>
    </w:p>
    <w:p w14:paraId="324CEE26">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82"/>
        <w:gridCol w:w="1392"/>
        <w:gridCol w:w="1634"/>
        <w:gridCol w:w="1326"/>
        <w:gridCol w:w="1177"/>
        <w:gridCol w:w="1177"/>
        <w:gridCol w:w="1178"/>
      </w:tblGrid>
      <w:tr w14:paraId="1E4C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629ECD">
            <w:pPr>
              <w:pStyle w:val="22"/>
            </w:pPr>
            <w:r>
              <w:t>OAR</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C48FDF">
            <w:pPr>
              <w:pStyle w:val="22"/>
            </w:pPr>
            <w:r>
              <w:t>α/β 值（Gy）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2B839A">
            <w:pPr>
              <w:pStyle w:val="22"/>
            </w:pPr>
            <w:r>
              <w:t>最大剂量限制（最小体积 0.1cc）（EQD2）（Gy）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A2A72D">
            <w:pPr>
              <w:pStyle w:val="22"/>
            </w:pPr>
            <w:r>
              <w:t>既往剂量折算（%）[0% 表示既往照射无可减少剂量]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326843">
            <w:pPr>
              <w:pStyle w:val="22"/>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2BA001">
            <w:pPr>
              <w:pStyle w:val="22"/>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E628DF">
            <w:pPr>
              <w:pStyle w:val="22"/>
            </w:pPr>
          </w:p>
        </w:tc>
      </w:tr>
      <w:tr w14:paraId="6835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2BA0B1">
            <w:pPr>
              <w:pStyle w:val="22"/>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78E904">
            <w:pPr>
              <w:pStyle w:val="22"/>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2AD16D">
            <w:pPr>
              <w:pStyle w:val="22"/>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C7B3EF">
            <w:pPr>
              <w:pStyle w:val="22"/>
            </w:pPr>
            <w:r>
              <w:t>＜3 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194A43">
            <w:pPr>
              <w:pStyle w:val="22"/>
            </w:pPr>
            <w:r>
              <w:t>3 月～6 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7EA72D">
            <w:pPr>
              <w:pStyle w:val="22"/>
            </w:pPr>
            <w:r>
              <w:t>6 月～1 年</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707471">
            <w:pPr>
              <w:pStyle w:val="22"/>
            </w:pPr>
            <w:r>
              <w:t>1 年～3 年</w:t>
            </w:r>
          </w:p>
        </w:tc>
      </w:tr>
      <w:tr w14:paraId="2576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63A4C4">
            <w:pPr>
              <w:pStyle w:val="22"/>
            </w:pPr>
            <w:r>
              <w:t>脑干</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546267">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FE4E20">
            <w:pPr>
              <w:pStyle w:val="22"/>
            </w:pPr>
            <w:r>
              <w:t>64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7F7F8C">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9E8CC8">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F2CF6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E4B8A5">
            <w:pPr>
              <w:pStyle w:val="22"/>
            </w:pPr>
            <w:r>
              <w:t>50</w:t>
            </w:r>
          </w:p>
        </w:tc>
      </w:tr>
      <w:tr w14:paraId="53BF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2B9E49">
            <w:pPr>
              <w:pStyle w:val="22"/>
            </w:pPr>
            <w:r>
              <w:t>视交叉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97B0F1">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40E7A7">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7504F6">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310417">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30D1B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3BFA2D">
            <w:pPr>
              <w:pStyle w:val="22"/>
            </w:pPr>
            <w:r>
              <w:t>50</w:t>
            </w:r>
          </w:p>
        </w:tc>
      </w:tr>
      <w:tr w14:paraId="4C99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F411FB">
            <w:pPr>
              <w:pStyle w:val="22"/>
            </w:pPr>
            <w:r>
              <w:t>视神经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F07D22">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CBBC29">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5B3A69">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5BFD1C">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84E42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7BDF9D">
            <w:pPr>
              <w:pStyle w:val="22"/>
            </w:pPr>
            <w:r>
              <w:t>50</w:t>
            </w:r>
          </w:p>
        </w:tc>
      </w:tr>
      <w:tr w14:paraId="45F7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7B96DA">
            <w:pPr>
              <w:pStyle w:val="22"/>
            </w:pPr>
            <w:r>
              <w:t>视网膜</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8BA048">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2840F9">
            <w:pPr>
              <w:pStyle w:val="22"/>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A4135A">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23B181">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8A3778">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D30EB3">
            <w:pPr>
              <w:pStyle w:val="22"/>
            </w:pPr>
            <w:r>
              <w:t>50</w:t>
            </w:r>
          </w:p>
        </w:tc>
      </w:tr>
      <w:tr w14:paraId="689E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3FA99F">
            <w:pPr>
              <w:pStyle w:val="22"/>
            </w:pPr>
            <w:r>
              <w:t>脊髓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3A521C">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992D01">
            <w:pPr>
              <w:pStyle w:val="22"/>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E329BB">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28B2D7">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ABFB4A">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F6955D">
            <w:pPr>
              <w:pStyle w:val="22"/>
            </w:pPr>
            <w:r>
              <w:t>50</w:t>
            </w:r>
          </w:p>
        </w:tc>
      </w:tr>
      <w:tr w14:paraId="3517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289C30">
            <w:pPr>
              <w:pStyle w:val="22"/>
            </w:pPr>
            <w:r>
              <w:t>脊髓（当距离靶区＜2mm）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D08CC8">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1BAB4C">
            <w:pPr>
              <w:pStyle w:val="22"/>
            </w:pPr>
            <w:r>
              <w:t>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BB0299">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73F61B">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D34489">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8AD289">
            <w:pPr>
              <w:pStyle w:val="22"/>
            </w:pPr>
            <w:r>
              <w:t>50</w:t>
            </w:r>
          </w:p>
        </w:tc>
      </w:tr>
      <w:tr w14:paraId="47EC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AC40FB">
            <w:pPr>
              <w:pStyle w:val="22"/>
            </w:pPr>
            <w:r>
              <w:t>臂丛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DE1920">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490A62">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0BAF3B">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06B567">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09521E">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B75713">
            <w:pPr>
              <w:pStyle w:val="22"/>
            </w:pPr>
            <w:r>
              <w:t>50</w:t>
            </w:r>
          </w:p>
        </w:tc>
      </w:tr>
      <w:tr w14:paraId="1CB8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26C4BF">
            <w:pPr>
              <w:pStyle w:val="22"/>
            </w:pPr>
            <w:r>
              <w:t>胸壁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F0F1F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A1575F">
            <w:pPr>
              <w:pStyle w:val="22"/>
            </w:pPr>
            <w:r>
              <w:t>100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BE9B27">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CF949D">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115FC1">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687255">
            <w:pPr>
              <w:pStyle w:val="22"/>
            </w:pPr>
            <w:r>
              <w:t>50</w:t>
            </w:r>
          </w:p>
        </w:tc>
      </w:tr>
      <w:tr w14:paraId="2700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5C999A">
            <w:pPr>
              <w:pStyle w:val="22"/>
            </w:pPr>
            <w:r>
              <w:t>气管 / 支气管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80A0C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89A43A">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C9463E">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B7E395">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8E7325">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341CB7">
            <w:pPr>
              <w:pStyle w:val="22"/>
            </w:pPr>
            <w:r>
              <w:t>50</w:t>
            </w:r>
          </w:p>
        </w:tc>
      </w:tr>
      <w:tr w14:paraId="20A1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1A25F2">
            <w:pPr>
              <w:pStyle w:val="22"/>
            </w:pPr>
            <w:r>
              <w:t>食道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FD9914">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EAECEC">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6D9ECB">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F888AA">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F762B1">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E1C047">
            <w:pPr>
              <w:pStyle w:val="22"/>
            </w:pPr>
            <w:r>
              <w:t>50</w:t>
            </w:r>
          </w:p>
        </w:tc>
      </w:tr>
      <w:tr w14:paraId="1AE2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D8158C">
            <w:pPr>
              <w:pStyle w:val="22"/>
            </w:pPr>
            <w:r>
              <w:t>大血管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AF49B0">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D63E12">
            <w:pPr>
              <w:pStyle w:val="22"/>
            </w:pPr>
            <w:r>
              <w:t>100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9996E7">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6457AA">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06499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1256D3">
            <w:pPr>
              <w:pStyle w:val="22"/>
            </w:pPr>
            <w:r>
              <w:t>50</w:t>
            </w:r>
          </w:p>
        </w:tc>
      </w:tr>
      <w:tr w14:paraId="7C56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8CAFD5">
            <w:pPr>
              <w:pStyle w:val="22"/>
            </w:pPr>
            <w:r>
              <w:t>心脏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040B6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86910E">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45FE49">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E1126A">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E7EA5B">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8C1244">
            <w:pPr>
              <w:pStyle w:val="22"/>
            </w:pPr>
            <w:r>
              <w:t>50</w:t>
            </w:r>
          </w:p>
        </w:tc>
      </w:tr>
      <w:tr w14:paraId="4352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4377C8">
            <w:pPr>
              <w:pStyle w:val="22"/>
            </w:pPr>
            <w:r>
              <w:t>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5DFFE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41364C">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137503">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04AB65">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3720F5">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4FF0B1">
            <w:pPr>
              <w:pStyle w:val="22"/>
            </w:pPr>
            <w:r>
              <w:t>25</w:t>
            </w:r>
          </w:p>
        </w:tc>
      </w:tr>
      <w:tr w14:paraId="056A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71E083">
            <w:pPr>
              <w:pStyle w:val="22"/>
            </w:pPr>
            <w:r>
              <w:t>小肠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46325B">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B37092">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658DFC">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BD11A3">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3A6B5B">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81AD46">
            <w:pPr>
              <w:pStyle w:val="22"/>
            </w:pPr>
            <w:r>
              <w:t>25</w:t>
            </w:r>
          </w:p>
        </w:tc>
      </w:tr>
      <w:tr w14:paraId="0E71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2A2870">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D69155">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89B056">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3166AC">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7ED1B6">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06A719">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1FE7A9">
            <w:pPr>
              <w:pStyle w:val="22"/>
            </w:pPr>
            <w:r>
              <w:t>25</w:t>
            </w:r>
          </w:p>
        </w:tc>
      </w:tr>
      <w:tr w14:paraId="5408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6DB9E1">
            <w:pPr>
              <w:pStyle w:val="22"/>
            </w:pPr>
            <w:r>
              <w:t>结肠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7B1E90">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1B5EBF">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930065">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1F1468">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22AF40">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2BFCEC">
            <w:pPr>
              <w:pStyle w:val="22"/>
            </w:pPr>
            <w:r>
              <w:t>50</w:t>
            </w:r>
          </w:p>
        </w:tc>
      </w:tr>
      <w:tr w14:paraId="5EEC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38B519">
            <w:pPr>
              <w:pStyle w:val="22"/>
            </w:pPr>
            <w:r>
              <w:t>直肠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9B074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2BF852">
            <w:pPr>
              <w:pStyle w:val="22"/>
            </w:pPr>
            <w:r>
              <w:t>80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50D2C4">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59AF4F">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E9626C">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D6BF73">
            <w:pPr>
              <w:pStyle w:val="22"/>
            </w:pPr>
            <w:r>
              <w:t>50</w:t>
            </w:r>
          </w:p>
        </w:tc>
      </w:tr>
      <w:tr w14:paraId="467A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BF14BB">
            <w:pPr>
              <w:pStyle w:val="22"/>
            </w:pPr>
            <w:r>
              <w:t>肾脏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5BAF35">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84492E">
            <w:pPr>
              <w:pStyle w:val="22"/>
            </w:pPr>
            <w:r>
              <w:t>ALARA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A4BA14">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EF7E0C">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16D77A">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45CC55">
            <w:pPr>
              <w:pStyle w:val="22"/>
            </w:pPr>
            <w:r>
              <w:t>0</w:t>
            </w:r>
          </w:p>
        </w:tc>
      </w:tr>
      <w:tr w14:paraId="4394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9C966A">
            <w:pPr>
              <w:pStyle w:val="22"/>
            </w:pPr>
            <w:r>
              <w:t>膀胱</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AA051F">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A18EBC">
            <w:pPr>
              <w:pStyle w:val="22"/>
            </w:pPr>
            <w:r>
              <w:t>85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6269F9">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EEDF01">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10BC2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165DC9">
            <w:pPr>
              <w:pStyle w:val="22"/>
            </w:pPr>
            <w:r>
              <w:t>50</w:t>
            </w:r>
          </w:p>
        </w:tc>
      </w:tr>
      <w:tr w14:paraId="6F47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58BC57">
            <w:pPr>
              <w:pStyle w:val="22"/>
            </w:pPr>
            <w:r>
              <w:t>马尾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E2280F">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7C033D">
            <w:pPr>
              <w:pStyle w:val="22"/>
            </w:pPr>
            <w:r>
              <w:t>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FA2682">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D2C27C">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F0786B">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B15DEC">
            <w:pPr>
              <w:pStyle w:val="22"/>
            </w:pPr>
            <w:r>
              <w:t>50</w:t>
            </w:r>
          </w:p>
        </w:tc>
      </w:tr>
      <w:tr w14:paraId="6231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66F720">
            <w:pPr>
              <w:pStyle w:val="22"/>
            </w:pPr>
            <w:r>
              <w:t>骶丛神经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314DA0">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66607B">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C89D20">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F2B7C4">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5DE2A9">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AD24D3">
            <w:pPr>
              <w:pStyle w:val="22"/>
            </w:pPr>
            <w:r>
              <w:t>50</w:t>
            </w:r>
          </w:p>
        </w:tc>
      </w:tr>
      <w:tr w14:paraId="7C68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1CC276">
            <w:pPr>
              <w:pStyle w:val="22"/>
            </w:pPr>
            <w:r>
              <w:t>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454670">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580E7B">
            <w:pPr>
              <w:pStyle w:val="22"/>
            </w:pPr>
            <w:r>
              <w:t>每个病例自定义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8F75D5">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573332">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84259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0D365E">
            <w:pPr>
              <w:pStyle w:val="22"/>
            </w:pPr>
            <w:r>
              <w:t>50</w:t>
            </w:r>
          </w:p>
        </w:tc>
      </w:tr>
      <w:tr w14:paraId="5986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B44D59">
            <w:pPr>
              <w:pStyle w:val="22"/>
            </w:pPr>
            <w:r>
              <w:t>肝脏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BF38C8">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5B075D">
            <w:pPr>
              <w:pStyle w:val="22"/>
            </w:pPr>
            <w:r>
              <w:t>NTCP 限制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448703">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D3E749">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A2D02A">
            <w:pPr>
              <w:pStyle w:val="22"/>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A65073">
            <w:pPr>
              <w:pStyle w:val="22"/>
            </w:pPr>
            <w:r>
              <w:t>100</w:t>
            </w:r>
          </w:p>
        </w:tc>
      </w:tr>
    </w:tbl>
    <w:p w14:paraId="16D0BC16">
      <w:pPr>
        <w:pStyle w:val="22"/>
      </w:pPr>
      <w:r>
        <w:t>注：ALARA 为合理最低剂量（As Low As Reasonably Achievable）；NTCP 为正常组织并发症概率（Normal Tissue Complication Probability）</w:t>
      </w:r>
    </w:p>
    <w:p w14:paraId="1879F344">
      <w:pPr>
        <w:pStyle w:val="22"/>
      </w:pPr>
    </w:p>
    <w:p w14:paraId="0D4B5B59">
      <w:pPr>
        <w:pBdr>
          <w:bottom w:val="single" w:color="auto" w:sz="6" w:space="1"/>
        </w:pBdr>
      </w:pPr>
    </w:p>
    <w:p w14:paraId="2AE9C278">
      <w:pPr>
        <w:pStyle w:val="2"/>
      </w:pPr>
      <w:bookmarkStart w:id="79" w:name="_Toc27550"/>
      <w:r>
        <w:t>13 参考文献</w:t>
      </w:r>
      <w:bookmarkEnd w:id="79"/>
    </w:p>
    <w:p w14:paraId="3B0B1E88">
      <w:pPr>
        <w:pStyle w:val="22"/>
      </w:pPr>
      <w:r>
        <w:t>[1] Stephen Lutz, Lawrence Berk, Eric Chang et al. Palliative Radiotherapy for Bone Metastases: An ASTRO Evidence-Based Guideline[J]. International Journal of Radiation Oncology</w:t>
      </w:r>
      <w:r>
        <w:rPr>
          <w:i/>
          <w:iCs/>
        </w:rPr>
        <w:t>Biology</w:t>
      </w:r>
      <w:r>
        <w:t>Physics, 2011, 79（4）：965-976.</w:t>
      </w:r>
    </w:p>
    <w:p w14:paraId="5F2D2270">
      <w:pPr>
        <w:pStyle w:val="22"/>
      </w:pPr>
      <w:r>
        <w:t>[2] André G. Gouveia, Dominic C. W. Chan, Peter J. Hoskin et al. Advances in radiotherapy in bone metastases in the context of new target therapies and ablative alternatives: A critical review[J]. Radiotherapy and Oncology, 2021, 163：55-67.</w:t>
      </w:r>
    </w:p>
    <w:p w14:paraId="17A48839">
      <w:pPr>
        <w:pStyle w:val="22"/>
      </w:pPr>
      <w:r>
        <w:t>[3] Darby Erler, Drew Brotherston, Arjun Sahgal et al. Local control and fracture risk following stereotactic body radiation therapy for non-spine bone metastases[J]. Radiotherapy and Oncology, 2018, 127（2）：304-309.</w:t>
      </w:r>
    </w:p>
    <w:p w14:paraId="334F65F8">
      <w:pPr>
        <w:pStyle w:val="22"/>
      </w:pPr>
      <w:r>
        <w:t>[4] M. Guckenberger, F. Mantel, R. A. Sweeney et al. Long-Term Results of Dose-Intensified Fractionated Stereotactic Body Radiation Therapy (SBRT) for Painful Spinal Metastases[J]. Int J Radiat Oncol Biol Phys, 2021, 110（2）：348-357.</w:t>
      </w:r>
    </w:p>
    <w:p w14:paraId="3351DD16">
      <w:pPr>
        <w:pStyle w:val="22"/>
      </w:pPr>
      <w:r>
        <w:t>[5] Dawn Owen, Nadia N. Laack, Charles S. Mayo et al. Outcomes and toxicities of stereotactic body radiation therapy for non-spine bone oligometastases[J]. Practical Radiation Oncology, 2014, 4（2）：e143-e149.</w:t>
      </w:r>
    </w:p>
    <w:p w14:paraId="2699506E">
      <w:pPr>
        <w:pStyle w:val="22"/>
      </w:pPr>
      <w:r>
        <w:t>[6] Darby Erler, Drew Brotherston, Arjun Sahgal et al. Local control and fracture risk following stereotactic body radiation therapy for non-spine bone metastases[J]. Radiotherapy and Oncology, 2018, 127（2）：304-309.</w:t>
      </w:r>
    </w:p>
    <w:p w14:paraId="026D4F68">
      <w:pPr>
        <w:pStyle w:val="22"/>
      </w:pPr>
      <w:r>
        <w:t>[7] A. S. Gerlich, J. M. van der Velden, A. N. T. J. Kotte et al. Inter-observer agreement in GTV delineation of bone metastases on CT and impact of MR imaging: A multicenter study[J]. Radiotherapy and Oncology, 2018, 126（3）：534-540.</w:t>
      </w:r>
    </w:p>
    <w:p w14:paraId="744FEE8C">
      <w:pPr>
        <w:pStyle w:val="22"/>
      </w:pPr>
      <w:r>
        <w:t>[8] Edoardo Pastorello, Luca Nicosia, Francesco Cuccia et al. PSMA-PET/CT-Based Stereotactic Body Radiotherapy (SBRT) in the Treatment of Uncomplicated Non-Spinal Bone Oligometastases from Prostate Cancer[J]. Cancers, 2023, 15（10）：2800.</w:t>
      </w:r>
    </w:p>
    <w:p w14:paraId="3C857923">
      <w:pPr>
        <w:pStyle w:val="22"/>
      </w:pPr>
      <w:r>
        <w:t>[9] Gurdip K. Azad, Gary J. Cook. Multi-technique imaging of bone metastases: spotlight on PET-CT[J]. Clinical Radiology, 2016, 71（7）：620-631.</w:t>
      </w:r>
    </w:p>
    <w:p w14:paraId="6EE4F0DB">
      <w:pPr>
        <w:pStyle w:val="22"/>
      </w:pPr>
      <w:r>
        <w:t>[10] A. S. Gerlich, J. M. van der Velden, A. N. T. J. Kotte et al. Inter-observer agreement in GTV delineation of bone metastases on CT and impact of MR imaging: A multicenter study[J]. Radiotherapy and Oncology, 2018, 126（3）：534-540.</w:t>
      </w:r>
    </w:p>
    <w:p w14:paraId="0CC992D5">
      <w:pPr>
        <w:pStyle w:val="22"/>
      </w:pPr>
      <w:r>
        <w:t>[11] T. K. Nguyen, L. Chin, A. Sahgal et al. International Multi-institutional Patterns of Contouring Practice and Clinical Target Volume Recommendations for Stereotactic Body Radiation Therapy for Non-Spine Bone Metastases[J]. Int J Radiat Oncol Biol Phys, 2022, 112（2）：351-360.</w:t>
      </w:r>
    </w:p>
    <w:p w14:paraId="191684C5">
      <w:pPr>
        <w:pStyle w:val="22"/>
      </w:pPr>
      <w:r>
        <w:t>[12] Timothy K. Nguyen, Arjun Sahgal, Roi Dagan et al. Stereotactic Body Radiation Therapy for Nonspine Bone Metastases: International Practice Patterns to Guide Treatment Planning[J]. Practical Radiation Oncology, 2020, 10（6）：e452-e460.</w:t>
      </w:r>
    </w:p>
    <w:p w14:paraId="7A949571">
      <w:pPr>
        <w:pStyle w:val="22"/>
      </w:pPr>
      <w:r>
        <w:t>[13] Derek S. Tsang, Vivian Yau, Hamid Raziee et al. Debate: single-fraction treatment should be standard in the retreatment of uncomplicated bone metastases[J]. Annals of palliative medicine, 2015, 4（4）：207.</w:t>
      </w:r>
    </w:p>
    <w:p w14:paraId="6421893A">
      <w:pPr>
        <w:pStyle w:val="22"/>
      </w:pPr>
      <w:r>
        <w:t>[14] M. R. Folkert, M. H. Bilsky, A. K. Tom et al. Outcomes and toxicity for hypofractionated and single-fraction image-guided stereotactic radiosurgery for sarcomas metastasizing to the spine[J]. Int J Radiat Oncol Biol Phys,</w:t>
      </w:r>
    </w:p>
    <w:p w14:paraId="3D5E2E47">
      <w:pPr>
        <w:pStyle w:val="23"/>
        <w:pBdr>
          <w:left w:val="single" w:color="BBBFC4" w:sz="18" w:space="0"/>
        </w:pBdr>
      </w:pPr>
    </w:p>
    <w:sectPr>
      <w:head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E18F">
    <w:pPr>
      <w:pStyle w:val="11"/>
      <w:jc w:val="right"/>
      <w:rPr>
        <w:rFonts w:hint="eastAsia"/>
      </w:rPr>
    </w:pPr>
  </w:p>
  <w:p w14:paraId="6B830CD9">
    <w:pPr>
      <w:pStyle w:val="11"/>
      <w:jc w:val="right"/>
      <w:rPr>
        <w:rFonts w:hint="eastAsia"/>
      </w:rPr>
    </w:pPr>
  </w:p>
  <w:p w14:paraId="0B2B4109">
    <w:pPr>
      <w:pStyle w:val="11"/>
      <w:jc w:val="right"/>
    </w:pPr>
    <w:r>
      <w:rPr>
        <w:rFonts w:hint="eastAsia"/>
      </w:rPr>
      <w:t>T/CNHAW-B-0019-2025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59ADCABA"/>
    <w:multiLevelType w:val="multilevel"/>
    <w:tmpl w:val="59ADCABA"/>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useFELayout/>
    <w:compatSetting w:name="compatibilityMode" w:uri="http://schemas.microsoft.com/office/word" w:val="15"/>
  </w:compat>
  <w:rsids>
    <w:rsidRoot w:val="00000000"/>
    <w:rsid w:val="21A82AF3"/>
    <w:rsid w:val="4C5420DD"/>
    <w:rsid w:val="55287B44"/>
    <w:rsid w:val="7B7644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7">
    <w:name w:val="Default Paragraph Font"/>
    <w:semiHidden/>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8">
    <w:name w:val="Body Text"/>
    <w:basedOn w:val="1"/>
    <w:qFormat/>
    <w:uiPriority w:val="0"/>
    <w:rPr>
      <w:rFonts w:ascii="黑体" w:hAnsi="黑体" w:eastAsia="黑体" w:cs="黑体"/>
      <w:sz w:val="28"/>
      <w:szCs w:val="28"/>
      <w:lang w:val="en-US" w:eastAsia="en-US" w:bidi="ar-SA"/>
    </w:rPr>
  </w:style>
  <w:style w:type="paragraph" w:styleId="9">
    <w:name w:val="toc 3"/>
    <w:basedOn w:val="1"/>
    <w:next w:val="1"/>
    <w:uiPriority w:val="0"/>
    <w:pPr>
      <w:ind w:left="840" w:leftChars="400"/>
    </w:p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iPriority w:val="0"/>
  </w:style>
  <w:style w:type="paragraph" w:styleId="13">
    <w:name w:val="footnote text"/>
    <w:link w:val="21"/>
    <w:semiHidden/>
    <w:unhideWhenUsed/>
    <w:qFormat/>
    <w:uiPriority w:val="99"/>
    <w:pPr>
      <w:spacing w:after="0" w:line="240" w:lineRule="auto"/>
    </w:pPr>
    <w:rPr>
      <w:rFonts w:asciiTheme="minorHAnsi" w:hAnsiTheme="minorHAnsi" w:eastAsiaTheme="minorEastAsia" w:cstheme="minorBidi"/>
      <w:sz w:val="20"/>
      <w:szCs w:val="20"/>
    </w:rPr>
  </w:style>
  <w:style w:type="paragraph" w:styleId="14">
    <w:name w:val="toc 2"/>
    <w:basedOn w:val="1"/>
    <w:next w:val="1"/>
    <w:uiPriority w:val="0"/>
    <w:pPr>
      <w:ind w:left="420" w:leftChars="200"/>
    </w:pPr>
  </w:style>
  <w:style w:type="paragraph" w:styleId="15">
    <w:name w:val="Title"/>
    <w:qFormat/>
    <w:uiPriority w:val="0"/>
    <w:pPr>
      <w:spacing w:before="480" w:after="480" w:line="288" w:lineRule="auto"/>
      <w:ind w:left="0"/>
    </w:pPr>
    <w:rPr>
      <w:rFonts w:ascii="Arial" w:hAnsi="Arial" w:eastAsia="等线" w:cs="Arial"/>
      <w:b/>
      <w:bCs/>
      <w:sz w:val="52"/>
      <w:szCs w:val="52"/>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heme="minorHAnsi" w:hAnsiTheme="minorHAnsi" w:eastAsiaTheme="minorEastAsia" w:cstheme="minorBidi"/>
      <w:sz w:val="21"/>
      <w:szCs w:val="22"/>
    </w:rPr>
  </w:style>
  <w:style w:type="character" w:customStyle="1" w:styleId="21">
    <w:name w:val="Footnote Text Char"/>
    <w:link w:val="13"/>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4">
    <w:name w:val="其他标准称谓"/>
    <w:next w:val="1"/>
    <w:uiPriority w:val="0"/>
    <w:pPr>
      <w:framePr w:hSpace="181" w:vSpace="181" w:wrap="around" w:vAnchor="page" w:hAnchor="page" w:x="1419" w:y="2286" w:anchorLock="1"/>
      <w:spacing w:line="0" w:lineRule="atLeast"/>
      <w:jc w:val="distribute"/>
    </w:pPr>
    <w:rPr>
      <w:rFonts w:ascii="黑体" w:hAnsi="宋体" w:eastAsia="黑体" w:cs="Calibri"/>
      <w:spacing w:val="-40"/>
      <w:sz w:val="48"/>
      <w:szCs w:val="52"/>
      <w:lang w:val="en-US" w:eastAsia="zh-CN" w:bidi="ar-SA"/>
    </w:rPr>
  </w:style>
  <w:style w:type="paragraph" w:customStyle="1" w:styleId="25">
    <w:name w:val="段"/>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2526</Words>
  <Characters>4180</Characters>
  <TotalTime>1</TotalTime>
  <ScaleCrop>false</ScaleCrop>
  <LinksUpToDate>false</LinksUpToDate>
  <CharactersWithSpaces>4466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2025-11-27T03:36:00Z</dcterms:created>
  <dc:creator>Un-named</dc:creator>
  <cp:lastModifiedBy>LZY</cp:lastModifiedBy>
  <dcterms:modified xsi:type="dcterms:W3CDTF">2025-11-27T05:42:21Z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eyJoZGlkIjoiOWJhMTIxMWU1ZGEzNjliMWU0NmRhNGEyYWY1YzZmYzYiLCJ1c2VySWQiOiI2OTYyNzc4NjEifQ==</vt:lpwstr>
  </property>
  <property fmtid="{D5CDD505-2E9C-101B-9397-08002B2CF9AE}" pid="3" name="KSOProductBuildVer">
    <vt:lpwstr>2052-12.1.0.23542</vt:lpwstr>
  </property>
  <property fmtid="{D5CDD505-2E9C-101B-9397-08002B2CF9AE}" pid="4" name="ICV">
    <vt:lpwstr>44F44502686F4D38A5F928576857C9EA_13</vt:lpwstr>
  </property>
</Properties>
</file>