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3E9E">
      <w:pPr>
        <w:pStyle w:val="24"/>
        <w:framePr w:w="7955" w:wrap="notBeside" w:x="1935" w:y="1336"/>
        <w:spacing w:before="62"/>
      </w:pPr>
      <w:r>
        <w:rPr>
          <w:rFonts w:hint="eastAsia"/>
          <w:sz w:val="76"/>
          <w:szCs w:val="76"/>
        </w:rPr>
        <w:t>团体标准</w:t>
      </w:r>
    </w:p>
    <w:p w14:paraId="6CD4426D">
      <w:pPr>
        <w:pStyle w:val="24"/>
        <w:framePr w:w="7955" w:wrap="notBeside" w:x="1935" w:y="1336"/>
        <w:spacing w:before="62"/>
      </w:pPr>
    </w:p>
    <w:p w14:paraId="3B8D6E9A">
      <w:pPr>
        <w:pStyle w:val="8"/>
        <w:spacing w:before="269" w:line="265" w:lineRule="exact"/>
        <w:ind w:left="6857"/>
        <w:rPr>
          <w:rFonts w:ascii="Arial"/>
          <w:sz w:val="21"/>
        </w:rPr>
      </w:pPr>
      <w:r>
        <w:rPr>
          <w:spacing w:val="45"/>
          <w:position w:val="1"/>
          <w:sz w:val="20"/>
          <w:szCs w:val="20"/>
        </w:rPr>
        <w:t xml:space="preserve"> </w:t>
      </w:r>
    </w:p>
    <w:p w14:paraId="69A02FD0">
      <w:pPr>
        <w:spacing w:line="360" w:lineRule="auto"/>
        <w:ind w:firstLine="420" w:firstLineChars="200"/>
        <w:rPr>
          <w:rFonts w:ascii="Times New Roman" w:hAnsi="Times New Roman"/>
          <w:sz w:val="21"/>
        </w:rPr>
      </w:pPr>
    </w:p>
    <w:p w14:paraId="7F87B811">
      <w:pPr>
        <w:spacing w:line="330" w:lineRule="auto"/>
        <w:rPr>
          <w:rFonts w:ascii="Arial"/>
          <w:sz w:val="21"/>
        </w:rPr>
      </w:pPr>
    </w:p>
    <w:p w14:paraId="2504491F">
      <w:pPr>
        <w:spacing w:line="30" w:lineRule="exact"/>
      </w:pPr>
    </w:p>
    <w:p w14:paraId="3DF2C841">
      <w:pPr>
        <w:spacing w:line="256" w:lineRule="auto"/>
        <w:rPr>
          <w:rFonts w:ascii="Arial"/>
          <w:sz w:val="21"/>
        </w:rPr>
      </w:pPr>
    </w:p>
    <w:p w14:paraId="5178BF1C">
      <w:pPr>
        <w:spacing w:line="256" w:lineRule="auto"/>
        <w:rPr>
          <w:rFonts w:ascii="Arial"/>
          <w:sz w:val="21"/>
        </w:rPr>
      </w:pPr>
    </w:p>
    <w:p w14:paraId="3F3F7120">
      <w:pPr>
        <w:spacing w:line="256" w:lineRule="auto"/>
        <w:rPr>
          <w:rFonts w:ascii="Arial"/>
          <w:sz w:val="21"/>
        </w:rPr>
      </w:pPr>
    </w:p>
    <w:p w14:paraId="15921711">
      <w:pPr>
        <w:widowControl w:val="0"/>
        <w:pBdr>
          <w:bottom w:val="single" w:color="auto" w:sz="4" w:space="0"/>
        </w:pBdr>
        <w:kinsoku/>
        <w:autoSpaceDE/>
        <w:autoSpaceDN/>
        <w:adjustRightInd/>
        <w:snapToGrid/>
        <w:spacing w:line="240" w:lineRule="auto"/>
        <w:jc w:val="right"/>
        <w:textAlignment w:val="auto"/>
        <w:rPr>
          <w:sz w:val="28"/>
          <w:szCs w:val="28"/>
          <w:u w:val="none"/>
        </w:rPr>
      </w:pPr>
      <w:r>
        <w:rPr>
          <w:rFonts w:hint="eastAsia" w:ascii="Calibri" w:hAnsi="Calibri" w:eastAsia="宋体" w:cs="Times New Roman"/>
          <w:snapToGrid/>
          <w:kern w:val="2"/>
          <w:sz w:val="28"/>
          <w:szCs w:val="28"/>
          <w:u w:val="none"/>
          <w:lang w:eastAsia="zh-CN"/>
        </w:rPr>
        <w:t>T/CNHAW-B-0017-2025</w:t>
      </w:r>
    </w:p>
    <w:p w14:paraId="6E222314">
      <w:pPr>
        <w:pStyle w:val="25"/>
        <w:ind w:firstLine="0" w:firstLineChars="0"/>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肝细胞癌及胆管癌立体定向放射外科治疗要求（征求意见稿）</w:t>
      </w:r>
    </w:p>
    <w:p w14:paraId="64129A17">
      <w:pPr>
        <w:spacing w:line="243" w:lineRule="auto"/>
        <w:jc w:val="center"/>
        <w:rPr>
          <w:rFonts w:ascii="Arial"/>
          <w:sz w:val="21"/>
        </w:rPr>
      </w:pPr>
      <w:r>
        <w:rPr>
          <w:rFonts w:hint="default" w:ascii="Times New Roman" w:hAnsi="Times New Roman" w:cs="Times New Roman"/>
          <w:sz w:val="30"/>
          <w:szCs w:val="30"/>
        </w:rPr>
        <w:t>Requirements for Stereotactic Body Radiation Therapy in the treatment of hepatocellular carcinoma and cholangiocarcinoma</w:t>
      </w:r>
    </w:p>
    <w:p w14:paraId="3071100A">
      <w:pPr>
        <w:spacing w:line="243" w:lineRule="auto"/>
        <w:rPr>
          <w:rFonts w:ascii="Arial"/>
          <w:sz w:val="21"/>
        </w:rPr>
      </w:pPr>
    </w:p>
    <w:p w14:paraId="59E09878">
      <w:pPr>
        <w:spacing w:line="243" w:lineRule="auto"/>
        <w:rPr>
          <w:rFonts w:ascii="Arial"/>
          <w:sz w:val="21"/>
        </w:rPr>
      </w:pPr>
    </w:p>
    <w:p w14:paraId="0CF2CBAD">
      <w:pPr>
        <w:spacing w:line="243" w:lineRule="auto"/>
        <w:rPr>
          <w:rFonts w:ascii="Arial"/>
          <w:sz w:val="21"/>
        </w:rPr>
      </w:pPr>
    </w:p>
    <w:p w14:paraId="66747EF2">
      <w:pPr>
        <w:spacing w:line="243" w:lineRule="auto"/>
        <w:rPr>
          <w:rFonts w:ascii="Arial"/>
          <w:sz w:val="21"/>
        </w:rPr>
      </w:pPr>
    </w:p>
    <w:p w14:paraId="4858FB05">
      <w:pPr>
        <w:spacing w:line="243" w:lineRule="auto"/>
        <w:rPr>
          <w:rFonts w:ascii="Arial"/>
          <w:sz w:val="21"/>
        </w:rPr>
      </w:pPr>
    </w:p>
    <w:p w14:paraId="69209B0A">
      <w:pPr>
        <w:spacing w:line="243" w:lineRule="auto"/>
        <w:rPr>
          <w:rFonts w:ascii="Arial"/>
          <w:sz w:val="21"/>
        </w:rPr>
      </w:pPr>
    </w:p>
    <w:p w14:paraId="5BFC48E6">
      <w:pPr>
        <w:spacing w:line="243" w:lineRule="auto"/>
        <w:rPr>
          <w:rFonts w:ascii="Arial"/>
          <w:sz w:val="21"/>
        </w:rPr>
      </w:pPr>
    </w:p>
    <w:p w14:paraId="45C8223F">
      <w:pPr>
        <w:spacing w:line="243" w:lineRule="auto"/>
        <w:rPr>
          <w:rFonts w:ascii="Arial"/>
          <w:sz w:val="21"/>
        </w:rPr>
      </w:pPr>
    </w:p>
    <w:p w14:paraId="432D2838">
      <w:pPr>
        <w:spacing w:line="243" w:lineRule="auto"/>
        <w:rPr>
          <w:rFonts w:ascii="Arial"/>
          <w:sz w:val="21"/>
        </w:rPr>
      </w:pPr>
    </w:p>
    <w:p w14:paraId="0357429A">
      <w:pPr>
        <w:spacing w:line="243" w:lineRule="auto"/>
        <w:rPr>
          <w:rFonts w:ascii="Arial"/>
          <w:sz w:val="21"/>
        </w:rPr>
      </w:pPr>
    </w:p>
    <w:p w14:paraId="2237B3ED">
      <w:pPr>
        <w:spacing w:line="243" w:lineRule="auto"/>
        <w:rPr>
          <w:rFonts w:ascii="Arial"/>
          <w:sz w:val="21"/>
        </w:rPr>
      </w:pPr>
    </w:p>
    <w:p w14:paraId="2A3D48BE">
      <w:pPr>
        <w:spacing w:line="243" w:lineRule="auto"/>
        <w:jc w:val="center"/>
        <w:rPr>
          <w:rFonts w:hint="eastAsia" w:ascii="宋体" w:hAnsi="宋体" w:eastAsia="宋体" w:cs="宋体"/>
          <w:snapToGrid/>
          <w:color w:val="auto"/>
          <w:kern w:val="0"/>
          <w:sz w:val="21"/>
          <w:szCs w:val="28"/>
          <w:lang w:val="en-US" w:eastAsia="zh-CN" w:bidi="ar-SA"/>
        </w:rPr>
      </w:pPr>
    </w:p>
    <w:p w14:paraId="7A43ECBE">
      <w:pPr>
        <w:spacing w:line="243" w:lineRule="auto"/>
        <w:jc w:val="center"/>
        <w:rPr>
          <w:rFonts w:hint="eastAsia" w:ascii="宋体" w:hAnsi="宋体" w:eastAsia="宋体" w:cs="宋体"/>
          <w:snapToGrid/>
          <w:color w:val="auto"/>
          <w:kern w:val="0"/>
          <w:sz w:val="21"/>
          <w:szCs w:val="28"/>
          <w:lang w:val="en-US" w:eastAsia="zh-CN" w:bidi="ar-SA"/>
        </w:rPr>
      </w:pPr>
    </w:p>
    <w:p w14:paraId="183C40D2">
      <w:pPr>
        <w:spacing w:line="243" w:lineRule="auto"/>
        <w:jc w:val="center"/>
        <w:rPr>
          <w:rFonts w:hint="eastAsia" w:ascii="宋体" w:hAnsi="宋体" w:eastAsia="宋体" w:cs="宋体"/>
          <w:snapToGrid/>
          <w:color w:val="auto"/>
          <w:kern w:val="0"/>
          <w:sz w:val="21"/>
          <w:szCs w:val="28"/>
          <w:lang w:val="en-US" w:eastAsia="zh-CN" w:bidi="ar-SA"/>
        </w:rPr>
      </w:pPr>
    </w:p>
    <w:p w14:paraId="28D3E6EB">
      <w:pPr>
        <w:spacing w:line="243" w:lineRule="auto"/>
        <w:jc w:val="center"/>
        <w:rPr>
          <w:rFonts w:hint="eastAsia" w:ascii="宋体" w:hAnsi="宋体" w:eastAsia="宋体" w:cs="宋体"/>
          <w:snapToGrid/>
          <w:color w:val="auto"/>
          <w:kern w:val="0"/>
          <w:sz w:val="21"/>
          <w:szCs w:val="28"/>
          <w:lang w:val="en-US" w:eastAsia="zh-CN" w:bidi="ar-SA"/>
        </w:rPr>
      </w:pPr>
    </w:p>
    <w:p w14:paraId="712ED2E2">
      <w:pPr>
        <w:spacing w:line="243" w:lineRule="auto"/>
        <w:jc w:val="center"/>
        <w:rPr>
          <w:rFonts w:hint="eastAsia" w:ascii="宋体" w:hAnsi="宋体" w:eastAsia="宋体" w:cs="宋体"/>
          <w:snapToGrid/>
          <w:color w:val="auto"/>
          <w:kern w:val="0"/>
          <w:sz w:val="21"/>
          <w:szCs w:val="28"/>
          <w:lang w:val="en-US" w:eastAsia="zh-CN" w:bidi="ar-SA"/>
        </w:rPr>
      </w:pPr>
    </w:p>
    <w:p w14:paraId="5324D2D5">
      <w:pPr>
        <w:spacing w:line="243" w:lineRule="auto"/>
        <w:jc w:val="center"/>
        <w:rPr>
          <w:rFonts w:hint="eastAsia" w:ascii="宋体" w:hAnsi="宋体" w:eastAsia="宋体" w:cs="宋体"/>
          <w:snapToGrid/>
          <w:color w:val="auto"/>
          <w:kern w:val="0"/>
          <w:sz w:val="21"/>
          <w:szCs w:val="28"/>
          <w:lang w:val="en-US" w:eastAsia="zh-CN" w:bidi="ar-SA"/>
        </w:rPr>
      </w:pPr>
    </w:p>
    <w:p w14:paraId="3D507176">
      <w:pPr>
        <w:spacing w:line="243" w:lineRule="auto"/>
        <w:jc w:val="center"/>
        <w:rPr>
          <w:rFonts w:hint="eastAsia" w:ascii="宋体" w:hAnsi="宋体" w:eastAsia="宋体" w:cs="宋体"/>
          <w:snapToGrid/>
          <w:color w:val="auto"/>
          <w:kern w:val="0"/>
          <w:sz w:val="21"/>
          <w:szCs w:val="28"/>
          <w:lang w:val="en-US" w:eastAsia="zh-CN" w:bidi="ar-SA"/>
        </w:rPr>
      </w:pPr>
    </w:p>
    <w:p w14:paraId="7D6849D4">
      <w:pPr>
        <w:spacing w:line="243" w:lineRule="auto"/>
        <w:jc w:val="center"/>
        <w:rPr>
          <w:rFonts w:hint="eastAsia" w:ascii="宋体" w:hAnsi="宋体" w:eastAsia="宋体" w:cs="宋体"/>
          <w:snapToGrid/>
          <w:color w:val="auto"/>
          <w:kern w:val="0"/>
          <w:sz w:val="21"/>
          <w:szCs w:val="28"/>
          <w:lang w:val="en-US" w:eastAsia="zh-CN" w:bidi="ar-SA"/>
        </w:rPr>
      </w:pPr>
    </w:p>
    <w:p w14:paraId="429D2C68">
      <w:pPr>
        <w:spacing w:line="243" w:lineRule="auto"/>
        <w:jc w:val="center"/>
        <w:rPr>
          <w:rFonts w:hint="eastAsia" w:ascii="宋体" w:hAnsi="宋体" w:eastAsia="宋体" w:cs="宋体"/>
          <w:snapToGrid/>
          <w:color w:val="auto"/>
          <w:kern w:val="0"/>
          <w:sz w:val="21"/>
          <w:szCs w:val="28"/>
          <w:lang w:val="en-US" w:eastAsia="zh-CN" w:bidi="ar-SA"/>
        </w:rPr>
      </w:pPr>
    </w:p>
    <w:p w14:paraId="62170142">
      <w:pPr>
        <w:spacing w:line="243" w:lineRule="auto"/>
        <w:jc w:val="center"/>
        <w:rPr>
          <w:rFonts w:hint="eastAsia" w:ascii="宋体" w:hAnsi="宋体" w:eastAsia="宋体" w:cs="宋体"/>
          <w:snapToGrid/>
          <w:color w:val="auto"/>
          <w:kern w:val="0"/>
          <w:sz w:val="21"/>
          <w:szCs w:val="28"/>
          <w:lang w:val="en-US" w:eastAsia="zh-CN" w:bidi="ar-SA"/>
        </w:rPr>
      </w:pPr>
    </w:p>
    <w:p w14:paraId="342A3899">
      <w:pPr>
        <w:spacing w:line="243" w:lineRule="auto"/>
        <w:jc w:val="center"/>
        <w:rPr>
          <w:rFonts w:hint="eastAsia" w:ascii="宋体" w:hAnsi="宋体" w:eastAsia="宋体" w:cs="宋体"/>
          <w:snapToGrid/>
          <w:color w:val="auto"/>
          <w:kern w:val="0"/>
          <w:sz w:val="21"/>
          <w:szCs w:val="28"/>
          <w:lang w:val="en-US" w:eastAsia="zh-CN" w:bidi="ar-SA"/>
        </w:rPr>
      </w:pPr>
    </w:p>
    <w:p w14:paraId="3828D1E2">
      <w:pPr>
        <w:spacing w:line="243" w:lineRule="auto"/>
        <w:jc w:val="center"/>
        <w:rPr>
          <w:rFonts w:hint="eastAsia" w:ascii="宋体" w:hAnsi="宋体" w:eastAsia="宋体" w:cs="宋体"/>
          <w:snapToGrid/>
          <w:color w:val="auto"/>
          <w:kern w:val="0"/>
          <w:sz w:val="21"/>
          <w:szCs w:val="28"/>
          <w:lang w:val="en-US" w:eastAsia="zh-CN" w:bidi="ar-SA"/>
        </w:rPr>
      </w:pPr>
    </w:p>
    <w:p w14:paraId="02FD9924">
      <w:pPr>
        <w:spacing w:line="243" w:lineRule="auto"/>
        <w:jc w:val="center"/>
        <w:rPr>
          <w:rFonts w:hint="eastAsia" w:ascii="宋体" w:hAnsi="宋体" w:eastAsia="宋体" w:cs="宋体"/>
          <w:snapToGrid/>
          <w:color w:val="auto"/>
          <w:kern w:val="0"/>
          <w:sz w:val="21"/>
          <w:szCs w:val="28"/>
          <w:lang w:val="en-US" w:eastAsia="zh-CN" w:bidi="ar-SA"/>
        </w:rPr>
      </w:pPr>
    </w:p>
    <w:p w14:paraId="4922C631">
      <w:pPr>
        <w:spacing w:line="243" w:lineRule="auto"/>
        <w:jc w:val="center"/>
        <w:rPr>
          <w:rFonts w:hint="default" w:ascii="Times New Roman" w:hAnsi="Times New Roman" w:cs="Times New Roman"/>
          <w:sz w:val="30"/>
          <w:szCs w:val="30"/>
          <w:lang w:val="en-US"/>
        </w:rPr>
      </w:pPr>
      <w:r>
        <w:rPr>
          <w:rFonts w:hint="eastAsia" w:ascii="宋体" w:hAnsi="宋体" w:eastAsia="宋体" w:cs="宋体"/>
          <w:snapToGrid/>
          <w:color w:val="auto"/>
          <w:kern w:val="0"/>
          <w:sz w:val="21"/>
          <w:szCs w:val="28"/>
          <w:lang w:val="en-US" w:eastAsia="zh-CN" w:bidi="ar-SA"/>
        </w:rPr>
        <w:t>2025-09-</w:t>
      </w:r>
      <w:r>
        <w:rPr>
          <w:rFonts w:hint="default"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59264;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Doyl2QAAAA4BAAAPAAAAAAAAAAEAIAAAACIAAABkcnMvZG93bnJldi54&#10;bWxQSwECFAAUAAAACACHTuJAX4qCAfkBAAD0AwAADgAAAAAAAAABACAAAAAo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60288;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UOjKXZAAAADgEAAA8AAAAAAAAAAQAgAAAAIgAAAGRycy9kb3ducmV2Lnht&#10;bFBLAQIUABQAAAAIAIdO4kBfpAYp+AEAAPQDAAAOAAAAAAAAAAEAIAAAACg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snapToGrid/>
          <w:color w:val="auto"/>
          <w:kern w:val="0"/>
          <w:sz w:val="21"/>
          <w:szCs w:val="28"/>
          <w:lang w:val="en-US" w:eastAsia="zh-CN" w:bidi="ar-SA"/>
        </w:rPr>
        <w:t>18</w:t>
      </w:r>
    </w:p>
    <w:p w14:paraId="24D53C75">
      <w:pPr>
        <w:spacing w:line="243" w:lineRule="auto"/>
        <w:rPr>
          <w:rFonts w:hint="default" w:ascii="Times New Roman" w:hAnsi="Times New Roman" w:cs="Times New Roman"/>
          <w:sz w:val="30"/>
          <w:szCs w:val="30"/>
        </w:rPr>
      </w:pPr>
    </w:p>
    <w:p w14:paraId="58C8D03E">
      <w:pPr>
        <w:spacing w:line="243" w:lineRule="auto"/>
        <w:jc w:val="center"/>
      </w:pPr>
      <w:r>
        <w:rPr>
          <w:rFonts w:hint="eastAsia" w:ascii="宋体" w:hAnsi="宋体" w:eastAsia="宋体" w:cs="宋体"/>
          <w:lang w:val="en-US" w:eastAsia="zh-CN"/>
        </w:rPr>
        <w:t>中国民族卫生协会                发布</w:t>
      </w:r>
    </w:p>
    <w:p w14:paraId="269DBC46">
      <w:pPr>
        <w:pBdr>
          <w:bottom w:val="single" w:color="auto" w:sz="6" w:space="1"/>
        </w:pBdr>
      </w:pPr>
    </w:p>
    <w:p w14:paraId="512ECE14">
      <w:pPr>
        <w:pStyle w:val="3"/>
      </w:pPr>
    </w:p>
    <w:sdt>
      <w:sdtPr>
        <w:rPr>
          <w:rFonts w:ascii="宋体" w:hAnsi="宋体" w:eastAsia="宋体" w:cstheme="minorBidi"/>
          <w:sz w:val="21"/>
          <w:szCs w:val="22"/>
        </w:rPr>
        <w:id w:val="147480559"/>
        <w15:color w:val="DBDBDB"/>
        <w:docPartObj>
          <w:docPartGallery w:val="Table of Contents"/>
          <w:docPartUnique/>
        </w:docPartObj>
      </w:sdtPr>
      <w:sdtEndPr>
        <w:rPr>
          <w:rFonts w:ascii="Arial" w:hAnsi="Arial" w:eastAsia="等线" w:cs="Arial"/>
          <w:sz w:val="22"/>
          <w:szCs w:val="22"/>
        </w:rPr>
      </w:sdtEndPr>
      <w:sdtContent>
        <w:p w14:paraId="623C14E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663551D">
          <w:pPr>
            <w:pStyle w:val="14"/>
            <w:tabs>
              <w:tab w:val="right" w:leader="dot" w:pos="9026"/>
            </w:tabs>
          </w:pPr>
          <w:r>
            <w:fldChar w:fldCharType="begin"/>
          </w:r>
          <w:r>
            <w:instrText xml:space="preserve">TOC \o "1-3" \h \u </w:instrText>
          </w:r>
          <w:r>
            <w:fldChar w:fldCharType="separate"/>
          </w:r>
          <w:r>
            <w:fldChar w:fldCharType="begin"/>
          </w:r>
          <w:r>
            <w:instrText xml:space="preserve"> HYPERLINK \l _Toc4568 </w:instrText>
          </w:r>
          <w:r>
            <w:fldChar w:fldCharType="separate"/>
          </w:r>
          <w:r>
            <w:t>前 言</w:t>
          </w:r>
          <w:r>
            <w:tab/>
          </w:r>
          <w:r>
            <w:fldChar w:fldCharType="begin"/>
          </w:r>
          <w:r>
            <w:instrText xml:space="preserve"> PAGEREF _Toc4568 \h </w:instrText>
          </w:r>
          <w:r>
            <w:fldChar w:fldCharType="separate"/>
          </w:r>
          <w:r>
            <w:t>3</w:t>
          </w:r>
          <w:r>
            <w:fldChar w:fldCharType="end"/>
          </w:r>
          <w:r>
            <w:fldChar w:fldCharType="end"/>
          </w:r>
        </w:p>
        <w:p w14:paraId="7A8CEF6C">
          <w:pPr>
            <w:pStyle w:val="14"/>
            <w:tabs>
              <w:tab w:val="right" w:leader="dot" w:pos="9026"/>
            </w:tabs>
          </w:pPr>
          <w:r>
            <w:fldChar w:fldCharType="begin"/>
          </w:r>
          <w:r>
            <w:instrText xml:space="preserve"> HYPERLINK \l _Toc21531 </w:instrText>
          </w:r>
          <w:r>
            <w:fldChar w:fldCharType="separate"/>
          </w:r>
          <w:r>
            <w:t>引 言</w:t>
          </w:r>
          <w:r>
            <w:tab/>
          </w:r>
          <w:r>
            <w:fldChar w:fldCharType="begin"/>
          </w:r>
          <w:r>
            <w:instrText xml:space="preserve"> PAGEREF _Toc21531 \h </w:instrText>
          </w:r>
          <w:r>
            <w:fldChar w:fldCharType="separate"/>
          </w:r>
          <w:r>
            <w:t>4</w:t>
          </w:r>
          <w:r>
            <w:fldChar w:fldCharType="end"/>
          </w:r>
          <w:r>
            <w:fldChar w:fldCharType="end"/>
          </w:r>
        </w:p>
        <w:p w14:paraId="701B9D17">
          <w:pPr>
            <w:pStyle w:val="14"/>
            <w:tabs>
              <w:tab w:val="right" w:leader="dot" w:pos="9026"/>
            </w:tabs>
          </w:pPr>
          <w:r>
            <w:fldChar w:fldCharType="begin"/>
          </w:r>
          <w:r>
            <w:instrText xml:space="preserve"> HYPERLINK \l _Toc20832 </w:instrText>
          </w:r>
          <w:r>
            <w:fldChar w:fldCharType="separate"/>
          </w:r>
          <w:r>
            <w:t>1 范围</w:t>
          </w:r>
          <w:r>
            <w:tab/>
          </w:r>
          <w:r>
            <w:fldChar w:fldCharType="begin"/>
          </w:r>
          <w:r>
            <w:instrText xml:space="preserve"> PAGEREF _Toc20832 \h </w:instrText>
          </w:r>
          <w:r>
            <w:fldChar w:fldCharType="separate"/>
          </w:r>
          <w:r>
            <w:t>5</w:t>
          </w:r>
          <w:r>
            <w:fldChar w:fldCharType="end"/>
          </w:r>
          <w:r>
            <w:fldChar w:fldCharType="end"/>
          </w:r>
        </w:p>
        <w:p w14:paraId="4F6E355F">
          <w:pPr>
            <w:pStyle w:val="14"/>
            <w:tabs>
              <w:tab w:val="right" w:leader="dot" w:pos="9026"/>
            </w:tabs>
          </w:pPr>
          <w:r>
            <w:fldChar w:fldCharType="begin"/>
          </w:r>
          <w:r>
            <w:instrText xml:space="preserve"> HYPERLINK \l _Toc2389 </w:instrText>
          </w:r>
          <w:r>
            <w:fldChar w:fldCharType="separate"/>
          </w:r>
          <w:r>
            <w:t>2 规范性引用文件</w:t>
          </w:r>
          <w:r>
            <w:tab/>
          </w:r>
          <w:r>
            <w:fldChar w:fldCharType="begin"/>
          </w:r>
          <w:r>
            <w:instrText xml:space="preserve"> PAGEREF _Toc2389 \h </w:instrText>
          </w:r>
          <w:r>
            <w:fldChar w:fldCharType="separate"/>
          </w:r>
          <w:r>
            <w:t>6</w:t>
          </w:r>
          <w:r>
            <w:fldChar w:fldCharType="end"/>
          </w:r>
          <w:r>
            <w:fldChar w:fldCharType="end"/>
          </w:r>
        </w:p>
        <w:p w14:paraId="228371C7">
          <w:pPr>
            <w:pStyle w:val="14"/>
            <w:tabs>
              <w:tab w:val="right" w:leader="dot" w:pos="9026"/>
            </w:tabs>
          </w:pPr>
          <w:r>
            <w:fldChar w:fldCharType="begin"/>
          </w:r>
          <w:r>
            <w:instrText xml:space="preserve"> HYPERLINK \l _Toc7768 </w:instrText>
          </w:r>
          <w:r>
            <w:fldChar w:fldCharType="separate"/>
          </w:r>
          <w:r>
            <w:t>3 术语和定义</w:t>
          </w:r>
          <w:r>
            <w:tab/>
          </w:r>
          <w:r>
            <w:fldChar w:fldCharType="begin"/>
          </w:r>
          <w:r>
            <w:instrText xml:space="preserve"> PAGEREF _Toc7768 \h </w:instrText>
          </w:r>
          <w:r>
            <w:fldChar w:fldCharType="separate"/>
          </w:r>
          <w:r>
            <w:t>7</w:t>
          </w:r>
          <w:r>
            <w:fldChar w:fldCharType="end"/>
          </w:r>
          <w:r>
            <w:fldChar w:fldCharType="end"/>
          </w:r>
        </w:p>
        <w:p w14:paraId="4D7C9387">
          <w:pPr>
            <w:pStyle w:val="9"/>
            <w:tabs>
              <w:tab w:val="right" w:leader="dot" w:pos="9026"/>
            </w:tabs>
          </w:pPr>
          <w:r>
            <w:fldChar w:fldCharType="begin"/>
          </w:r>
          <w:r>
            <w:instrText xml:space="preserve"> HYPERLINK \l _Toc1053 </w:instrText>
          </w:r>
          <w:r>
            <w:fldChar w:fldCharType="separate"/>
          </w:r>
          <w:r>
            <w:t>3.1 SBRT 的定义</w:t>
          </w:r>
          <w:r>
            <w:tab/>
          </w:r>
          <w:r>
            <w:fldChar w:fldCharType="begin"/>
          </w:r>
          <w:r>
            <w:instrText xml:space="preserve"> PAGEREF _Toc1053 \h </w:instrText>
          </w:r>
          <w:r>
            <w:fldChar w:fldCharType="separate"/>
          </w:r>
          <w:r>
            <w:t>7</w:t>
          </w:r>
          <w:r>
            <w:fldChar w:fldCharType="end"/>
          </w:r>
          <w:r>
            <w:fldChar w:fldCharType="end"/>
          </w:r>
        </w:p>
        <w:p w14:paraId="1B681B0B">
          <w:pPr>
            <w:pStyle w:val="9"/>
            <w:tabs>
              <w:tab w:val="right" w:leader="dot" w:pos="9026"/>
            </w:tabs>
          </w:pPr>
          <w:r>
            <w:fldChar w:fldCharType="begin"/>
          </w:r>
          <w:r>
            <w:instrText xml:space="preserve"> HYPERLINK \l _Toc4624 </w:instrText>
          </w:r>
          <w:r>
            <w:fldChar w:fldCharType="separate"/>
          </w:r>
          <w:r>
            <w:t>3.2 肝癌相关定义</w:t>
          </w:r>
          <w:r>
            <w:tab/>
          </w:r>
          <w:r>
            <w:fldChar w:fldCharType="begin"/>
          </w:r>
          <w:r>
            <w:instrText xml:space="preserve"> PAGEREF _Toc4624 \h </w:instrText>
          </w:r>
          <w:r>
            <w:fldChar w:fldCharType="separate"/>
          </w:r>
          <w:r>
            <w:t>7</w:t>
          </w:r>
          <w:r>
            <w:fldChar w:fldCharType="end"/>
          </w:r>
          <w:r>
            <w:fldChar w:fldCharType="end"/>
          </w:r>
        </w:p>
        <w:p w14:paraId="30971E8A">
          <w:pPr>
            <w:pStyle w:val="14"/>
            <w:tabs>
              <w:tab w:val="right" w:leader="dot" w:pos="9026"/>
            </w:tabs>
          </w:pPr>
          <w:r>
            <w:fldChar w:fldCharType="begin"/>
          </w:r>
          <w:r>
            <w:instrText xml:space="preserve"> HYPERLINK \l _Toc24931 </w:instrText>
          </w:r>
          <w:r>
            <w:fldChar w:fldCharType="separate"/>
          </w:r>
          <w:r>
            <w:t>4 缩略词</w:t>
          </w:r>
          <w:r>
            <w:tab/>
          </w:r>
          <w:r>
            <w:fldChar w:fldCharType="begin"/>
          </w:r>
          <w:r>
            <w:instrText xml:space="preserve"> PAGEREF _Toc24931 \h </w:instrText>
          </w:r>
          <w:r>
            <w:fldChar w:fldCharType="separate"/>
          </w:r>
          <w:r>
            <w:t>7</w:t>
          </w:r>
          <w:r>
            <w:fldChar w:fldCharType="end"/>
          </w:r>
          <w:r>
            <w:fldChar w:fldCharType="end"/>
          </w:r>
        </w:p>
        <w:p w14:paraId="13DD3E84">
          <w:pPr>
            <w:pStyle w:val="14"/>
            <w:tabs>
              <w:tab w:val="right" w:leader="dot" w:pos="9026"/>
            </w:tabs>
          </w:pPr>
          <w:r>
            <w:fldChar w:fldCharType="begin"/>
          </w:r>
          <w:r>
            <w:instrText xml:space="preserve"> HYPERLINK \l _Toc8980 </w:instrText>
          </w:r>
          <w:r>
            <w:fldChar w:fldCharType="separate"/>
          </w:r>
          <w:r>
            <w:t>5 基本要求</w:t>
          </w:r>
          <w:r>
            <w:tab/>
          </w:r>
          <w:r>
            <w:fldChar w:fldCharType="begin"/>
          </w:r>
          <w:r>
            <w:instrText xml:space="preserve"> PAGEREF _Toc8980 \h </w:instrText>
          </w:r>
          <w:r>
            <w:fldChar w:fldCharType="separate"/>
          </w:r>
          <w:r>
            <w:t>8</w:t>
          </w:r>
          <w:r>
            <w:fldChar w:fldCharType="end"/>
          </w:r>
          <w:r>
            <w:fldChar w:fldCharType="end"/>
          </w:r>
        </w:p>
        <w:p w14:paraId="48E61DCF">
          <w:pPr>
            <w:pStyle w:val="9"/>
            <w:tabs>
              <w:tab w:val="right" w:leader="dot" w:pos="9026"/>
            </w:tabs>
          </w:pPr>
          <w:r>
            <w:fldChar w:fldCharType="begin"/>
          </w:r>
          <w:r>
            <w:instrText xml:space="preserve"> HYPERLINK \l _Toc15735 </w:instrText>
          </w:r>
          <w:r>
            <w:fldChar w:fldCharType="separate"/>
          </w:r>
          <w:r>
            <w:t>5.1 医疗机构基本要求</w:t>
          </w:r>
          <w:r>
            <w:tab/>
          </w:r>
          <w:r>
            <w:fldChar w:fldCharType="begin"/>
          </w:r>
          <w:r>
            <w:instrText xml:space="preserve"> PAGEREF _Toc15735 \h </w:instrText>
          </w:r>
          <w:r>
            <w:fldChar w:fldCharType="separate"/>
          </w:r>
          <w:r>
            <w:t>8</w:t>
          </w:r>
          <w:r>
            <w:fldChar w:fldCharType="end"/>
          </w:r>
          <w:r>
            <w:fldChar w:fldCharType="end"/>
          </w:r>
        </w:p>
        <w:p w14:paraId="135846F4">
          <w:pPr>
            <w:pStyle w:val="9"/>
            <w:tabs>
              <w:tab w:val="right" w:leader="dot" w:pos="9026"/>
            </w:tabs>
          </w:pPr>
          <w:r>
            <w:fldChar w:fldCharType="begin"/>
          </w:r>
          <w:r>
            <w:instrText xml:space="preserve"> HYPERLINK \l _Toc17564 </w:instrText>
          </w:r>
          <w:r>
            <w:fldChar w:fldCharType="separate"/>
          </w:r>
          <w:r>
            <w:t>5.2 设备要求</w:t>
          </w:r>
          <w:r>
            <w:tab/>
          </w:r>
          <w:r>
            <w:fldChar w:fldCharType="begin"/>
          </w:r>
          <w:r>
            <w:instrText xml:space="preserve"> PAGEREF _Toc17564 \h </w:instrText>
          </w:r>
          <w:r>
            <w:fldChar w:fldCharType="separate"/>
          </w:r>
          <w:r>
            <w:t>8</w:t>
          </w:r>
          <w:r>
            <w:fldChar w:fldCharType="end"/>
          </w:r>
          <w:r>
            <w:fldChar w:fldCharType="end"/>
          </w:r>
        </w:p>
        <w:p w14:paraId="76365237">
          <w:pPr>
            <w:pStyle w:val="9"/>
            <w:tabs>
              <w:tab w:val="right" w:leader="dot" w:pos="9026"/>
            </w:tabs>
          </w:pPr>
          <w:r>
            <w:fldChar w:fldCharType="begin"/>
          </w:r>
          <w:r>
            <w:instrText xml:space="preserve"> HYPERLINK \l _Toc3629 </w:instrText>
          </w:r>
          <w:r>
            <w:fldChar w:fldCharType="separate"/>
          </w:r>
          <w:r>
            <w:t>5.3 配套设施要求</w:t>
          </w:r>
          <w:r>
            <w:tab/>
          </w:r>
          <w:r>
            <w:fldChar w:fldCharType="begin"/>
          </w:r>
          <w:r>
            <w:instrText xml:space="preserve"> PAGEREF _Toc3629 \h </w:instrText>
          </w:r>
          <w:r>
            <w:fldChar w:fldCharType="separate"/>
          </w:r>
          <w:r>
            <w:t>9</w:t>
          </w:r>
          <w:r>
            <w:fldChar w:fldCharType="end"/>
          </w:r>
          <w:r>
            <w:fldChar w:fldCharType="end"/>
          </w:r>
        </w:p>
        <w:p w14:paraId="462D093A">
          <w:pPr>
            <w:pStyle w:val="9"/>
            <w:tabs>
              <w:tab w:val="right" w:leader="dot" w:pos="9026"/>
            </w:tabs>
          </w:pPr>
          <w:r>
            <w:fldChar w:fldCharType="begin"/>
          </w:r>
          <w:r>
            <w:instrText xml:space="preserve"> HYPERLINK \l _Toc11944 </w:instrText>
          </w:r>
          <w:r>
            <w:fldChar w:fldCharType="separate"/>
          </w:r>
          <w:r>
            <w:t>5.4 人员要求</w:t>
          </w:r>
          <w:r>
            <w:tab/>
          </w:r>
          <w:r>
            <w:fldChar w:fldCharType="begin"/>
          </w:r>
          <w:r>
            <w:instrText xml:space="preserve"> PAGEREF _Toc11944 \h </w:instrText>
          </w:r>
          <w:r>
            <w:fldChar w:fldCharType="separate"/>
          </w:r>
          <w:r>
            <w:t>10</w:t>
          </w:r>
          <w:r>
            <w:fldChar w:fldCharType="end"/>
          </w:r>
          <w:r>
            <w:fldChar w:fldCharType="end"/>
          </w:r>
        </w:p>
        <w:p w14:paraId="2B9F4BAF">
          <w:pPr>
            <w:pStyle w:val="9"/>
            <w:tabs>
              <w:tab w:val="right" w:leader="dot" w:pos="9026"/>
            </w:tabs>
          </w:pPr>
          <w:r>
            <w:fldChar w:fldCharType="begin"/>
          </w:r>
          <w:r>
            <w:instrText xml:space="preserve"> HYPERLINK \l _Toc18206 </w:instrText>
          </w:r>
          <w:r>
            <w:fldChar w:fldCharType="separate"/>
          </w:r>
          <w:r>
            <w:t>5.5 人员职责</w:t>
          </w:r>
          <w:r>
            <w:tab/>
          </w:r>
          <w:r>
            <w:fldChar w:fldCharType="begin"/>
          </w:r>
          <w:r>
            <w:instrText xml:space="preserve"> PAGEREF _Toc18206 \h </w:instrText>
          </w:r>
          <w:r>
            <w:fldChar w:fldCharType="separate"/>
          </w:r>
          <w:r>
            <w:t>10</w:t>
          </w:r>
          <w:r>
            <w:fldChar w:fldCharType="end"/>
          </w:r>
          <w:r>
            <w:fldChar w:fldCharType="end"/>
          </w:r>
        </w:p>
        <w:p w14:paraId="233848F6">
          <w:pPr>
            <w:pStyle w:val="9"/>
            <w:tabs>
              <w:tab w:val="right" w:leader="dot" w:pos="9026"/>
            </w:tabs>
          </w:pPr>
          <w:r>
            <w:fldChar w:fldCharType="begin"/>
          </w:r>
          <w:r>
            <w:instrText xml:space="preserve"> HYPERLINK \l _Toc31671 </w:instrText>
          </w:r>
          <w:r>
            <w:fldChar w:fldCharType="separate"/>
          </w:r>
          <w:r>
            <w:t>5.6 培训要求</w:t>
          </w:r>
          <w:r>
            <w:tab/>
          </w:r>
          <w:r>
            <w:fldChar w:fldCharType="begin"/>
          </w:r>
          <w:r>
            <w:instrText xml:space="preserve"> PAGEREF _Toc31671 \h </w:instrText>
          </w:r>
          <w:r>
            <w:fldChar w:fldCharType="separate"/>
          </w:r>
          <w:r>
            <w:t>11</w:t>
          </w:r>
          <w:r>
            <w:fldChar w:fldCharType="end"/>
          </w:r>
          <w:r>
            <w:fldChar w:fldCharType="end"/>
          </w:r>
        </w:p>
        <w:p w14:paraId="46ADB4B0">
          <w:pPr>
            <w:pStyle w:val="14"/>
            <w:tabs>
              <w:tab w:val="right" w:leader="dot" w:pos="9026"/>
            </w:tabs>
          </w:pPr>
          <w:r>
            <w:fldChar w:fldCharType="begin"/>
          </w:r>
          <w:r>
            <w:instrText xml:space="preserve"> HYPERLINK \l _Toc24813 </w:instrText>
          </w:r>
          <w:r>
            <w:fldChar w:fldCharType="separate"/>
          </w:r>
          <w:r>
            <w:t>6 适应症</w:t>
          </w:r>
          <w:r>
            <w:tab/>
          </w:r>
          <w:r>
            <w:fldChar w:fldCharType="begin"/>
          </w:r>
          <w:r>
            <w:instrText xml:space="preserve"> PAGEREF _Toc24813 \h </w:instrText>
          </w:r>
          <w:r>
            <w:fldChar w:fldCharType="separate"/>
          </w:r>
          <w:r>
            <w:t>12</w:t>
          </w:r>
          <w:r>
            <w:fldChar w:fldCharType="end"/>
          </w:r>
          <w:r>
            <w:fldChar w:fldCharType="end"/>
          </w:r>
        </w:p>
        <w:p w14:paraId="3C4AB74D">
          <w:pPr>
            <w:pStyle w:val="9"/>
            <w:tabs>
              <w:tab w:val="right" w:leader="dot" w:pos="9026"/>
            </w:tabs>
          </w:pPr>
          <w:r>
            <w:fldChar w:fldCharType="begin"/>
          </w:r>
          <w:r>
            <w:instrText xml:space="preserve"> HYPERLINK \l _Toc29049 </w:instrText>
          </w:r>
          <w:r>
            <w:fldChar w:fldCharType="separate"/>
          </w:r>
          <w:r>
            <w:t>6.1 小肝癌 SBRT</w:t>
          </w:r>
          <w:r>
            <w:tab/>
          </w:r>
          <w:r>
            <w:fldChar w:fldCharType="begin"/>
          </w:r>
          <w:r>
            <w:instrText xml:space="preserve"> PAGEREF _Toc29049 \h </w:instrText>
          </w:r>
          <w:r>
            <w:fldChar w:fldCharType="separate"/>
          </w:r>
          <w:r>
            <w:t>13</w:t>
          </w:r>
          <w:r>
            <w:fldChar w:fldCharType="end"/>
          </w:r>
          <w:r>
            <w:fldChar w:fldCharType="end"/>
          </w:r>
        </w:p>
        <w:p w14:paraId="6C32EB51">
          <w:pPr>
            <w:pStyle w:val="9"/>
            <w:tabs>
              <w:tab w:val="right" w:leader="dot" w:pos="9026"/>
            </w:tabs>
          </w:pPr>
          <w:r>
            <w:fldChar w:fldCharType="begin"/>
          </w:r>
          <w:r>
            <w:instrText xml:space="preserve"> HYPERLINK \l _Toc25530 </w:instrText>
          </w:r>
          <w:r>
            <w:fldChar w:fldCharType="separate"/>
          </w:r>
          <w:r>
            <w:t>6.2 局限于肝内大肝癌的 SBRT</w:t>
          </w:r>
          <w:r>
            <w:tab/>
          </w:r>
          <w:r>
            <w:fldChar w:fldCharType="begin"/>
          </w:r>
          <w:r>
            <w:instrText xml:space="preserve"> PAGEREF _Toc25530 \h </w:instrText>
          </w:r>
          <w:r>
            <w:fldChar w:fldCharType="separate"/>
          </w:r>
          <w:r>
            <w:t>13</w:t>
          </w:r>
          <w:r>
            <w:fldChar w:fldCharType="end"/>
          </w:r>
          <w:r>
            <w:fldChar w:fldCharType="end"/>
          </w:r>
        </w:p>
        <w:p w14:paraId="734E0F43">
          <w:pPr>
            <w:pStyle w:val="9"/>
            <w:tabs>
              <w:tab w:val="right" w:leader="dot" w:pos="9026"/>
            </w:tabs>
          </w:pPr>
          <w:r>
            <w:fldChar w:fldCharType="begin"/>
          </w:r>
          <w:r>
            <w:instrText xml:space="preserve"> HYPERLINK \l _Toc13304 </w:instrText>
          </w:r>
          <w:r>
            <w:fldChar w:fldCharType="separate"/>
          </w:r>
          <w:r>
            <w:t>6.3 伴有静脉癌栓肝癌的 SBRT</w:t>
          </w:r>
          <w:r>
            <w:tab/>
          </w:r>
          <w:r>
            <w:fldChar w:fldCharType="begin"/>
          </w:r>
          <w:r>
            <w:instrText xml:space="preserve"> PAGEREF _Toc13304 \h </w:instrText>
          </w:r>
          <w:r>
            <w:fldChar w:fldCharType="separate"/>
          </w:r>
          <w:r>
            <w:t>13</w:t>
          </w:r>
          <w:r>
            <w:fldChar w:fldCharType="end"/>
          </w:r>
          <w:r>
            <w:fldChar w:fldCharType="end"/>
          </w:r>
        </w:p>
        <w:p w14:paraId="79EFCEFE">
          <w:pPr>
            <w:pStyle w:val="9"/>
            <w:tabs>
              <w:tab w:val="right" w:leader="dot" w:pos="9026"/>
            </w:tabs>
          </w:pPr>
          <w:r>
            <w:fldChar w:fldCharType="begin"/>
          </w:r>
          <w:r>
            <w:instrText xml:space="preserve"> HYPERLINK \l _Toc22058 </w:instrText>
          </w:r>
          <w:r>
            <w:fldChar w:fldCharType="separate"/>
          </w:r>
          <w:r>
            <w:t>6.4 肝移植前的桥接治疗</w:t>
          </w:r>
          <w:r>
            <w:tab/>
          </w:r>
          <w:r>
            <w:fldChar w:fldCharType="begin"/>
          </w:r>
          <w:r>
            <w:instrText xml:space="preserve"> PAGEREF _Toc22058 \h </w:instrText>
          </w:r>
          <w:r>
            <w:fldChar w:fldCharType="separate"/>
          </w:r>
          <w:r>
            <w:t>14</w:t>
          </w:r>
          <w:r>
            <w:fldChar w:fldCharType="end"/>
          </w:r>
          <w:r>
            <w:fldChar w:fldCharType="end"/>
          </w:r>
        </w:p>
        <w:p w14:paraId="3B6A7E67">
          <w:pPr>
            <w:pStyle w:val="9"/>
            <w:tabs>
              <w:tab w:val="right" w:leader="dot" w:pos="9026"/>
            </w:tabs>
          </w:pPr>
          <w:r>
            <w:fldChar w:fldCharType="begin"/>
          </w:r>
          <w:r>
            <w:instrText xml:space="preserve"> HYPERLINK \l _Toc24321 </w:instrText>
          </w:r>
          <w:r>
            <w:fldChar w:fldCharType="separate"/>
          </w:r>
          <w:r>
            <w:t>6.5 术后窄切缘或切缘阳性的 SBRT</w:t>
          </w:r>
          <w:r>
            <w:tab/>
          </w:r>
          <w:r>
            <w:fldChar w:fldCharType="begin"/>
          </w:r>
          <w:r>
            <w:instrText xml:space="preserve"> PAGEREF _Toc24321 \h </w:instrText>
          </w:r>
          <w:r>
            <w:fldChar w:fldCharType="separate"/>
          </w:r>
          <w:r>
            <w:t>14</w:t>
          </w:r>
          <w:r>
            <w:fldChar w:fldCharType="end"/>
          </w:r>
          <w:r>
            <w:fldChar w:fldCharType="end"/>
          </w:r>
        </w:p>
        <w:p w14:paraId="415DC89F">
          <w:pPr>
            <w:pStyle w:val="9"/>
            <w:tabs>
              <w:tab w:val="right" w:leader="dot" w:pos="9026"/>
            </w:tabs>
          </w:pPr>
          <w:r>
            <w:fldChar w:fldCharType="begin"/>
          </w:r>
          <w:r>
            <w:instrText xml:space="preserve"> HYPERLINK \l _Toc15786 </w:instrText>
          </w:r>
          <w:r>
            <w:fldChar w:fldCharType="separate"/>
          </w:r>
          <w:r>
            <w:t>6.6 肝内胆管癌 SBRT</w:t>
          </w:r>
          <w:r>
            <w:tab/>
          </w:r>
          <w:r>
            <w:fldChar w:fldCharType="begin"/>
          </w:r>
          <w:r>
            <w:instrText xml:space="preserve"> PAGEREF _Toc15786 \h </w:instrText>
          </w:r>
          <w:r>
            <w:fldChar w:fldCharType="separate"/>
          </w:r>
          <w:r>
            <w:t>14</w:t>
          </w:r>
          <w:r>
            <w:fldChar w:fldCharType="end"/>
          </w:r>
          <w:r>
            <w:fldChar w:fldCharType="end"/>
          </w:r>
        </w:p>
        <w:p w14:paraId="5269745F">
          <w:pPr>
            <w:pStyle w:val="14"/>
            <w:tabs>
              <w:tab w:val="right" w:leader="dot" w:pos="9026"/>
            </w:tabs>
          </w:pPr>
          <w:r>
            <w:fldChar w:fldCharType="begin"/>
          </w:r>
          <w:r>
            <w:instrText xml:space="preserve"> HYPERLINK \l _Toc8147 </w:instrText>
          </w:r>
          <w:r>
            <w:fldChar w:fldCharType="separate"/>
          </w:r>
          <w:r>
            <w:t>7 靶区勾画及剂量</w:t>
          </w:r>
          <w:r>
            <w:tab/>
          </w:r>
          <w:r>
            <w:fldChar w:fldCharType="begin"/>
          </w:r>
          <w:r>
            <w:instrText xml:space="preserve"> PAGEREF _Toc8147 \h </w:instrText>
          </w:r>
          <w:r>
            <w:fldChar w:fldCharType="separate"/>
          </w:r>
          <w:r>
            <w:t>15</w:t>
          </w:r>
          <w:r>
            <w:fldChar w:fldCharType="end"/>
          </w:r>
          <w:r>
            <w:fldChar w:fldCharType="end"/>
          </w:r>
        </w:p>
        <w:p w14:paraId="003178E9">
          <w:pPr>
            <w:pStyle w:val="9"/>
            <w:tabs>
              <w:tab w:val="right" w:leader="dot" w:pos="9026"/>
            </w:tabs>
          </w:pPr>
          <w:r>
            <w:fldChar w:fldCharType="begin"/>
          </w:r>
          <w:r>
            <w:instrText xml:space="preserve"> HYPERLINK \l _Toc475 </w:instrText>
          </w:r>
          <w:r>
            <w:fldChar w:fldCharType="separate"/>
          </w:r>
          <w:r>
            <w:t>7.1 靶区勾画</w:t>
          </w:r>
          <w:r>
            <w:tab/>
          </w:r>
          <w:r>
            <w:fldChar w:fldCharType="begin"/>
          </w:r>
          <w:r>
            <w:instrText xml:space="preserve"> PAGEREF _Toc475 \h </w:instrText>
          </w:r>
          <w:r>
            <w:fldChar w:fldCharType="separate"/>
          </w:r>
          <w:r>
            <w:t>15</w:t>
          </w:r>
          <w:r>
            <w:fldChar w:fldCharType="end"/>
          </w:r>
          <w:r>
            <w:fldChar w:fldCharType="end"/>
          </w:r>
        </w:p>
        <w:p w14:paraId="77516E6B">
          <w:pPr>
            <w:pStyle w:val="9"/>
            <w:tabs>
              <w:tab w:val="right" w:leader="dot" w:pos="9026"/>
            </w:tabs>
          </w:pPr>
          <w:r>
            <w:fldChar w:fldCharType="begin"/>
          </w:r>
          <w:r>
            <w:instrText xml:space="preserve"> HYPERLINK \l _Toc31079 </w:instrText>
          </w:r>
          <w:r>
            <w:fldChar w:fldCharType="separate"/>
          </w:r>
          <w:r>
            <w:t>7.2 肿瘤照射剂量</w:t>
          </w:r>
          <w:r>
            <w:tab/>
          </w:r>
          <w:r>
            <w:fldChar w:fldCharType="begin"/>
          </w:r>
          <w:r>
            <w:instrText xml:space="preserve"> PAGEREF _Toc31079 \h </w:instrText>
          </w:r>
          <w:r>
            <w:fldChar w:fldCharType="separate"/>
          </w:r>
          <w:r>
            <w:t>16</w:t>
          </w:r>
          <w:r>
            <w:fldChar w:fldCharType="end"/>
          </w:r>
          <w:r>
            <w:fldChar w:fldCharType="end"/>
          </w:r>
        </w:p>
        <w:p w14:paraId="6F9405D8">
          <w:pPr>
            <w:pStyle w:val="9"/>
            <w:tabs>
              <w:tab w:val="right" w:leader="dot" w:pos="9026"/>
            </w:tabs>
          </w:pPr>
          <w:r>
            <w:fldChar w:fldCharType="begin"/>
          </w:r>
          <w:r>
            <w:instrText xml:space="preserve"> HYPERLINK \l _Toc21576 </w:instrText>
          </w:r>
          <w:r>
            <w:fldChar w:fldCharType="separate"/>
          </w:r>
          <w:r>
            <w:t>7.3 剂量限制</w:t>
          </w:r>
          <w:r>
            <w:tab/>
          </w:r>
          <w:r>
            <w:fldChar w:fldCharType="begin"/>
          </w:r>
          <w:r>
            <w:instrText xml:space="preserve"> PAGEREF _Toc21576 \h </w:instrText>
          </w:r>
          <w:r>
            <w:fldChar w:fldCharType="separate"/>
          </w:r>
          <w:r>
            <w:t>17</w:t>
          </w:r>
          <w:r>
            <w:fldChar w:fldCharType="end"/>
          </w:r>
          <w:r>
            <w:fldChar w:fldCharType="end"/>
          </w:r>
        </w:p>
        <w:p w14:paraId="41931187">
          <w:pPr>
            <w:pStyle w:val="14"/>
            <w:tabs>
              <w:tab w:val="right" w:leader="dot" w:pos="9026"/>
            </w:tabs>
          </w:pPr>
          <w:r>
            <w:fldChar w:fldCharType="begin"/>
          </w:r>
          <w:r>
            <w:instrText xml:space="preserve"> HYPERLINK \l _Toc28616 </w:instrText>
          </w:r>
          <w:r>
            <w:fldChar w:fldCharType="separate"/>
          </w:r>
          <w:r>
            <w:t>8 治疗流程</w:t>
          </w:r>
          <w:r>
            <w:tab/>
          </w:r>
          <w:r>
            <w:fldChar w:fldCharType="begin"/>
          </w:r>
          <w:r>
            <w:instrText xml:space="preserve"> PAGEREF _Toc28616 \h </w:instrText>
          </w:r>
          <w:r>
            <w:fldChar w:fldCharType="separate"/>
          </w:r>
          <w:r>
            <w:t>18</w:t>
          </w:r>
          <w:r>
            <w:fldChar w:fldCharType="end"/>
          </w:r>
          <w:r>
            <w:fldChar w:fldCharType="end"/>
          </w:r>
        </w:p>
        <w:p w14:paraId="519E6786">
          <w:pPr>
            <w:pStyle w:val="9"/>
            <w:tabs>
              <w:tab w:val="right" w:leader="dot" w:pos="9026"/>
            </w:tabs>
          </w:pPr>
          <w:r>
            <w:fldChar w:fldCharType="begin"/>
          </w:r>
          <w:r>
            <w:instrText xml:space="preserve"> HYPERLINK \l _Toc1743 </w:instrText>
          </w:r>
          <w:r>
            <w:fldChar w:fldCharType="separate"/>
          </w:r>
          <w:r>
            <w:t>8.1 制定治疗方案</w:t>
          </w:r>
          <w:r>
            <w:tab/>
          </w:r>
          <w:r>
            <w:fldChar w:fldCharType="begin"/>
          </w:r>
          <w:r>
            <w:instrText xml:space="preserve"> PAGEREF _Toc1743 \h </w:instrText>
          </w:r>
          <w:r>
            <w:fldChar w:fldCharType="separate"/>
          </w:r>
          <w:r>
            <w:t>18</w:t>
          </w:r>
          <w:r>
            <w:fldChar w:fldCharType="end"/>
          </w:r>
          <w:r>
            <w:fldChar w:fldCharType="end"/>
          </w:r>
        </w:p>
        <w:p w14:paraId="44D1762A">
          <w:pPr>
            <w:pStyle w:val="9"/>
            <w:tabs>
              <w:tab w:val="right" w:leader="dot" w:pos="9026"/>
            </w:tabs>
          </w:pPr>
          <w:r>
            <w:fldChar w:fldCharType="begin"/>
          </w:r>
          <w:r>
            <w:instrText xml:space="preserve"> HYPERLINK \l _Toc31571 </w:instrText>
          </w:r>
          <w:r>
            <w:fldChar w:fldCharType="separate"/>
          </w:r>
          <w:r>
            <w:t>8.2 体位固定</w:t>
          </w:r>
          <w:r>
            <w:tab/>
          </w:r>
          <w:r>
            <w:fldChar w:fldCharType="begin"/>
          </w:r>
          <w:r>
            <w:instrText xml:space="preserve"> PAGEREF _Toc31571 \h </w:instrText>
          </w:r>
          <w:r>
            <w:fldChar w:fldCharType="separate"/>
          </w:r>
          <w:r>
            <w:t>18</w:t>
          </w:r>
          <w:r>
            <w:fldChar w:fldCharType="end"/>
          </w:r>
          <w:r>
            <w:fldChar w:fldCharType="end"/>
          </w:r>
        </w:p>
        <w:p w14:paraId="1855244B">
          <w:pPr>
            <w:pStyle w:val="9"/>
            <w:tabs>
              <w:tab w:val="right" w:leader="dot" w:pos="9026"/>
            </w:tabs>
          </w:pPr>
          <w:r>
            <w:fldChar w:fldCharType="begin"/>
          </w:r>
          <w:r>
            <w:instrText xml:space="preserve"> HYPERLINK \l _Toc20078 </w:instrText>
          </w:r>
          <w:r>
            <w:fldChar w:fldCharType="separate"/>
          </w:r>
          <w:r>
            <w:t>8.3 模拟定位</w:t>
          </w:r>
          <w:r>
            <w:tab/>
          </w:r>
          <w:r>
            <w:fldChar w:fldCharType="begin"/>
          </w:r>
          <w:r>
            <w:instrText xml:space="preserve"> PAGEREF _Toc20078 \h </w:instrText>
          </w:r>
          <w:r>
            <w:fldChar w:fldCharType="separate"/>
          </w:r>
          <w:r>
            <w:t>18</w:t>
          </w:r>
          <w:r>
            <w:fldChar w:fldCharType="end"/>
          </w:r>
          <w:r>
            <w:fldChar w:fldCharType="end"/>
          </w:r>
        </w:p>
        <w:p w14:paraId="49235ADD">
          <w:pPr>
            <w:pStyle w:val="9"/>
            <w:tabs>
              <w:tab w:val="right" w:leader="dot" w:pos="9026"/>
            </w:tabs>
          </w:pPr>
          <w:r>
            <w:fldChar w:fldCharType="begin"/>
          </w:r>
          <w:r>
            <w:instrText xml:space="preserve"> HYPERLINK \l _Toc27354 </w:instrText>
          </w:r>
          <w:r>
            <w:fldChar w:fldCharType="separate"/>
          </w:r>
          <w:r>
            <w:t>8.4 靶区勾画</w:t>
          </w:r>
          <w:r>
            <w:tab/>
          </w:r>
          <w:r>
            <w:fldChar w:fldCharType="begin"/>
          </w:r>
          <w:r>
            <w:instrText xml:space="preserve"> PAGEREF _Toc27354 \h </w:instrText>
          </w:r>
          <w:r>
            <w:fldChar w:fldCharType="separate"/>
          </w:r>
          <w:r>
            <w:t>19</w:t>
          </w:r>
          <w:r>
            <w:fldChar w:fldCharType="end"/>
          </w:r>
          <w:r>
            <w:fldChar w:fldCharType="end"/>
          </w:r>
        </w:p>
        <w:p w14:paraId="0A29DC0D">
          <w:pPr>
            <w:pStyle w:val="9"/>
            <w:tabs>
              <w:tab w:val="right" w:leader="dot" w:pos="9026"/>
            </w:tabs>
          </w:pPr>
          <w:r>
            <w:fldChar w:fldCharType="begin"/>
          </w:r>
          <w:r>
            <w:instrText xml:space="preserve"> HYPERLINK \l _Toc7500 </w:instrText>
          </w:r>
          <w:r>
            <w:fldChar w:fldCharType="separate"/>
          </w:r>
          <w:r>
            <w:t>8.5 治疗计划的设计</w:t>
          </w:r>
          <w:r>
            <w:tab/>
          </w:r>
          <w:r>
            <w:fldChar w:fldCharType="begin"/>
          </w:r>
          <w:r>
            <w:instrText xml:space="preserve"> PAGEREF _Toc7500 \h </w:instrText>
          </w:r>
          <w:r>
            <w:fldChar w:fldCharType="separate"/>
          </w:r>
          <w:r>
            <w:t>19</w:t>
          </w:r>
          <w:r>
            <w:fldChar w:fldCharType="end"/>
          </w:r>
          <w:r>
            <w:fldChar w:fldCharType="end"/>
          </w:r>
        </w:p>
        <w:p w14:paraId="7F0C3C5A">
          <w:pPr>
            <w:pStyle w:val="9"/>
            <w:tabs>
              <w:tab w:val="right" w:leader="dot" w:pos="9026"/>
            </w:tabs>
          </w:pPr>
          <w:r>
            <w:fldChar w:fldCharType="begin"/>
          </w:r>
          <w:r>
            <w:instrText xml:space="preserve"> HYPERLINK \l _Toc21504 </w:instrText>
          </w:r>
          <w:r>
            <w:fldChar w:fldCharType="separate"/>
          </w:r>
          <w:r>
            <w:t>8.6 剂量验证</w:t>
          </w:r>
          <w:r>
            <w:tab/>
          </w:r>
          <w:r>
            <w:fldChar w:fldCharType="begin"/>
          </w:r>
          <w:r>
            <w:instrText xml:space="preserve"> PAGEREF _Toc21504 \h </w:instrText>
          </w:r>
          <w:r>
            <w:fldChar w:fldCharType="separate"/>
          </w:r>
          <w:r>
            <w:t>19</w:t>
          </w:r>
          <w:r>
            <w:fldChar w:fldCharType="end"/>
          </w:r>
          <w:r>
            <w:fldChar w:fldCharType="end"/>
          </w:r>
        </w:p>
        <w:p w14:paraId="173DF72E">
          <w:pPr>
            <w:pStyle w:val="9"/>
            <w:tabs>
              <w:tab w:val="right" w:leader="dot" w:pos="9026"/>
            </w:tabs>
          </w:pPr>
          <w:r>
            <w:fldChar w:fldCharType="begin"/>
          </w:r>
          <w:r>
            <w:instrText xml:space="preserve"> HYPERLINK \l _Toc22073 </w:instrText>
          </w:r>
          <w:r>
            <w:fldChar w:fldCharType="separate"/>
          </w:r>
          <w:r>
            <w:t>8.7 位置验证</w:t>
          </w:r>
          <w:r>
            <w:tab/>
          </w:r>
          <w:r>
            <w:fldChar w:fldCharType="begin"/>
          </w:r>
          <w:r>
            <w:instrText xml:space="preserve"> PAGEREF _Toc22073 \h </w:instrText>
          </w:r>
          <w:r>
            <w:fldChar w:fldCharType="separate"/>
          </w:r>
          <w:r>
            <w:t>19</w:t>
          </w:r>
          <w:r>
            <w:fldChar w:fldCharType="end"/>
          </w:r>
          <w:r>
            <w:fldChar w:fldCharType="end"/>
          </w:r>
        </w:p>
        <w:p w14:paraId="309F104A">
          <w:pPr>
            <w:pStyle w:val="9"/>
            <w:tabs>
              <w:tab w:val="right" w:leader="dot" w:pos="9026"/>
            </w:tabs>
          </w:pPr>
          <w:r>
            <w:fldChar w:fldCharType="begin"/>
          </w:r>
          <w:r>
            <w:instrText xml:space="preserve"> HYPERLINK \l _Toc27459 </w:instrText>
          </w:r>
          <w:r>
            <w:fldChar w:fldCharType="separate"/>
          </w:r>
          <w:r>
            <w:t>8.8 首次治疗摆位 (Initial Setup)</w:t>
          </w:r>
          <w:r>
            <w:tab/>
          </w:r>
          <w:r>
            <w:fldChar w:fldCharType="begin"/>
          </w:r>
          <w:r>
            <w:instrText xml:space="preserve"> PAGEREF _Toc27459 \h </w:instrText>
          </w:r>
          <w:r>
            <w:fldChar w:fldCharType="separate"/>
          </w:r>
          <w:r>
            <w:t>20</w:t>
          </w:r>
          <w:r>
            <w:fldChar w:fldCharType="end"/>
          </w:r>
          <w:r>
            <w:fldChar w:fldCharType="end"/>
          </w:r>
        </w:p>
        <w:p w14:paraId="6EB55DF0">
          <w:pPr>
            <w:pStyle w:val="9"/>
            <w:tabs>
              <w:tab w:val="right" w:leader="dot" w:pos="9026"/>
            </w:tabs>
          </w:pPr>
          <w:r>
            <w:fldChar w:fldCharType="begin"/>
          </w:r>
          <w:r>
            <w:instrText xml:space="preserve"> HYPERLINK \l _Toc27895 </w:instrText>
          </w:r>
          <w:r>
            <w:fldChar w:fldCharType="separate"/>
          </w:r>
          <w:r>
            <w:t>8.9 肿瘤位置的监测</w:t>
          </w:r>
          <w:r>
            <w:tab/>
          </w:r>
          <w:r>
            <w:fldChar w:fldCharType="begin"/>
          </w:r>
          <w:r>
            <w:instrText xml:space="preserve"> PAGEREF _Toc27895 \h </w:instrText>
          </w:r>
          <w:r>
            <w:fldChar w:fldCharType="separate"/>
          </w:r>
          <w:r>
            <w:t>20</w:t>
          </w:r>
          <w:r>
            <w:fldChar w:fldCharType="end"/>
          </w:r>
          <w:r>
            <w:fldChar w:fldCharType="end"/>
          </w:r>
        </w:p>
        <w:p w14:paraId="70A42286">
          <w:pPr>
            <w:pStyle w:val="9"/>
            <w:tabs>
              <w:tab w:val="right" w:leader="dot" w:pos="9026"/>
            </w:tabs>
          </w:pPr>
          <w:r>
            <w:fldChar w:fldCharType="begin"/>
          </w:r>
          <w:r>
            <w:instrText xml:space="preserve"> HYPERLINK \l _Toc10643 </w:instrText>
          </w:r>
          <w:r>
            <w:fldChar w:fldCharType="separate"/>
          </w:r>
          <w:r>
            <w:t>8.10 实施</w:t>
          </w:r>
          <w:r>
            <w:tab/>
          </w:r>
          <w:r>
            <w:fldChar w:fldCharType="begin"/>
          </w:r>
          <w:r>
            <w:instrText xml:space="preserve"> PAGEREF _Toc10643 \h </w:instrText>
          </w:r>
          <w:r>
            <w:fldChar w:fldCharType="separate"/>
          </w:r>
          <w:r>
            <w:t>20</w:t>
          </w:r>
          <w:r>
            <w:fldChar w:fldCharType="end"/>
          </w:r>
          <w:r>
            <w:fldChar w:fldCharType="end"/>
          </w:r>
        </w:p>
        <w:p w14:paraId="26A5CA51">
          <w:pPr>
            <w:pStyle w:val="9"/>
            <w:tabs>
              <w:tab w:val="right" w:leader="dot" w:pos="9026"/>
            </w:tabs>
          </w:pPr>
          <w:r>
            <w:fldChar w:fldCharType="begin"/>
          </w:r>
          <w:r>
            <w:instrText xml:space="preserve"> HYPERLINK \l _Toc25100 </w:instrText>
          </w:r>
          <w:r>
            <w:fldChar w:fldCharType="separate"/>
          </w:r>
          <w:r>
            <w:t>8.11 与其他治疗的联合</w:t>
          </w:r>
          <w:r>
            <w:tab/>
          </w:r>
          <w:r>
            <w:fldChar w:fldCharType="begin"/>
          </w:r>
          <w:r>
            <w:instrText xml:space="preserve"> PAGEREF _Toc25100 \h </w:instrText>
          </w:r>
          <w:r>
            <w:fldChar w:fldCharType="separate"/>
          </w:r>
          <w:r>
            <w:t>20</w:t>
          </w:r>
          <w:r>
            <w:fldChar w:fldCharType="end"/>
          </w:r>
          <w:r>
            <w:fldChar w:fldCharType="end"/>
          </w:r>
        </w:p>
        <w:p w14:paraId="50DBC93B">
          <w:pPr>
            <w:pStyle w:val="9"/>
            <w:tabs>
              <w:tab w:val="right" w:leader="dot" w:pos="9026"/>
            </w:tabs>
          </w:pPr>
          <w:r>
            <w:fldChar w:fldCharType="begin"/>
          </w:r>
          <w:r>
            <w:instrText xml:space="preserve"> HYPERLINK \l _Toc4966 </w:instrText>
          </w:r>
          <w:r>
            <w:fldChar w:fldCharType="separate"/>
          </w:r>
          <w:r>
            <w:t>8.12 疗效评估及随访</w:t>
          </w:r>
          <w:r>
            <w:tab/>
          </w:r>
          <w:r>
            <w:fldChar w:fldCharType="begin"/>
          </w:r>
          <w:r>
            <w:instrText xml:space="preserve"> PAGEREF _Toc4966 \h </w:instrText>
          </w:r>
          <w:r>
            <w:fldChar w:fldCharType="separate"/>
          </w:r>
          <w:r>
            <w:t>22</w:t>
          </w:r>
          <w:r>
            <w:fldChar w:fldCharType="end"/>
          </w:r>
          <w:r>
            <w:fldChar w:fldCharType="end"/>
          </w:r>
        </w:p>
        <w:p w14:paraId="01FD7A49">
          <w:pPr>
            <w:pStyle w:val="14"/>
            <w:tabs>
              <w:tab w:val="right" w:leader="dot" w:pos="9026"/>
            </w:tabs>
          </w:pPr>
          <w:r>
            <w:fldChar w:fldCharType="begin"/>
          </w:r>
          <w:r>
            <w:instrText xml:space="preserve"> HYPERLINK \l _Toc15859 </w:instrText>
          </w:r>
          <w:r>
            <w:fldChar w:fldCharType="separate"/>
          </w:r>
          <w:r>
            <w:t>9 质量控制</w:t>
          </w:r>
          <w:r>
            <w:tab/>
          </w:r>
          <w:r>
            <w:fldChar w:fldCharType="begin"/>
          </w:r>
          <w:r>
            <w:instrText xml:space="preserve"> PAGEREF _Toc15859 \h </w:instrText>
          </w:r>
          <w:r>
            <w:fldChar w:fldCharType="separate"/>
          </w:r>
          <w:r>
            <w:t>22</w:t>
          </w:r>
          <w:r>
            <w:fldChar w:fldCharType="end"/>
          </w:r>
          <w:r>
            <w:fldChar w:fldCharType="end"/>
          </w:r>
        </w:p>
        <w:p w14:paraId="21786583">
          <w:pPr>
            <w:pStyle w:val="9"/>
            <w:tabs>
              <w:tab w:val="right" w:leader="dot" w:pos="9026"/>
            </w:tabs>
          </w:pPr>
          <w:r>
            <w:fldChar w:fldCharType="begin"/>
          </w:r>
          <w:r>
            <w:instrText xml:space="preserve"> HYPERLINK \l _Toc21931 </w:instrText>
          </w:r>
          <w:r>
            <w:fldChar w:fldCharType="separate"/>
          </w:r>
          <w:r>
            <w:t>9.1 人员质控</w:t>
          </w:r>
          <w:r>
            <w:tab/>
          </w:r>
          <w:r>
            <w:fldChar w:fldCharType="begin"/>
          </w:r>
          <w:r>
            <w:instrText xml:space="preserve"> PAGEREF _Toc21931 \h </w:instrText>
          </w:r>
          <w:r>
            <w:fldChar w:fldCharType="separate"/>
          </w:r>
          <w:r>
            <w:t>22</w:t>
          </w:r>
          <w:r>
            <w:fldChar w:fldCharType="end"/>
          </w:r>
          <w:r>
            <w:fldChar w:fldCharType="end"/>
          </w:r>
        </w:p>
        <w:p w14:paraId="3547BA23">
          <w:pPr>
            <w:pStyle w:val="9"/>
            <w:tabs>
              <w:tab w:val="right" w:leader="dot" w:pos="9026"/>
            </w:tabs>
          </w:pPr>
          <w:r>
            <w:fldChar w:fldCharType="begin"/>
          </w:r>
          <w:r>
            <w:instrText xml:space="preserve"> HYPERLINK \l _Toc3800 </w:instrText>
          </w:r>
          <w:r>
            <w:fldChar w:fldCharType="separate"/>
          </w:r>
          <w:r>
            <w:t>9.2 设备质控</w:t>
          </w:r>
          <w:r>
            <w:tab/>
          </w:r>
          <w:r>
            <w:fldChar w:fldCharType="begin"/>
          </w:r>
          <w:r>
            <w:instrText xml:space="preserve"> PAGEREF _Toc3800 \h </w:instrText>
          </w:r>
          <w:r>
            <w:fldChar w:fldCharType="separate"/>
          </w:r>
          <w:r>
            <w:t>23</w:t>
          </w:r>
          <w:r>
            <w:fldChar w:fldCharType="end"/>
          </w:r>
          <w:r>
            <w:fldChar w:fldCharType="end"/>
          </w:r>
        </w:p>
        <w:p w14:paraId="44434C5E">
          <w:pPr>
            <w:pStyle w:val="9"/>
            <w:tabs>
              <w:tab w:val="right" w:leader="dot" w:pos="9026"/>
            </w:tabs>
          </w:pPr>
          <w:r>
            <w:fldChar w:fldCharType="begin"/>
          </w:r>
          <w:r>
            <w:instrText xml:space="preserve"> HYPERLINK \l _Toc20229 </w:instrText>
          </w:r>
          <w:r>
            <w:fldChar w:fldCharType="separate"/>
          </w:r>
          <w:r>
            <w:t>9.3 流程质控</w:t>
          </w:r>
          <w:r>
            <w:tab/>
          </w:r>
          <w:r>
            <w:fldChar w:fldCharType="begin"/>
          </w:r>
          <w:r>
            <w:instrText xml:space="preserve"> PAGEREF _Toc20229 \h </w:instrText>
          </w:r>
          <w:r>
            <w:fldChar w:fldCharType="separate"/>
          </w:r>
          <w:r>
            <w:t>23</w:t>
          </w:r>
          <w:r>
            <w:fldChar w:fldCharType="end"/>
          </w:r>
          <w:r>
            <w:fldChar w:fldCharType="end"/>
          </w:r>
        </w:p>
        <w:p w14:paraId="35AB65BA">
          <w:pPr>
            <w:pStyle w:val="14"/>
            <w:tabs>
              <w:tab w:val="right" w:leader="dot" w:pos="9026"/>
            </w:tabs>
          </w:pPr>
          <w:r>
            <w:fldChar w:fldCharType="begin"/>
          </w:r>
          <w:r>
            <w:instrText xml:space="preserve"> HYPERLINK \l _Toc17741 </w:instrText>
          </w:r>
          <w:r>
            <w:fldChar w:fldCharType="separate"/>
          </w:r>
          <w:r>
            <w:t>附录 A（规范性附录） 危及器官剂量限值相关表格</w:t>
          </w:r>
          <w:r>
            <w:tab/>
          </w:r>
          <w:r>
            <w:fldChar w:fldCharType="begin"/>
          </w:r>
          <w:r>
            <w:instrText xml:space="preserve"> PAGEREF _Toc17741 \h </w:instrText>
          </w:r>
          <w:r>
            <w:fldChar w:fldCharType="separate"/>
          </w:r>
          <w:r>
            <w:t>24</w:t>
          </w:r>
          <w:r>
            <w:fldChar w:fldCharType="end"/>
          </w:r>
          <w:r>
            <w:fldChar w:fldCharType="end"/>
          </w:r>
        </w:p>
        <w:p w14:paraId="385F8FCC">
          <w:pPr>
            <w:pStyle w:val="14"/>
            <w:tabs>
              <w:tab w:val="right" w:leader="dot" w:pos="9026"/>
            </w:tabs>
          </w:pPr>
          <w:r>
            <w:fldChar w:fldCharType="begin"/>
          </w:r>
          <w:r>
            <w:instrText xml:space="preserve"> HYPERLINK \l _Toc4153 </w:instrText>
          </w:r>
          <w:r>
            <w:fldChar w:fldCharType="separate"/>
          </w:r>
          <w:r>
            <w:t>参考文献</w:t>
          </w:r>
          <w:r>
            <w:tab/>
          </w:r>
          <w:r>
            <w:fldChar w:fldCharType="begin"/>
          </w:r>
          <w:r>
            <w:instrText xml:space="preserve"> PAGEREF _Toc4153 \h </w:instrText>
          </w:r>
          <w:r>
            <w:fldChar w:fldCharType="separate"/>
          </w:r>
          <w:r>
            <w:t>27</w:t>
          </w:r>
          <w:r>
            <w:fldChar w:fldCharType="end"/>
          </w:r>
          <w:r>
            <w:fldChar w:fldCharType="end"/>
          </w:r>
        </w:p>
        <w:p w14:paraId="4AE4AAFF">
          <w:pPr>
            <w:pStyle w:val="22"/>
            <w:rPr>
              <w:rFonts w:ascii="Arial" w:hAnsi="Arial" w:eastAsia="等线" w:cs="Arial"/>
              <w:sz w:val="22"/>
              <w:szCs w:val="22"/>
            </w:rPr>
          </w:pPr>
          <w:r>
            <w:fldChar w:fldCharType="end"/>
          </w:r>
        </w:p>
      </w:sdtContent>
    </w:sdt>
    <w:p w14:paraId="6C4AFA2D">
      <w:pPr>
        <w:pStyle w:val="3"/>
      </w:pPr>
    </w:p>
    <w:p w14:paraId="37D94A3C">
      <w:pPr>
        <w:pStyle w:val="3"/>
        <w:ind w:firstLine="3842" w:firstLineChars="1200"/>
      </w:pPr>
      <w:bookmarkStart w:id="0" w:name="_Toc4568"/>
      <w:r>
        <w:t>前 言</w:t>
      </w:r>
      <w:bookmarkEnd w:id="0"/>
    </w:p>
    <w:p w14:paraId="5DE78F7F">
      <w:pPr>
        <w:pStyle w:val="22"/>
      </w:pPr>
      <w:r>
        <w:t>本文件按照 GB/T 1.1-2020《标准化工作导则 第 1 部分：标准化文件的结构和起草规则》的规定起草。</w:t>
      </w:r>
    </w:p>
    <w:p w14:paraId="69B05CAD">
      <w:pPr>
        <w:pStyle w:val="22"/>
      </w:pPr>
      <w:r>
        <w:t>请注意本文件的某些内容可能涉及专利。本文件的发布机构不承担识别专利的责任。</w:t>
      </w:r>
    </w:p>
    <w:p w14:paraId="17EBA48B">
      <w:pPr>
        <w:pStyle w:val="22"/>
      </w:pPr>
      <w:r>
        <w:t>本文件参考《国家标准管理办法》《计量法》。</w:t>
      </w:r>
    </w:p>
    <w:p w14:paraId="589146BA">
      <w:pPr>
        <w:pStyle w:val="22"/>
      </w:pPr>
      <w:r>
        <w:t>本标准主要起草单位：武汉市放疗质控中心（武汉市第五医院）、复旦大学上海中山医院、山东省肿瘤医院、天津肿瘤医院、广州医科大学附属肿瘤医院、上海长海医院、首都医科大学天坛医院、北京医院、中国人民解放军联勤保障部队第九四〇医院、温州医科大学附属一院、青岛市肿瘤医院、开封市肿瘤医院。</w:t>
      </w:r>
    </w:p>
    <w:p w14:paraId="3BD2ECFF">
      <w:pPr>
        <w:pStyle w:val="22"/>
      </w:pPr>
      <w:r>
        <w:t>参加起草单位：北京大学第三医院、中山大学肿瘤医院、四川省肿瘤医院、复旦大学肿瘤医院、北京大学第一医院、重庆大学肿瘤医院、福建省肿瘤医院、兰州大学、武汉大学人民医院、河南省肿瘤医院、四川大学华西医院、郑州大学第一附属医院、枣庄市肿瘤医院、广州医科大学肿瘤医院、南方医科大学中西结合医院、暨南大学华侨医院、中山大学第一医院、华中科技大学同济医学院同济医院、广西医科大学肿瘤医院、大连市中心医院等。</w:t>
      </w:r>
    </w:p>
    <w:p w14:paraId="482C1BA0">
      <w:pPr>
        <w:pStyle w:val="22"/>
      </w:pPr>
      <w:r>
        <w:t>指导专家：于金明 马骏 徐国镇 胡逸民 申文江 李晔雄 郎锦义 王俊杰 李宝生 张福泉 高献书 吴永忠 王 平 王连元 杨道科 陈传本 潘力</w:t>
      </w:r>
    </w:p>
    <w:p w14:paraId="467C602F">
      <w:pPr>
        <w:pStyle w:val="22"/>
      </w:pPr>
      <w:r>
        <w:t>起草人：龙志雄 邢力刚 曾昭冲 陈一兴 袁智勇 张火俊 孙时斌 孔凤鸣 郑荣辉 张宗春 李莎 廖志伟</w:t>
      </w:r>
    </w:p>
    <w:p w14:paraId="583D5845">
      <w:pPr>
        <w:pStyle w:val="22"/>
      </w:pPr>
      <w:r>
        <w:t>参与起草人：康静波 陈佳艺 朱小东 席许平 陈念永 钟军 王颖 郑颖娟 田野 何侠 程光惠 尹勇 黄晓延 柏森 赵路军 毛凯 阮长利 魏夏平 李振江 王惠 黄颖 刘艳屏 张江洲 万欢 曲宝林 黄润生 梁军潮 潘绵顺 郁志龙 邵秋菊 林宇 于德全 谢启超 张烨 刘原照 李建成 曹永珍 单国用 王恩敏 麦海强 赵充 韩非 袁娅维 任娟 白书衡 申良方 黎建绪 申戈 王峰 罗勇 吴开良 袁双虎 李建军 周伟 陶丹 杨镇洲 宋启斌 付振明 姚毅 葛红 贺春雨 徐向英 刘林林 李光 王维虎 黄慧 梁世雄 吴君心 钟亚华 袁响林 杨坤禹 李贵林 陈永顺 徐本华 张利伟 陈卫东 张涛 张罗生 马茗微 李洪振 王铁君 章真 陈锦飞 王若雨 朱广迎 朱健 黄伟 张秋宁 胡钦勇 李黎波 戈伟 聂大红 王奕鸣 赵仁 吴登斌 万海涛 李建雄 胡克 李险峰 王桂华 王宗烨 张盛 褚倩 张明生 翟传岭</w:t>
      </w:r>
    </w:p>
    <w:p w14:paraId="3C2DEFC4">
      <w:pPr>
        <w:pStyle w:val="22"/>
      </w:pPr>
    </w:p>
    <w:p w14:paraId="175C5AF0">
      <w:pPr>
        <w:pStyle w:val="3"/>
      </w:pPr>
    </w:p>
    <w:p w14:paraId="06C71BB7">
      <w:pPr>
        <w:pStyle w:val="3"/>
      </w:pPr>
    </w:p>
    <w:p w14:paraId="7970DB0A">
      <w:pPr>
        <w:pStyle w:val="3"/>
      </w:pPr>
    </w:p>
    <w:p w14:paraId="2A3BD8B5">
      <w:pPr>
        <w:pStyle w:val="3"/>
      </w:pPr>
    </w:p>
    <w:p w14:paraId="4022D097">
      <w:pPr>
        <w:pStyle w:val="3"/>
        <w:jc w:val="center"/>
      </w:pPr>
      <w:bookmarkStart w:id="1" w:name="_Toc21531"/>
      <w:r>
        <w:t>引 言</w:t>
      </w:r>
      <w:bookmarkEnd w:id="1"/>
    </w:p>
    <w:p w14:paraId="601D0DC0">
      <w:pPr>
        <w:pStyle w:val="22"/>
      </w:pPr>
      <w:r>
        <w:t>随着放疗技术的快速发展，放疗新技术不断涌现，立体定向放疗技术相对复杂，放疗临床面临前所未有的挑战。一方面，传统放疗技术在提高肿瘤剂量方面存在局限，难以满足肿瘤控制需求；另一方面，不同医疗机构在立体定向放疗靶区勾画、剂量分割及质量控制标准上存在差异，导致立体定向放射治疗缺乏可比性，影响临床决策的科学性与一致性。此外，伴随个体化医疗、立体定向放射外科治疗等理念的普及，对保障放疗安全、优化治疗效果的关键环节，亟需统一规范立体定向放疗的通用要求，以提升放射治疗质量与效果。</w:t>
      </w:r>
    </w:p>
    <w:p w14:paraId="7E105C6F">
      <w:pPr>
        <w:pStyle w:val="22"/>
      </w:pPr>
      <w:r>
        <w:t>本要求旨在建立一套覆盖肝癌及胆管癌立体定向放疗全流程的标准化体系，包括质量控制等环节。通过明确技术参数、操作规范与评价标准，推动肝癌及胆管癌立体定向放疗技术的规范化与同质化，降低治疗风险，为临床治疗和临床研究提供可靠数据支撑。其意义不仅在于提升医疗质量，减少放疗安全隐患，更有助于推动放疗学科发展，促进产学研医深度融合，增强我国在临床放疗领域的国际话语权。</w:t>
      </w:r>
    </w:p>
    <w:p w14:paraId="758AE60B">
      <w:pPr>
        <w:pStyle w:val="22"/>
      </w:pPr>
      <w:r>
        <w:t>本通用要求编制过程遵循 “科学性、实用性、前瞻性” 原则，联合临床医疗机构、科研院所及企业专家，结合国内外最新肝癌及胆管癌立体定向放疗研究成果与行业实践，系统梳理肝癌及胆管癌立体定向放疗中的共性问题与技术瓶颈。通过文献调研、专家论证及多中心验证，综合考虑不同医院的特点与适用场景，形成涵盖肝癌及胆管癌立体定向放疗全流程的完整框架。同时，充分借鉴国际标准及相关指南，确保本要求与国际接轨，满足我国临床立体定向放疗的本土化需求。</w:t>
      </w:r>
    </w:p>
    <w:p w14:paraId="1495E174">
      <w:pPr>
        <w:pStyle w:val="22"/>
      </w:pPr>
      <w:r>
        <w:t>该要求适用于各级医疗机构肿瘤科、放疗科，可指导放疗中心临床工作，助力精准医疗与肝癌及胆管癌立体定向放疗临床转化，最终实现优化立体定向放射治疗方案、保障患者放疗安全的目标。</w:t>
      </w:r>
    </w:p>
    <w:p w14:paraId="62422A31">
      <w:pPr>
        <w:pStyle w:val="22"/>
      </w:pPr>
    </w:p>
    <w:p w14:paraId="44DC2E62">
      <w:pPr>
        <w:pStyle w:val="22"/>
      </w:pPr>
    </w:p>
    <w:p w14:paraId="772C3B90">
      <w:pPr>
        <w:pStyle w:val="22"/>
      </w:pPr>
    </w:p>
    <w:p w14:paraId="78E64EFA">
      <w:pPr>
        <w:pStyle w:val="22"/>
      </w:pPr>
    </w:p>
    <w:p w14:paraId="6C221B00">
      <w:pPr>
        <w:pStyle w:val="22"/>
      </w:pPr>
    </w:p>
    <w:p w14:paraId="6C1C1270">
      <w:pPr>
        <w:pStyle w:val="22"/>
      </w:pPr>
    </w:p>
    <w:p w14:paraId="75461C39">
      <w:pPr>
        <w:pStyle w:val="22"/>
      </w:pPr>
    </w:p>
    <w:p w14:paraId="704BC9BB">
      <w:pPr>
        <w:pStyle w:val="22"/>
      </w:pPr>
    </w:p>
    <w:p w14:paraId="7A14CD24">
      <w:pPr>
        <w:pStyle w:val="22"/>
      </w:pPr>
    </w:p>
    <w:p w14:paraId="23371233">
      <w:pPr>
        <w:pStyle w:val="22"/>
      </w:pPr>
    </w:p>
    <w:p w14:paraId="57CB3FEE">
      <w:pPr>
        <w:pStyle w:val="22"/>
      </w:pPr>
    </w:p>
    <w:p w14:paraId="7DDF2D6D">
      <w:pPr>
        <w:pStyle w:val="22"/>
      </w:pPr>
      <w:bookmarkStart w:id="45" w:name="_GoBack"/>
      <w:bookmarkEnd w:id="45"/>
    </w:p>
    <w:p w14:paraId="6BD2D4B5">
      <w:pPr>
        <w:pStyle w:val="3"/>
      </w:pPr>
      <w:bookmarkStart w:id="2" w:name="_Toc20832"/>
      <w:r>
        <w:t>1 范围</w:t>
      </w:r>
      <w:bookmarkEnd w:id="2"/>
    </w:p>
    <w:p w14:paraId="307B6474">
      <w:pPr>
        <w:pStyle w:val="22"/>
      </w:pPr>
      <w:r>
        <w:t>本标准规定了肝癌及胆管癌的立体定向放疗治疗规范。</w:t>
      </w:r>
    </w:p>
    <w:p w14:paraId="5B1BE78C">
      <w:pPr>
        <w:pStyle w:val="22"/>
      </w:pPr>
      <w:r>
        <w:t>本标准适用于肝癌及胆管癌的根治性放疗、姑息性放疗、桥接放疗、术后放疗等。</w:t>
      </w:r>
    </w:p>
    <w:p w14:paraId="4311E0CE">
      <w:pPr>
        <w:pStyle w:val="22"/>
      </w:pPr>
      <w:r>
        <w:t>本规范的目的是让从事肝癌及胆管癌诊治的临床医生，尤其是从事肿瘤和肿瘤放射治疗的临床医生，了解立体定向放疗在肝癌及胆管癌综合治疗中的作用，并能够在诊疗过程中正确地开展肝癌及胆管癌立体定向放射治疗。另外，规范的制订也是让从事放疗的医务人员清楚肝癌及胆管癌立体定向放疗的适应症、实施过程的具体问题，从而使更多的肝癌及胆管癌患者能从放疗及综合治疗中获益。</w:t>
      </w:r>
    </w:p>
    <w:p w14:paraId="2949A602">
      <w:pPr>
        <w:pBdr>
          <w:bottom w:val="single" w:color="auto" w:sz="6" w:space="1"/>
        </w:pBdr>
      </w:pPr>
    </w:p>
    <w:p w14:paraId="4D57613C">
      <w:pPr>
        <w:pStyle w:val="22"/>
      </w:pPr>
    </w:p>
    <w:p w14:paraId="4A9F702F">
      <w:pPr>
        <w:pStyle w:val="3"/>
      </w:pPr>
      <w:bookmarkStart w:id="3" w:name="_Toc2389"/>
      <w:r>
        <w:t>2 规范性引用文件</w:t>
      </w:r>
      <w:bookmarkEnd w:id="3"/>
    </w:p>
    <w:p w14:paraId="336316C6">
      <w:pPr>
        <w:pStyle w:val="22"/>
      </w:pPr>
      <w:r>
        <w:t>下列文件对本标准的应用是必不可少的。凡是注日期的引用文件，仅注日期的版本适用于本文件。凡是不注日期的引用文件，其最新版本（包括所有的修改单）适用于本文件。</w:t>
      </w:r>
    </w:p>
    <w:p w14:paraId="6560C5D8">
      <w:pPr>
        <w:pStyle w:val="22"/>
        <w:numPr>
          <w:ilvl w:val="0"/>
          <w:numId w:val="1"/>
        </w:numPr>
      </w:pPr>
      <w:r>
        <w:t>《体部立体定向放射治疗呼吸门控技术运动管理团体标准》（T/SBIAORG 0001-2024）</w:t>
      </w:r>
    </w:p>
    <w:p w14:paraId="363F3B40">
      <w:pPr>
        <w:pStyle w:val="22"/>
        <w:numPr>
          <w:ilvl w:val="0"/>
          <w:numId w:val="1"/>
        </w:numPr>
      </w:pPr>
      <w:r>
        <w:t>美国医学物理师协会 TG-101 报告 危及器官的限量</w:t>
      </w:r>
    </w:p>
    <w:p w14:paraId="37F842EA">
      <w:pPr>
        <w:pStyle w:val="22"/>
        <w:numPr>
          <w:ilvl w:val="0"/>
          <w:numId w:val="1"/>
        </w:numPr>
      </w:pPr>
      <w:r>
        <w:t>GBZ/T 149 医学放射工作人员的卫生防护培训规范</w:t>
      </w:r>
    </w:p>
    <w:p w14:paraId="04F72B07">
      <w:pPr>
        <w:pStyle w:val="22"/>
        <w:numPr>
          <w:ilvl w:val="0"/>
          <w:numId w:val="1"/>
        </w:numPr>
      </w:pPr>
      <w:r>
        <w:t>ISBN 978-7-5742-0908-4 中国肿瘤整合诊治技术指南（CACA）</w:t>
      </w:r>
    </w:p>
    <w:p w14:paraId="04D5887B">
      <w:pPr>
        <w:pStyle w:val="22"/>
        <w:numPr>
          <w:ilvl w:val="0"/>
          <w:numId w:val="1"/>
        </w:numPr>
      </w:pPr>
      <w:r>
        <w:t>NCC/T-RT 009-2023 肿瘤放射治疗质量安全评价标准指南</w:t>
      </w:r>
    </w:p>
    <w:p w14:paraId="481E2325">
      <w:pPr>
        <w:pStyle w:val="22"/>
        <w:numPr>
          <w:ilvl w:val="0"/>
          <w:numId w:val="1"/>
        </w:numPr>
      </w:pPr>
      <w:r>
        <w:t>AAPM TG40 放射肿瘤学全面质量保证（Comprehensive Quality Assurance for Radiation Oncology）</w:t>
      </w:r>
    </w:p>
    <w:p w14:paraId="0D6AE69E">
      <w:pPr>
        <w:pStyle w:val="22"/>
        <w:numPr>
          <w:ilvl w:val="0"/>
          <w:numId w:val="1"/>
        </w:numPr>
      </w:pPr>
      <w:r>
        <w:t>AAPM TG76 放射肿瘤学中呼吸运动管理（The Management of Respiratory Motion in Radiation Oncology）</w:t>
      </w:r>
    </w:p>
    <w:p w14:paraId="1D90753F">
      <w:pPr>
        <w:pStyle w:val="22"/>
        <w:numPr>
          <w:ilvl w:val="0"/>
          <w:numId w:val="1"/>
        </w:numPr>
      </w:pPr>
      <w:r>
        <w:t>ICRU 第 50 号报告 光子束治疗的处方、记录和报告（Prescribing, Recording, and Reporting Photon Beam Therapy）</w:t>
      </w:r>
    </w:p>
    <w:p w14:paraId="09B47199">
      <w:pPr>
        <w:pStyle w:val="22"/>
        <w:numPr>
          <w:ilvl w:val="0"/>
          <w:numId w:val="1"/>
        </w:numPr>
      </w:pPr>
      <w:r>
        <w:t>ICRU 第 62 号报告 光子束治疗的处方、记录和报告 ——ICRU 第 50 号报告补充（Prescribing, Recording, and Reporting Photon Beam Therapy (Supplement to ICRU Report 50）</w:t>
      </w:r>
    </w:p>
    <w:p w14:paraId="204E65D1">
      <w:pPr>
        <w:pStyle w:val="22"/>
        <w:numPr>
          <w:ilvl w:val="0"/>
          <w:numId w:val="1"/>
        </w:numPr>
      </w:pPr>
      <w:r>
        <w:t>ICRU 第 83 号报告 调强放射治疗的处方、记录和报告（Prescribing, Recording, and Reporting of Intensity-Modulated Radiotherapy）</w:t>
      </w:r>
    </w:p>
    <w:p w14:paraId="4B4C8168">
      <w:pPr>
        <w:pStyle w:val="22"/>
        <w:numPr>
          <w:ilvl w:val="0"/>
          <w:numId w:val="1"/>
        </w:numPr>
      </w:pPr>
      <w:r>
        <w:t>IAEA TRS398 外照射放射治疗中吸收剂量的确定 —— 基于水吸收剂量标准的国际剂量学实践准则（Absorbed Dose Determination in External Beam Radiotherapy: An International Code of Practice for Dosimetry based on Standards of Absorbed Dose to Water）</w:t>
      </w:r>
    </w:p>
    <w:p w14:paraId="2D54FDAD">
      <w:pPr>
        <w:pStyle w:val="22"/>
        <w:numPr>
          <w:ilvl w:val="0"/>
          <w:numId w:val="1"/>
        </w:numPr>
      </w:pPr>
      <w:r>
        <w:t>英国肿瘤研究中心专家共识：危及器官的限量</w:t>
      </w:r>
    </w:p>
    <w:p w14:paraId="1C464361">
      <w:pPr>
        <w:pStyle w:val="22"/>
      </w:pPr>
    </w:p>
    <w:p w14:paraId="63AB5D88">
      <w:pPr>
        <w:pBdr>
          <w:bottom w:val="single" w:color="auto" w:sz="6" w:space="1"/>
        </w:pBdr>
      </w:pPr>
    </w:p>
    <w:p w14:paraId="397D6071">
      <w:pPr>
        <w:pStyle w:val="3"/>
      </w:pPr>
      <w:bookmarkStart w:id="4" w:name="_Toc7768"/>
      <w:r>
        <w:t>3 术语和定义</w:t>
      </w:r>
      <w:bookmarkEnd w:id="4"/>
    </w:p>
    <w:p w14:paraId="7BDB2F97">
      <w:pPr>
        <w:pStyle w:val="4"/>
      </w:pPr>
      <w:bookmarkStart w:id="5" w:name="_Toc1053"/>
      <w:r>
        <w:t>3.1 SBRT 的定义</w:t>
      </w:r>
      <w:bookmarkEnd w:id="5"/>
    </w:p>
    <w:p w14:paraId="3BCC3E53">
      <w:pPr>
        <w:pStyle w:val="22"/>
      </w:pPr>
      <w:r>
        <w:t>SBRT 基于多模态影像引导与高精度剂量投照技术，通过立体定向定位原理，将高剂量射线精确聚焦于肿瘤靶区，实现病灶局灶性损毁的同时最大程度保护周围正常组织。肝癌及胆管癌 SBRT 技术必须满足以下条件：有四维 CT（four-dimensional-CT, 4D-CT）的影像设备引导或肿瘤追踪系统，非常精确的患者体位固定，放射治疗前的个体化图像校正，用于治疗的射线能聚焦到肿瘤以及肿瘤之外的射线剂量梯度快速下降 [2]。</w:t>
      </w:r>
    </w:p>
    <w:p w14:paraId="55B09CDE">
      <w:pPr>
        <w:pStyle w:val="4"/>
      </w:pPr>
      <w:bookmarkStart w:id="6" w:name="_Toc4624"/>
      <w:r>
        <w:t>3.2 肝癌相关定义</w:t>
      </w:r>
      <w:bookmarkEnd w:id="6"/>
    </w:p>
    <w:p w14:paraId="3907AA06">
      <w:pPr>
        <w:pStyle w:val="5"/>
      </w:pPr>
      <w:r>
        <w:t>3.2.1 早期小肝癌</w:t>
      </w:r>
    </w:p>
    <w:p w14:paraId="671502B9">
      <w:pPr>
        <w:pStyle w:val="22"/>
      </w:pPr>
      <w:r>
        <w:t>早期小肝癌定义为单个肿瘤最大径≤5 cm 或多病灶（≤3 个，最大径≤3 cm），无血管侵犯或肝外转移，肝功能 Child-Pugh A 或 B [3]。而小肝癌则包括治疗后复发 / 残留病灶及 Child-Pugh C 级患者，其预后显著区别于早期肝癌 [4,5]。区分早期肝癌和小肝癌的目的，是了解预后，为患者选择最佳的综合治疗方法。</w:t>
      </w:r>
    </w:p>
    <w:p w14:paraId="0A927654">
      <w:pPr>
        <w:pStyle w:val="5"/>
      </w:pPr>
      <w:r>
        <w:t>3.2.2 大肝癌</w:t>
      </w:r>
    </w:p>
    <w:p w14:paraId="7864E4E6">
      <w:pPr>
        <w:pStyle w:val="22"/>
      </w:pPr>
      <w:r>
        <w:t>大肝癌定义为单个肿瘤最大径大于 5 cm。</w:t>
      </w:r>
    </w:p>
    <w:p w14:paraId="2197753A">
      <w:pPr>
        <w:pStyle w:val="5"/>
      </w:pPr>
      <w:r>
        <w:t>3.2.3 胆管癌</w:t>
      </w:r>
    </w:p>
    <w:p w14:paraId="2FB588E0">
      <w:pPr>
        <w:pStyle w:val="22"/>
      </w:pPr>
      <w:r>
        <w:t>胆管癌定义为发生于胆管上皮的恶性肿瘤。</w:t>
      </w:r>
    </w:p>
    <w:p w14:paraId="690F8D75">
      <w:pPr>
        <w:pStyle w:val="22"/>
      </w:pPr>
      <w:r>
        <w:t>有时候影像学上与肝细胞癌难鉴别，需经病理证实确诊。</w:t>
      </w:r>
    </w:p>
    <w:p w14:paraId="7D909CF8">
      <w:pPr>
        <w:pStyle w:val="22"/>
      </w:pPr>
    </w:p>
    <w:p w14:paraId="6D4A4D50">
      <w:pPr>
        <w:pBdr>
          <w:bottom w:val="single" w:color="auto" w:sz="6" w:space="1"/>
        </w:pBdr>
      </w:pPr>
    </w:p>
    <w:p w14:paraId="56F172D9">
      <w:pPr>
        <w:pStyle w:val="3"/>
      </w:pPr>
      <w:bookmarkStart w:id="7" w:name="_Toc24931"/>
      <w:r>
        <w:t>4 缩略词</w:t>
      </w:r>
      <w:bookmarkEnd w:id="7"/>
    </w:p>
    <w:p w14:paraId="2AD09237">
      <w:pPr>
        <w:pStyle w:val="22"/>
        <w:numPr>
          <w:ilvl w:val="0"/>
          <w:numId w:val="1"/>
        </w:numPr>
      </w:pPr>
      <w:r>
        <w:t>导管动脉化疗栓塞术（transcatheter arterial chemoembolization, TACE）</w:t>
      </w:r>
    </w:p>
    <w:p w14:paraId="2D75DAFC">
      <w:pPr>
        <w:pStyle w:val="22"/>
        <w:numPr>
          <w:ilvl w:val="0"/>
          <w:numId w:val="1"/>
        </w:numPr>
      </w:pPr>
      <w:r>
        <w:t>射频消融（Radio Frequency Ablation, RFA）</w:t>
      </w:r>
    </w:p>
    <w:p w14:paraId="5DBC83AD">
      <w:pPr>
        <w:pStyle w:val="22"/>
        <w:numPr>
          <w:ilvl w:val="0"/>
          <w:numId w:val="1"/>
        </w:numPr>
      </w:pPr>
      <w:r>
        <w:t>局部控制（local control, LC）</w:t>
      </w:r>
    </w:p>
    <w:p w14:paraId="74EC7548">
      <w:pPr>
        <w:pStyle w:val="22"/>
        <w:numPr>
          <w:ilvl w:val="0"/>
          <w:numId w:val="1"/>
        </w:numPr>
      </w:pPr>
      <w:r>
        <w:t>肿瘤靶区（Gross Tumor Volume，GTV）</w:t>
      </w:r>
    </w:p>
    <w:p w14:paraId="397990B6">
      <w:pPr>
        <w:pStyle w:val="22"/>
        <w:numPr>
          <w:ilvl w:val="0"/>
          <w:numId w:val="1"/>
        </w:numPr>
      </w:pPr>
      <w:r>
        <w:t>临床靶区（Clinical Target Volume，CTV）</w:t>
      </w:r>
    </w:p>
    <w:p w14:paraId="29495645">
      <w:pPr>
        <w:pStyle w:val="22"/>
        <w:numPr>
          <w:ilvl w:val="0"/>
          <w:numId w:val="1"/>
        </w:numPr>
      </w:pPr>
      <w:r>
        <w:t>内靶区（Internal Target Volume，ITV）</w:t>
      </w:r>
    </w:p>
    <w:p w14:paraId="1063CD3F">
      <w:pPr>
        <w:pStyle w:val="22"/>
        <w:numPr>
          <w:ilvl w:val="0"/>
          <w:numId w:val="1"/>
        </w:numPr>
      </w:pPr>
      <w:r>
        <w:t>计划靶区（Planning Target Volume，PTV）</w:t>
      </w:r>
    </w:p>
    <w:p w14:paraId="13E2BC23">
      <w:pPr>
        <w:pStyle w:val="22"/>
        <w:numPr>
          <w:ilvl w:val="0"/>
          <w:numId w:val="1"/>
        </w:numPr>
      </w:pPr>
      <w:r>
        <w:t>门静脉癌栓（portal vein tumor thrombus, PVTT）</w:t>
      </w:r>
    </w:p>
    <w:p w14:paraId="6D379380">
      <w:pPr>
        <w:pStyle w:val="22"/>
        <w:numPr>
          <w:ilvl w:val="0"/>
          <w:numId w:val="1"/>
        </w:numPr>
      </w:pPr>
      <w:r>
        <w:t>图像引导放射治疗（Image-guided radiation therapy, IGRT）</w:t>
      </w:r>
    </w:p>
    <w:p w14:paraId="057A809C">
      <w:pPr>
        <w:pStyle w:val="22"/>
        <w:numPr>
          <w:ilvl w:val="0"/>
          <w:numId w:val="1"/>
        </w:numPr>
      </w:pPr>
      <w:r>
        <w:t>深吸气屏气技术（deep inhale breath hold, DIBH）</w:t>
      </w:r>
    </w:p>
    <w:p w14:paraId="14D4189D">
      <w:pPr>
        <w:pStyle w:val="22"/>
        <w:numPr>
          <w:ilvl w:val="0"/>
          <w:numId w:val="1"/>
        </w:numPr>
      </w:pPr>
      <w:r>
        <w:t>容积旋转调强技术（Volume Modulated Arc Therapy, VMAT）</w:t>
      </w:r>
    </w:p>
    <w:p w14:paraId="7DA210A9">
      <w:pPr>
        <w:pStyle w:val="22"/>
        <w:numPr>
          <w:ilvl w:val="0"/>
          <w:numId w:val="1"/>
        </w:numPr>
      </w:pPr>
      <w:r>
        <w:t>剂量 - 体积直方图（Dose Volume Histogram, DVH）</w:t>
      </w:r>
    </w:p>
    <w:p w14:paraId="571FB2F2">
      <w:pPr>
        <w:pStyle w:val="22"/>
        <w:numPr>
          <w:ilvl w:val="0"/>
          <w:numId w:val="1"/>
        </w:numPr>
      </w:pPr>
      <w:r>
        <w:t>剂量计算验证 (Independent MU Calculation)</w:t>
      </w:r>
    </w:p>
    <w:p w14:paraId="48F70430">
      <w:pPr>
        <w:pStyle w:val="22"/>
      </w:pPr>
    </w:p>
    <w:p w14:paraId="15C6599F">
      <w:pPr>
        <w:pBdr>
          <w:bottom w:val="single" w:color="auto" w:sz="6" w:space="1"/>
        </w:pBdr>
      </w:pPr>
    </w:p>
    <w:p w14:paraId="52DD7BFA">
      <w:pPr>
        <w:pStyle w:val="3"/>
      </w:pPr>
      <w:bookmarkStart w:id="8" w:name="_Toc8980"/>
      <w:r>
        <w:t>5 基本要求</w:t>
      </w:r>
      <w:bookmarkEnd w:id="8"/>
    </w:p>
    <w:p w14:paraId="3C515760">
      <w:pPr>
        <w:pStyle w:val="4"/>
      </w:pPr>
      <w:bookmarkStart w:id="9" w:name="_Toc15735"/>
      <w:r>
        <w:t>5.1 医疗机构基本要求</w:t>
      </w:r>
      <w:bookmarkEnd w:id="9"/>
    </w:p>
    <w:p w14:paraId="1480ECFD">
      <w:pPr>
        <w:pStyle w:val="22"/>
        <w:numPr>
          <w:ilvl w:val="0"/>
          <w:numId w:val="2"/>
        </w:numPr>
      </w:pPr>
      <w:r>
        <w:t>开展立体定向放射治疗技术应当与其功能、任务和技术能力相适应；</w:t>
      </w:r>
    </w:p>
    <w:p w14:paraId="21C4DD89">
      <w:pPr>
        <w:pStyle w:val="22"/>
        <w:numPr>
          <w:ilvl w:val="0"/>
          <w:numId w:val="2"/>
        </w:numPr>
      </w:pPr>
      <w:r>
        <w:t>具有卫生健康行政部门核准登记的外科、肿瘤内科、放射治疗科、病理科及医学影像科等相关诊疗科目，具备肿瘤综合诊治能力；</w:t>
      </w:r>
    </w:p>
    <w:p w14:paraId="51DD87E6">
      <w:pPr>
        <w:pStyle w:val="22"/>
        <w:numPr>
          <w:ilvl w:val="0"/>
          <w:numId w:val="2"/>
        </w:numPr>
      </w:pPr>
      <w:r>
        <w:t>放射治疗科应具有 3 年以上的调强放射治疗技术（Intensity modulated radiotherapy；IMRT）治疗肿瘤的经验，多模态影像引导放射治疗 3 年以上；配备有 4DCT 模拟定位机、带多叶光栅的图像引导直线加速器、逆向放射治疗计划系统、配套完整的质量保证和质量控制设备等。按照国家卫生健康行政部门相关设备配置要求，规范配备立体定向放射治疗系统设备；</w:t>
      </w:r>
    </w:p>
    <w:p w14:paraId="4159A376">
      <w:pPr>
        <w:pStyle w:val="22"/>
        <w:numPr>
          <w:ilvl w:val="0"/>
          <w:numId w:val="2"/>
        </w:numPr>
      </w:pPr>
      <w:r>
        <w:t>新建医疗机构开展立体定向放射治疗，机构应当为集医疗、教育、科研为一体的综合医疗机构或肿瘤专科医疗机构，并符合相应人员和设备的具体要求；</w:t>
      </w:r>
    </w:p>
    <w:p w14:paraId="4BB3C936">
      <w:pPr>
        <w:pStyle w:val="22"/>
        <w:numPr>
          <w:ilvl w:val="0"/>
          <w:numId w:val="2"/>
        </w:numPr>
      </w:pPr>
      <w:r>
        <w:t>常规开展质量保证和质量控制；</w:t>
      </w:r>
    </w:p>
    <w:p w14:paraId="29CE8598">
      <w:pPr>
        <w:pStyle w:val="22"/>
        <w:numPr>
          <w:ilvl w:val="0"/>
          <w:numId w:val="2"/>
        </w:numPr>
      </w:pPr>
      <w:r>
        <w:t>具有《放射诊疗许可证》《辐射安全许可证》等相关资质证明文件。《辐射安全许可证》的申办按生态环境部《建设项目环境影响评价分类管理名录》要求执行；</w:t>
      </w:r>
    </w:p>
    <w:p w14:paraId="7F0A0477">
      <w:pPr>
        <w:pStyle w:val="22"/>
        <w:numPr>
          <w:ilvl w:val="0"/>
          <w:numId w:val="2"/>
        </w:numPr>
      </w:pPr>
      <w:r>
        <w:t>具备先进的网络系统，支持 5G 及以上先进通讯信息技术在立体定向放射治疗中的应用。</w:t>
      </w:r>
    </w:p>
    <w:p w14:paraId="5CB28AC9">
      <w:pPr>
        <w:pStyle w:val="4"/>
      </w:pPr>
      <w:bookmarkStart w:id="10" w:name="_Toc17564"/>
      <w:r>
        <w:t>5.2 设备要求</w:t>
      </w:r>
      <w:bookmarkEnd w:id="10"/>
    </w:p>
    <w:p w14:paraId="72E8FF28">
      <w:pPr>
        <w:pStyle w:val="5"/>
      </w:pPr>
      <w:r>
        <w:t>5.2.1 CT 模拟定位系统</w:t>
      </w:r>
    </w:p>
    <w:p w14:paraId="58091000">
      <w:pPr>
        <w:pStyle w:val="22"/>
        <w:numPr>
          <w:ilvl w:val="0"/>
          <w:numId w:val="1"/>
        </w:numPr>
      </w:pPr>
      <w:r>
        <w:t>具备无阻隔平板床面和大孔径扫描，最薄扫描层厚度≤2mm；射波刀放疗技术定位扫描时，扫描层厚可设置为 1-2mm，重建层厚可要求至 1mm；</w:t>
      </w:r>
    </w:p>
    <w:p w14:paraId="4FD2666C">
      <w:pPr>
        <w:pStyle w:val="22"/>
        <w:numPr>
          <w:ilvl w:val="0"/>
          <w:numId w:val="1"/>
        </w:numPr>
      </w:pPr>
      <w:r>
        <w:t>具备 4D-CT 功能（3C），可了解肿瘤的动态轨迹；</w:t>
      </w:r>
    </w:p>
    <w:p w14:paraId="30F00188">
      <w:pPr>
        <w:pStyle w:val="22"/>
        <w:numPr>
          <w:ilvl w:val="0"/>
          <w:numId w:val="1"/>
        </w:numPr>
      </w:pPr>
      <w:r>
        <w:t>配备图像质量检测模体和电子密度转换模体等相应的质控工具 [35,36]；</w:t>
      </w:r>
    </w:p>
    <w:p w14:paraId="0F8582AE">
      <w:pPr>
        <w:pStyle w:val="22"/>
        <w:numPr>
          <w:ilvl w:val="0"/>
          <w:numId w:val="1"/>
        </w:numPr>
      </w:pPr>
      <w:r>
        <w:t>网络兼容性方面，优选能无缝集成到现有放疗信息系统中的扫描设备，同时保持对未来技术进步的开放性。</w:t>
      </w:r>
    </w:p>
    <w:p w14:paraId="3FB206A2">
      <w:pPr>
        <w:pStyle w:val="5"/>
      </w:pPr>
      <w:r>
        <w:t>5.2.2 治疗计划系统</w:t>
      </w:r>
    </w:p>
    <w:p w14:paraId="7696C7C7">
      <w:pPr>
        <w:pStyle w:val="22"/>
      </w:pPr>
      <w:r>
        <w:t>须遵循美国医学物理师学会（TG53）、国际原子能机构（TRS430）以及我国相关行业标准（如 YY/T 0789-2010、YY 0832.2-2015 和 YY0832.1-2011）的系列标准，核心功能包括（3C）：</w:t>
      </w:r>
    </w:p>
    <w:p w14:paraId="006ED94B">
      <w:pPr>
        <w:pStyle w:val="22"/>
        <w:numPr>
          <w:ilvl w:val="0"/>
          <w:numId w:val="3"/>
        </w:numPr>
      </w:pPr>
      <w:r>
        <w:t>多模态影像融合（4D-CT/MRI/PET-CT）；</w:t>
      </w:r>
    </w:p>
    <w:p w14:paraId="31AF7EDE">
      <w:pPr>
        <w:pStyle w:val="22"/>
        <w:numPr>
          <w:ilvl w:val="0"/>
          <w:numId w:val="3"/>
        </w:numPr>
      </w:pPr>
      <w:r>
        <w:t>高清晰度、高精度的三维重建能力，保证长度、面积、体积和空间坐标位置等测量的准确性；</w:t>
      </w:r>
    </w:p>
    <w:p w14:paraId="1FCB6782">
      <w:pPr>
        <w:pStyle w:val="22"/>
        <w:numPr>
          <w:ilvl w:val="0"/>
          <w:numId w:val="3"/>
        </w:numPr>
      </w:pPr>
      <w:r>
        <w:t>具备精确计算小射野剂量分布的能力；</w:t>
      </w:r>
    </w:p>
    <w:p w14:paraId="26D2F696">
      <w:pPr>
        <w:pStyle w:val="22"/>
        <w:numPr>
          <w:ilvl w:val="0"/>
          <w:numId w:val="3"/>
        </w:numPr>
      </w:pPr>
      <w:r>
        <w:t>内置高精度的组织不均一性校正算法，准确反映体内射线剂量衰减和散射效应，优化剂量分布；</w:t>
      </w:r>
    </w:p>
    <w:p w14:paraId="373DED19">
      <w:pPr>
        <w:pStyle w:val="22"/>
        <w:numPr>
          <w:ilvl w:val="0"/>
          <w:numId w:val="3"/>
        </w:numPr>
      </w:pPr>
      <w:r>
        <w:t>采用细密剂量计算网格，提升剂量计算精度及可靠性，特别是涉及复杂剂量梯度时，是确保 SBRT 疗效的重要保障。</w:t>
      </w:r>
    </w:p>
    <w:p w14:paraId="78C641EF">
      <w:pPr>
        <w:pStyle w:val="5"/>
      </w:pPr>
      <w:r>
        <w:t>5.2.3 放射治疗设备</w:t>
      </w:r>
    </w:p>
    <w:p w14:paraId="53554D30">
      <w:pPr>
        <w:pStyle w:val="22"/>
      </w:pPr>
      <w:r>
        <w:t>应满足以下条件（1A）：</w:t>
      </w:r>
    </w:p>
    <w:p w14:paraId="08D4E5A1">
      <w:pPr>
        <w:pStyle w:val="22"/>
        <w:numPr>
          <w:ilvl w:val="0"/>
          <w:numId w:val="4"/>
        </w:numPr>
      </w:pPr>
      <w:r>
        <w:t>亚毫米级的等中心定位精度和多叶光栅系统（Multi-leave collimators，MLC）定位精度；</w:t>
      </w:r>
    </w:p>
    <w:p w14:paraId="02FF364B">
      <w:pPr>
        <w:pStyle w:val="22"/>
        <w:numPr>
          <w:ilvl w:val="0"/>
          <w:numId w:val="4"/>
        </w:numPr>
      </w:pPr>
      <w:r>
        <w:t>高分辨率 MLC：配备窄叶片（宽度≤5mm），提高剂量塑造能力；</w:t>
      </w:r>
    </w:p>
    <w:p w14:paraId="2FF26C41">
      <w:pPr>
        <w:pStyle w:val="22"/>
        <w:numPr>
          <w:ilvl w:val="0"/>
          <w:numId w:val="4"/>
        </w:numPr>
      </w:pPr>
      <w:r>
        <w:t>图像引导与运动管理技术：集成实时影像监控与自动跟踪装置，有效补偿呼吸等运动引起的靶区移动，确保剂量的准确投递；</w:t>
      </w:r>
    </w:p>
    <w:p w14:paraId="3C7C636C">
      <w:pPr>
        <w:pStyle w:val="22"/>
        <w:numPr>
          <w:ilvl w:val="0"/>
          <w:numId w:val="4"/>
        </w:numPr>
      </w:pPr>
      <w:r>
        <w:t>必须配备 CBCT 或 EPID 图像引导技术；胸部肿瘤呼吸运动影响较大，尽量配备呼吸控制技术，有条件单位宜开展 4D 技术；无 4D 和呼吸控制设备的单位，则必须使用腹压板或气囊压迫，减少呼吸动度。</w:t>
      </w:r>
    </w:p>
    <w:p w14:paraId="1F9FC5E3">
      <w:pPr>
        <w:pStyle w:val="4"/>
      </w:pPr>
      <w:bookmarkStart w:id="11" w:name="_Toc3629"/>
      <w:r>
        <w:t>5.3 配套设施要求</w:t>
      </w:r>
      <w:bookmarkEnd w:id="11"/>
    </w:p>
    <w:p w14:paraId="4F5BEB15">
      <w:pPr>
        <w:pStyle w:val="22"/>
        <w:numPr>
          <w:ilvl w:val="0"/>
          <w:numId w:val="5"/>
        </w:numPr>
      </w:pPr>
      <w:r>
        <w:t>配备放疗专用 CT 模拟定位机；</w:t>
      </w:r>
    </w:p>
    <w:p w14:paraId="3F4869AF">
      <w:pPr>
        <w:pStyle w:val="22"/>
        <w:numPr>
          <w:ilvl w:val="0"/>
          <w:numId w:val="5"/>
        </w:numPr>
      </w:pPr>
      <w:r>
        <w:t>配备 CT、MR、PET/CT 等影像诊断设备；</w:t>
      </w:r>
    </w:p>
    <w:p w14:paraId="15594DEF">
      <w:pPr>
        <w:pStyle w:val="22"/>
        <w:numPr>
          <w:ilvl w:val="0"/>
          <w:numId w:val="5"/>
        </w:numPr>
      </w:pPr>
      <w:r>
        <w:t>配备立体定向放射外科（stereotaxic radiosurgery，SRS）/ 立体定向体部放射治疗（Stereotactic Body Radiation Therapy,SBRT) 的直线加速器；</w:t>
      </w:r>
    </w:p>
    <w:p w14:paraId="46A8746A">
      <w:pPr>
        <w:pStyle w:val="22"/>
        <w:numPr>
          <w:ilvl w:val="0"/>
          <w:numId w:val="5"/>
        </w:numPr>
      </w:pPr>
      <w:r>
        <w:t>配备立体定向放疗相应的物理质控设备；</w:t>
      </w:r>
    </w:p>
    <w:p w14:paraId="4C243BFF">
      <w:pPr>
        <w:pStyle w:val="22"/>
        <w:numPr>
          <w:ilvl w:val="0"/>
          <w:numId w:val="5"/>
        </w:numPr>
      </w:pPr>
      <w:r>
        <w:t>具有相应的放疗计划系统和信息管理系统；</w:t>
      </w:r>
    </w:p>
    <w:p w14:paraId="4CF36DC3">
      <w:pPr>
        <w:pStyle w:val="22"/>
        <w:numPr>
          <w:ilvl w:val="0"/>
          <w:numId w:val="5"/>
        </w:numPr>
      </w:pPr>
      <w:r>
        <w:t>符合卫生健康和生态环境部门要求，具有电磁与辐射防护设施场地。</w:t>
      </w:r>
    </w:p>
    <w:p w14:paraId="12C40BFD">
      <w:pPr>
        <w:pStyle w:val="4"/>
      </w:pPr>
      <w:bookmarkStart w:id="12" w:name="_Toc11944"/>
      <w:r>
        <w:t>5.4 人员要求</w:t>
      </w:r>
      <w:bookmarkEnd w:id="12"/>
    </w:p>
    <w:p w14:paraId="4C0A67FF">
      <w:pPr>
        <w:pStyle w:val="22"/>
      </w:pPr>
      <w:r>
        <w:t>放射治疗人员资质：资质和培训要求按照《加速器放射治疗技术临床应用管理规范（2022 年版）》规定。</w:t>
      </w:r>
    </w:p>
    <w:p w14:paraId="2AF70A7B">
      <w:pPr>
        <w:pStyle w:val="22"/>
        <w:numPr>
          <w:ilvl w:val="0"/>
          <w:numId w:val="6"/>
        </w:numPr>
      </w:pPr>
      <w:r>
        <w:t>放射治疗医师：取得《医师执业证书》，执业范围是医学影像和放射治疗专业；有至少 3 名以上超过 3 年 IMRT 工作经验且具有副主任医师及以上专业技术职务任职资格者（头颈部、胸部、腹部、盆腔等各专业至少 1 人）；在境外专门培训机构或国内省级卫生健康行政部门备案的培训机构完成立体定向放射治疗技术相关专业系统培训，具备开展立体定向放射治疗技术能力；</w:t>
      </w:r>
    </w:p>
    <w:p w14:paraId="41CBA95A">
      <w:pPr>
        <w:pStyle w:val="22"/>
        <w:numPr>
          <w:ilvl w:val="0"/>
          <w:numId w:val="6"/>
        </w:numPr>
      </w:pPr>
      <w:r>
        <w:t>医学物理师：取得《全国医用设备使用人员业务能力考评成绩合格证明》-{LA、（X 刀、γ 刀）} 物理师；有至少 2 名 10 年以上工作经验的医学物理师，且至少 1 人具有副高（或相当职称）及以上专业技术职务任职资格；在境外专门培训机构或国内省级卫生健康行政部门备案的培训机构完成立体定向放射治疗物理技术相关专业系统培训，满足开展立体定向放射治疗技术临床应用所需的相关条件；</w:t>
      </w:r>
    </w:p>
    <w:p w14:paraId="198A719A">
      <w:pPr>
        <w:pStyle w:val="22"/>
        <w:numPr>
          <w:ilvl w:val="0"/>
          <w:numId w:val="6"/>
        </w:numPr>
      </w:pPr>
      <w:r>
        <w:t>放射治疗技师：经国内省级卫生健康行政部门备案的培训机构进行立体定向放射治疗技术相关专业系统培训，满足开展立体定向放射治疗技术临床应用所需的相关条件；</w:t>
      </w:r>
    </w:p>
    <w:p w14:paraId="48D44931">
      <w:pPr>
        <w:pStyle w:val="22"/>
        <w:numPr>
          <w:ilvl w:val="0"/>
          <w:numId w:val="6"/>
        </w:numPr>
      </w:pPr>
      <w:r>
        <w:t>护士：数量与开展服务相匹配；</w:t>
      </w:r>
    </w:p>
    <w:p w14:paraId="0E2FF25D">
      <w:pPr>
        <w:pStyle w:val="22"/>
        <w:numPr>
          <w:ilvl w:val="0"/>
          <w:numId w:val="6"/>
        </w:numPr>
      </w:pPr>
      <w:r>
        <w:t>医学工程师：具备相应技术实力的设备维护、辐射防护工程师保障人员，其中配置立体定向放疗设备的不少于 1 名；</w:t>
      </w:r>
    </w:p>
    <w:p w14:paraId="48210A28">
      <w:pPr>
        <w:pStyle w:val="22"/>
        <w:numPr>
          <w:ilvl w:val="0"/>
          <w:numId w:val="6"/>
        </w:numPr>
      </w:pPr>
      <w:r>
        <w:t>核安全工程师：依据生态环境部颁发的《放射性同位素与射线装置安全许可管理办法》，辐射安全关键岗位，可由获得相应资质的其他岗位人员兼任。</w:t>
      </w:r>
    </w:p>
    <w:p w14:paraId="6FE64D59">
      <w:pPr>
        <w:pStyle w:val="4"/>
      </w:pPr>
      <w:bookmarkStart w:id="13" w:name="_Toc18206"/>
      <w:r>
        <w:t>5.5 人员职责</w:t>
      </w:r>
      <w:bookmarkEnd w:id="13"/>
    </w:p>
    <w:p w14:paraId="2D7523BF">
      <w:pPr>
        <w:pStyle w:val="22"/>
      </w:pPr>
      <w:r>
        <w:t>严格遵守立体定向放射治疗技术操作规范和诊疗指南，严格掌握立体定向放射治疗技术的适应证和禁忌证，开展多学科综合治疗和以循证医学为基础的肿瘤诊断和治疗。依据美国放射肿瘤学会（American Society for Radiation Oncology；ASTRO），医务人员总体职责应包括但不限于：</w:t>
      </w:r>
    </w:p>
    <w:p w14:paraId="6EE35F5B">
      <w:pPr>
        <w:pStyle w:val="22"/>
        <w:numPr>
          <w:ilvl w:val="0"/>
          <w:numId w:val="7"/>
        </w:numPr>
      </w:pPr>
      <w:r>
        <w:t>放疗医师职责：负责患者的整体治疗方案的制定，监督治疗过程，并与其他团队成员紧密合作以确保治疗计划的顺利实施；参与质量保证流程（例如审批质子治疗评估报告，以确保治疗方案能按既定规范实施）；评估治疗效果，处理患者并发症以及治疗后开展的随访监测；</w:t>
      </w:r>
    </w:p>
    <w:p w14:paraId="53C5E807">
      <w:pPr>
        <w:pStyle w:val="22"/>
        <w:numPr>
          <w:ilvl w:val="0"/>
          <w:numId w:val="7"/>
        </w:numPr>
      </w:pPr>
      <w:r>
        <w:t>医学物理师职责：负责设备验收测试、质量保证、质量控制，以及治疗计划的设计和优化；确保放射治疗剂量分布的准确性和安全性，同时协助放疗医师制定治疗方案；</w:t>
      </w:r>
    </w:p>
    <w:p w14:paraId="7FE65B6A">
      <w:pPr>
        <w:pStyle w:val="22"/>
        <w:numPr>
          <w:ilvl w:val="0"/>
          <w:numId w:val="7"/>
        </w:numPr>
      </w:pPr>
      <w:r>
        <w:t>医学剂量师职责：确保放射治疗计划系统中患者三维影像的数据的正确方位校准；在放疗医师和医学物理师的指导下，设计并生成治疗计划，编制实施立体定向放疗治疗计划所需的所有技术文档；参与首次治疗，并在必要时协助后续治疗的验证工作；</w:t>
      </w:r>
    </w:p>
    <w:p w14:paraId="5646777D">
      <w:pPr>
        <w:pStyle w:val="22"/>
        <w:numPr>
          <w:ilvl w:val="0"/>
          <w:numId w:val="7"/>
        </w:numPr>
      </w:pPr>
      <w:r>
        <w:t>放疗技师职责：负责放射治疗实施，同时协助患者定位和固定，实施立体定向放疗治疗计划；定期获取验证图像供放疗医生审查，定期评估固定装置的稳定性及重复性；发现不一致情况立即向放疗医师和医学物理师报告，保证治疗的精确性；</w:t>
      </w:r>
    </w:p>
    <w:p w14:paraId="26B9469B">
      <w:pPr>
        <w:pStyle w:val="22"/>
        <w:numPr>
          <w:ilvl w:val="0"/>
          <w:numId w:val="7"/>
        </w:numPr>
      </w:pPr>
      <w:r>
        <w:t>放疗护士职责：负责患者的护理工作，包括治疗前后的准备和护理；监测患者的身体状况，提供必要的心理支持和健康教育；</w:t>
      </w:r>
    </w:p>
    <w:p w14:paraId="77F43C8C">
      <w:pPr>
        <w:pStyle w:val="22"/>
        <w:numPr>
          <w:ilvl w:val="0"/>
          <w:numId w:val="7"/>
        </w:numPr>
      </w:pPr>
      <w:r>
        <w:t>放疗工程师职责：负责放疗设备的维护、维修。</w:t>
      </w:r>
    </w:p>
    <w:p w14:paraId="290D82FC">
      <w:pPr>
        <w:pStyle w:val="4"/>
      </w:pPr>
      <w:bookmarkStart w:id="14" w:name="_Toc31671"/>
      <w:r>
        <w:t>5.6 培训要求</w:t>
      </w:r>
      <w:bookmarkEnd w:id="14"/>
    </w:p>
    <w:p w14:paraId="59EDAEB5">
      <w:pPr>
        <w:pStyle w:val="5"/>
      </w:pPr>
      <w:r>
        <w:t>5.6.1 拟开展立体定向放射治疗技术的医师培训要求</w:t>
      </w:r>
    </w:p>
    <w:p w14:paraId="2D537178">
      <w:pPr>
        <w:pStyle w:val="22"/>
      </w:pPr>
      <w:r>
        <w:t>包括但不限于：</w:t>
      </w:r>
    </w:p>
    <w:p w14:paraId="1B77E389">
      <w:pPr>
        <w:pStyle w:val="22"/>
        <w:numPr>
          <w:ilvl w:val="0"/>
          <w:numId w:val="8"/>
        </w:numPr>
      </w:pPr>
      <w:r>
        <w:t>应当具有执业范围为医学影像和放射治疗专业的《医师执业证书》，具有主治医师及以上专业技术职务任职资格；</w:t>
      </w:r>
    </w:p>
    <w:p w14:paraId="1E9FC90D">
      <w:pPr>
        <w:pStyle w:val="22"/>
        <w:numPr>
          <w:ilvl w:val="0"/>
          <w:numId w:val="8"/>
        </w:numPr>
      </w:pPr>
      <w:r>
        <w:t>应当接受系统培训并考核合格；</w:t>
      </w:r>
    </w:p>
    <w:p w14:paraId="1A84720F">
      <w:pPr>
        <w:pStyle w:val="22"/>
        <w:numPr>
          <w:ilvl w:val="0"/>
          <w:numId w:val="8"/>
        </w:numPr>
      </w:pPr>
      <w:r>
        <w:t>经省级卫生健康行政部门备案的培训基地考核合格后，可视为达到规定的培训要求；</w:t>
      </w:r>
    </w:p>
    <w:p w14:paraId="48B4A295">
      <w:pPr>
        <w:pStyle w:val="22"/>
        <w:numPr>
          <w:ilvl w:val="0"/>
          <w:numId w:val="8"/>
        </w:numPr>
      </w:pPr>
      <w:r>
        <w:t>从事临床工作满 15 年，具有主任医师专业技术职务任职资格，开展立体定向放射治疗技术临床应用不少于 1000 例，未发生严重不良事件的，可免于培训。</w:t>
      </w:r>
    </w:p>
    <w:p w14:paraId="3E439E99">
      <w:pPr>
        <w:pStyle w:val="5"/>
      </w:pPr>
      <w:r>
        <w:t>5.6.2 拟开展立体定向放射治疗技术的医学物理师培训要求</w:t>
      </w:r>
    </w:p>
    <w:p w14:paraId="650D0E51">
      <w:pPr>
        <w:pStyle w:val="22"/>
      </w:pPr>
      <w:r>
        <w:t>包括但不限于：</w:t>
      </w:r>
    </w:p>
    <w:p w14:paraId="4FD956BD">
      <w:pPr>
        <w:pStyle w:val="22"/>
        <w:numPr>
          <w:ilvl w:val="0"/>
          <w:numId w:val="9"/>
        </w:numPr>
      </w:pPr>
      <w:r>
        <w:t>取得《直线加速器物理师上岗证》；</w:t>
      </w:r>
    </w:p>
    <w:p w14:paraId="073A243F">
      <w:pPr>
        <w:pStyle w:val="22"/>
        <w:numPr>
          <w:ilvl w:val="0"/>
          <w:numId w:val="9"/>
        </w:numPr>
      </w:pPr>
      <w:r>
        <w:t>应当接受系统培训并考核合格；</w:t>
      </w:r>
    </w:p>
    <w:p w14:paraId="6C0A0526">
      <w:pPr>
        <w:pStyle w:val="22"/>
        <w:numPr>
          <w:ilvl w:val="0"/>
          <w:numId w:val="9"/>
        </w:numPr>
      </w:pPr>
      <w:r>
        <w:t>经省级卫生健康行政部门备案的培训基地考核合格后，可视为达到规定的培训要求；</w:t>
      </w:r>
    </w:p>
    <w:p w14:paraId="28531610">
      <w:pPr>
        <w:pStyle w:val="22"/>
        <w:numPr>
          <w:ilvl w:val="0"/>
          <w:numId w:val="9"/>
        </w:numPr>
      </w:pPr>
      <w:r>
        <w:t>从事医学物理师工作满 5 年，具有高级专业技术职务任职资格，近 5 年独立制定立体定向放射治疗计划不少于 100 例，可免于培训。</w:t>
      </w:r>
    </w:p>
    <w:p w14:paraId="4B099664">
      <w:pPr>
        <w:pStyle w:val="22"/>
      </w:pPr>
    </w:p>
    <w:p w14:paraId="44570B74">
      <w:pPr>
        <w:pBdr>
          <w:bottom w:val="single" w:color="auto" w:sz="6" w:space="1"/>
        </w:pBdr>
      </w:pPr>
    </w:p>
    <w:p w14:paraId="1185F625">
      <w:pPr>
        <w:pStyle w:val="3"/>
      </w:pPr>
      <w:bookmarkStart w:id="15" w:name="_Toc24813"/>
      <w:r>
        <w:t>6 适应症</w:t>
      </w:r>
      <w:bookmarkEnd w:id="15"/>
    </w:p>
    <w:p w14:paraId="4B30BBD2">
      <w:pPr>
        <w:pStyle w:val="22"/>
      </w:pPr>
      <w:r>
        <w:t>肝癌 SBRT 的适应证见表 3。</w:t>
      </w:r>
    </w:p>
    <w:p w14:paraId="0EA068D8">
      <w:pPr>
        <w:pStyle w:val="22"/>
      </w:pPr>
      <w:r>
        <w:t>表 3 肝癌 SBRT 的适应证</w:t>
      </w:r>
    </w:p>
    <w:p w14:paraId="11BFB48B">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851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1C49A4">
            <w:pPr>
              <w:pStyle w:val="22"/>
            </w:pPr>
            <w:r>
              <w:t>推荐的适应证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E41316">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7B1440">
            <w:pPr>
              <w:pStyle w:val="22"/>
            </w:pPr>
            <w:r>
              <w:t>证据等级</w:t>
            </w:r>
          </w:p>
        </w:tc>
      </w:tr>
      <w:tr w14:paraId="3A94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0D3C1B">
            <w:pPr>
              <w:pStyle w:val="22"/>
            </w:pPr>
            <w:r>
              <w:t>1. 对于复发性小肝癌，如不宜行手术，或患者拒绝手术，可考虑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50AF70">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D3E8E">
            <w:pPr>
              <w:pStyle w:val="22"/>
            </w:pPr>
            <w:r>
              <w:t>1</w:t>
            </w:r>
          </w:p>
        </w:tc>
      </w:tr>
      <w:tr w14:paraId="4B54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0D30C5">
            <w:pPr>
              <w:pStyle w:val="22"/>
            </w:pPr>
            <w:r>
              <w:t>2. 对于早期或小肝癌，因位置特殊，如靠近大血管、大胆管、位于膈顶、靠近胆囊等，不宜手术，可考虑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154A3C">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F0E6CA">
            <w:pPr>
              <w:pStyle w:val="22"/>
            </w:pPr>
            <w:r>
              <w:t>2</w:t>
            </w:r>
          </w:p>
        </w:tc>
      </w:tr>
      <w:tr w14:paraId="53A2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244ECE">
            <w:pPr>
              <w:pStyle w:val="22"/>
            </w:pPr>
            <w:r>
              <w:t>3. 局限于肝内的大肝癌，如介入治疗有禁忌症，或者介入后有残存病灶，可考虑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6E6ECA">
            <w:pPr>
              <w:pStyle w:val="22"/>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D073DC">
            <w:pPr>
              <w:pStyle w:val="22"/>
            </w:pPr>
            <w:r>
              <w:t>2</w:t>
            </w:r>
          </w:p>
        </w:tc>
      </w:tr>
      <w:tr w14:paraId="2999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7D20F6">
            <w:pPr>
              <w:pStyle w:val="22"/>
            </w:pPr>
            <w:r>
              <w:t>4. 对于伴有静脉（门脉或下腔静脉）癌栓的患者，可考虑系统治疗基础上行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BECC96">
            <w:pPr>
              <w:pStyle w:val="22"/>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D28717">
            <w:pPr>
              <w:pStyle w:val="22"/>
            </w:pPr>
            <w:r>
              <w:t>3</w:t>
            </w:r>
          </w:p>
        </w:tc>
      </w:tr>
      <w:tr w14:paraId="7438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3674CD">
            <w:pPr>
              <w:pStyle w:val="22"/>
            </w:pPr>
            <w:r>
              <w:t>5. 对于等待肝移植的肝癌患者，可考虑 SBRT 作为桥接治疗。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4F73DF">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FEB4FF">
            <w:pPr>
              <w:pStyle w:val="22"/>
            </w:pPr>
            <w:r>
              <w:t>2</w:t>
            </w:r>
          </w:p>
        </w:tc>
      </w:tr>
      <w:tr w14:paraId="77A0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F1847E">
            <w:pPr>
              <w:pStyle w:val="22"/>
            </w:pPr>
            <w:r>
              <w:t>6. 对接受外科手术切除但术后病理证实切缘≤1 cm（窄切缘）或显微镜下切缘阳性（R1 切除）患者，可考虑 SBRT 作为术后辅助放疗。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24BCB2">
            <w:pPr>
              <w:pStyle w:val="22"/>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CA91ED">
            <w:pPr>
              <w:pStyle w:val="22"/>
            </w:pPr>
            <w:r>
              <w:t>3</w:t>
            </w:r>
          </w:p>
        </w:tc>
      </w:tr>
      <w:tr w14:paraId="4960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5529CE">
            <w:pPr>
              <w:pStyle w:val="22"/>
            </w:pPr>
            <w:r>
              <w:t>7. 对于肝癌（包括胆管癌）伴有转移病灶，如出现压迫症状，或者是寡转移灶，可考虑 SBRT。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C3C4FA">
            <w:pPr>
              <w:pStyle w:val="22"/>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E6F659">
            <w:pPr>
              <w:pStyle w:val="22"/>
            </w:pPr>
            <w:r>
              <w:t>3</w:t>
            </w:r>
          </w:p>
        </w:tc>
      </w:tr>
    </w:tbl>
    <w:p w14:paraId="37C09C8E">
      <w:pPr>
        <w:pStyle w:val="4"/>
      </w:pPr>
      <w:bookmarkStart w:id="16" w:name="_Toc29049"/>
      <w:r>
        <w:t>6.1 小肝癌 SBRT</w:t>
      </w:r>
      <w:bookmarkEnd w:id="16"/>
    </w:p>
    <w:p w14:paraId="4EFA3325">
      <w:pPr>
        <w:pStyle w:val="22"/>
      </w:pPr>
      <w:r>
        <w:t>SBRT 是早期肝癌或小肝癌的根治性手段，尤其适用于手术或射频消融（Radio Frequency Ablation, RFA）困难或拒绝上述根治方法的患者，以及术后复发或残留病灶者（1A）。近年来，多项高质量的研究为 SBRT 的临床应用提供了强有力的循证医学依据 [6–11]。</w:t>
      </w:r>
    </w:p>
    <w:p w14:paraId="32DB95E1">
      <w:pPr>
        <w:pStyle w:val="22"/>
      </w:pPr>
      <w:r>
        <w:t>对于以下两类特殊患者群体，SBRT 展现出了独特的治疗价值（1A）：首先是解剖位置特殊的肿瘤患者，如位于肝门区、靠近大血管或大胆管、胆囊的病灶，传统消融治疗往往面临较高的管腔破裂的并发症风险。</w:t>
      </w:r>
    </w:p>
    <w:p w14:paraId="5B4FF172">
      <w:pPr>
        <w:pStyle w:val="4"/>
      </w:pPr>
      <w:bookmarkStart w:id="17" w:name="_Toc25530"/>
      <w:r>
        <w:t>6.2 局限于肝内大肝癌的 SBRT</w:t>
      </w:r>
      <w:bookmarkEnd w:id="17"/>
    </w:p>
    <w:p w14:paraId="54798047">
      <w:pPr>
        <w:pStyle w:val="22"/>
      </w:pPr>
      <w:r>
        <w:t>SBRT 的 1 年及 2 年局部控制（local control, LC）率优于 TACE，且≥3 级治疗相关毒副作用发生率更低（2B）。</w:t>
      </w:r>
    </w:p>
    <w:p w14:paraId="0C5EBDC8">
      <w:pPr>
        <w:pStyle w:val="22"/>
      </w:pPr>
      <w:r>
        <w:t>Sapir 等 [12] 回顾性分析 209 例不可手术切除的肝癌患者，结果显示，SBRT 的 1 年及 2 年局部控制（local control, LC）率优于 TACE（97% vs. 47%；91% vs. 23%，P&lt;0.001），且≥3 级治疗相关毒副作用发生率更低（8% vs. 13%，P=0.05），但两组 OS 无统计学差异。TRENDY 是一个前瞻性临床治疗研究，进一步证实 SBRT 的疗效优势：SBRT 组中位 LC 显著优于 TACE 组（未达终点 &gt; 40 个月 vs. 12 个月；P=0.075）；SBRT 的 1 年及 2 年 LC 均为 100%，而 TACE 组分别为 54.4% 与 43.6%（P=0.019）。尽管两组中位 OS 差异未达统计学差别（44.1 个月 vs. 36.8 个月，P=0.36），但 SBRT 组未发生≥3 级毒性事件，TACE 组则报告 3 例严重并发症 [13]。经肝动脉介入治疗如经导管动脉化疗栓塞术（transcatheter arterial chemoembolization, TACE）、肝动脉灌注化疗（hepatic artery infusion chemotherapy, HAIC）是局限性于肝内大肝癌的主要治疗手段，但这些手段属于姑息性。基于上述证据，对于 TACE 治疗反应欠佳、毒性风险较高或出现进展的患者，SBRT 可作为安全有效的替代选择。</w:t>
      </w:r>
    </w:p>
    <w:p w14:paraId="58E40F6F">
      <w:pPr>
        <w:pStyle w:val="4"/>
      </w:pPr>
      <w:bookmarkStart w:id="18" w:name="_Toc13304"/>
      <w:r>
        <w:t>6.3 伴有静脉癌栓肝癌的 SBRT</w:t>
      </w:r>
      <w:bookmarkEnd w:id="18"/>
    </w:p>
    <w:p w14:paraId="62AE52D9">
      <w:pPr>
        <w:pStyle w:val="22"/>
      </w:pPr>
      <w:r>
        <w:t>系统治疗联合 SBRT 可作为 CNLC Ⅲa 期 HCC 患者的治疗推荐（2A）。</w:t>
      </w:r>
    </w:p>
    <w:p w14:paraId="276B5442">
      <w:pPr>
        <w:pStyle w:val="22"/>
      </w:pPr>
      <w:r>
        <w:t>中国肝癌分期（CNLC）为 Ⅲa 期的肝癌，其肿瘤为门静脉 / 下腔静脉受侵犯，系统治疗联合局部治疗已成为核心治疗策略。多项研究证实，SBRT 对此类患者有生存获益。Munoz-Schuffenegger 等 [14] 对 128 例门静脉癌栓（portal vein tumor thrombus, PVTT）患者行 SBRT（27-54 Gy/5 分次），1 年 LC 达 87.4%，中位 OS 为 18.3 个月；Kumar 等 [15] 采用 48 Gy/6 分次方案治疗 PVTT 患者，1 年的 LC、无进展生存期（progression-free survival，PFS）率及总 OS 率分别达 95%、53.4% 和 60%，且≥3 级毒性发生率低于 5%。RTOG 1112 研究进一步验证联合治疗优势：纳入 177 例大血管侵犯患者（74% 伴主干 / 一级分支受累），SBRT 序贯索拉非尼组较单药组（单纯索拉非尼）显著延长中位 OS（15.8 vs. 12.3 个月，HR=0.77，P=0.0554），中位 PFS 提升 64%（9.2 vs. 5.5 个月，HR=0.55，P=0.0001）。两组≥3 级不良事件发生率无显著差异（47% vs. 42%，P=0.52），5 级事件分别为 1 例与 2 例 [16]。</w:t>
      </w:r>
    </w:p>
    <w:p w14:paraId="3CEE3775">
      <w:pPr>
        <w:pStyle w:val="4"/>
      </w:pPr>
      <w:bookmarkStart w:id="19" w:name="_Toc22058"/>
      <w:r>
        <w:t>6.4 肝移植前的桥接治疗</w:t>
      </w:r>
      <w:bookmarkEnd w:id="19"/>
    </w:p>
    <w:p w14:paraId="54E2381B">
      <w:pPr>
        <w:pStyle w:val="22"/>
      </w:pPr>
      <w:r>
        <w:t>SBRT 作为肝移植前的桥接治疗，可有效控制肿瘤进展，从而提高移植机会（3B）。</w:t>
      </w:r>
    </w:p>
    <w:p w14:paraId="66C68AFE">
      <w:pPr>
        <w:pStyle w:val="22"/>
      </w:pPr>
      <w:r>
        <w:t>鉴于肝源短缺导致部分等待期患者因肿瘤进展失去移植机会，SBRT 因其微创性与安全性，被推荐为重要衔接策略。美国 Rochester 大学医学中心和密西根 William Beaumont 医院 [17] 报道了 18 例接受移植前 SBRT（中位剂量 50 Gy/10 分次）患者中，有严重的胃肠道不良反应和放射性肝炎发生；中位等待 6.3 个月后，12 例患者成功接受肝移植或根治性肝切除，10 名患者的病肝出现肿瘤病理性坏死，移植后中位随访 19.6 个月，患者生存率达 100%[18]。一项纳入 379 例的回顾性研究证实，SBRT 与 TACE、RFA 的桥接成功率相当 [19]。基于大分割剂量学的生物学优势及低毒性特征，SBRT 可优化移植等待期，提高肿瘤控制，该策略尤其适用于毗邻血管、深部病灶等消融困难病例，或肝功能不好不能接受有侵入性的肿瘤治疗，SBRT 具有重要临床推广价值。</w:t>
      </w:r>
    </w:p>
    <w:p w14:paraId="2BA37C12">
      <w:pPr>
        <w:pStyle w:val="4"/>
      </w:pPr>
      <w:bookmarkStart w:id="20" w:name="_Toc24321"/>
      <w:r>
        <w:t>6.5 术后窄切缘或切缘阳性的 SBRT</w:t>
      </w:r>
      <w:bookmarkEnd w:id="20"/>
    </w:p>
    <w:p w14:paraId="5DDFC222">
      <w:pPr>
        <w:pStyle w:val="22"/>
      </w:pPr>
      <w:r>
        <w:t>术后病理证实切缘≤1 cm（窄切缘）或镜下切缘阳性（R1 切除）患者，SBRT 辅助性放疗可作为降低局部复发的有效治疗手段（1B）。</w:t>
      </w:r>
    </w:p>
    <w:p w14:paraId="5AB03D0B">
      <w:pPr>
        <w:pStyle w:val="22"/>
      </w:pPr>
      <w:r>
        <w:t>对于早期肝癌，手术切除仍是根治性治疗的金标准。然而，当肿瘤毗邻大血管、肝包膜、合并微血管侵犯（MVI）、卫星结节等高危病理特征时，解剖性完整切除面临技术挑战，术后局部复发风险显著升高。针对术后病理证实切缘≤1 cm（窄切缘）或镜下切缘阳性（R1 切除）患者，辅助性放疗可作为降低局部复发的有效治疗手段 [20]。上海东方肝胆外科医院开展的 II 期随机对照试验表明，合并 MVI 的 HCC 患者术后接受辅助 SBRT，其 1 年、3 年、5 年无病生存率（DFS）分别为 92.1%、65.8% 及 56.1%，较单纯手术组（76.3%、36.8%、26.3%）显著改善（P=0.005）[21]。</w:t>
      </w:r>
    </w:p>
    <w:p w14:paraId="2065B12C">
      <w:pPr>
        <w:pStyle w:val="4"/>
      </w:pPr>
      <w:bookmarkStart w:id="21" w:name="_Toc15786"/>
      <w:r>
        <w:t>6.6 肝内胆管癌 SBRT</w:t>
      </w:r>
      <w:bookmarkEnd w:id="21"/>
    </w:p>
    <w:p w14:paraId="0AC829AB">
      <w:pPr>
        <w:pStyle w:val="22"/>
      </w:pPr>
      <w:r>
        <w:t>与肝细胞类同，有文献报道，立体定向放疗效果明显优于常规放疗。</w:t>
      </w:r>
    </w:p>
    <w:p w14:paraId="0C4DA026">
      <w:pPr>
        <w:pStyle w:val="22"/>
      </w:pPr>
    </w:p>
    <w:p w14:paraId="6A29F734">
      <w:pPr>
        <w:pBdr>
          <w:bottom w:val="single" w:color="auto" w:sz="6" w:space="1"/>
        </w:pBdr>
      </w:pPr>
    </w:p>
    <w:p w14:paraId="3E21D77B">
      <w:pPr>
        <w:pStyle w:val="3"/>
      </w:pPr>
      <w:bookmarkStart w:id="22" w:name="_Toc8147"/>
      <w:r>
        <w:t>7 靶区勾画及剂量</w:t>
      </w:r>
      <w:bookmarkEnd w:id="22"/>
    </w:p>
    <w:p w14:paraId="1A5AF1F9">
      <w:pPr>
        <w:pStyle w:val="4"/>
      </w:pPr>
      <w:bookmarkStart w:id="23" w:name="_Toc475"/>
      <w:r>
        <w:t>7.1 靶区勾画</w:t>
      </w:r>
      <w:bookmarkEnd w:id="23"/>
    </w:p>
    <w:p w14:paraId="1CD742F7">
      <w:pPr>
        <w:pStyle w:val="22"/>
      </w:pPr>
      <w:r>
        <w:t>表 4 肝癌及胆管癌 SBRT 靶区勾画</w:t>
      </w:r>
    </w:p>
    <w:p w14:paraId="699F717B">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2E88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E7A153">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A966F2">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C4DE5B">
            <w:pPr>
              <w:pStyle w:val="22"/>
            </w:pPr>
            <w:r>
              <w:t>证据等级</w:t>
            </w:r>
          </w:p>
        </w:tc>
      </w:tr>
      <w:tr w14:paraId="67B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BD7453">
            <w:pPr>
              <w:pStyle w:val="22"/>
            </w:pPr>
            <w:r>
              <w:t>1. 在勾画靶区时，强烈推荐有条件的单位行定位 CT 或 MRI 融合或行 MRI 模拟定位扫描，综合 CT/MRI 等多种影像检查所见动脉期、门脉期、延迟期各时相的范围，准确的勾画出 GTV（可见肿瘤的范围）。</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5183CB">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14AE36">
            <w:pPr>
              <w:pStyle w:val="22"/>
            </w:pPr>
            <w:r>
              <w:t>3</w:t>
            </w:r>
          </w:p>
        </w:tc>
      </w:tr>
      <w:tr w14:paraId="2864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E93916">
            <w:pPr>
              <w:pStyle w:val="22"/>
            </w:pPr>
            <w:r>
              <w:t>2. CTV 可不外扩。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2524AC">
            <w:pPr>
              <w:pStyle w:val="22"/>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01D42A">
            <w:pPr>
              <w:pStyle w:val="22"/>
            </w:pPr>
            <w:r>
              <w:t>3</w:t>
            </w:r>
          </w:p>
        </w:tc>
      </w:tr>
      <w:tr w14:paraId="57ED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5D60A7">
            <w:pPr>
              <w:pStyle w:val="22"/>
            </w:pPr>
            <w:r>
              <w:t>3. 靶区勾画时，强烈建议参考增强 CT、MRI 或 PET-CT，必要时可将上述检查的图像进行融合并勾画靶区。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5AEF6C">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9D75C2">
            <w:pPr>
              <w:pStyle w:val="22"/>
            </w:pPr>
            <w:r>
              <w:t>3</w:t>
            </w:r>
          </w:p>
        </w:tc>
      </w:tr>
      <w:tr w14:paraId="2B3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70AC97">
            <w:pPr>
              <w:pStyle w:val="22"/>
            </w:pPr>
            <w:r>
              <w:t>4. 强烈建议呼吸运动管控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77FB86">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51DE00">
            <w:pPr>
              <w:pStyle w:val="22"/>
            </w:pPr>
            <w:r>
              <w:t>3</w:t>
            </w:r>
          </w:p>
        </w:tc>
      </w:tr>
      <w:tr w14:paraId="700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14F9D4">
            <w:pPr>
              <w:pStyle w:val="22"/>
            </w:pPr>
            <w:r>
              <w:t>5. 强烈建议肠道显影</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A61249">
            <w:pPr>
              <w:pStyle w:val="22"/>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17AF6B">
            <w:pPr>
              <w:pStyle w:val="22"/>
            </w:pPr>
            <w:r>
              <w:t>3</w:t>
            </w:r>
          </w:p>
        </w:tc>
      </w:tr>
    </w:tbl>
    <w:p w14:paraId="717B0584">
      <w:pPr>
        <w:pStyle w:val="22"/>
      </w:pPr>
      <w:r>
        <w:t>在肝癌及胆管癌 SBRT 治疗中，肿瘤靶区（Gross Tumor Volume，GTV）、临床靶区（Clinical Target Volume，CTV）、内靶区（Internal Target Volume，ITV）、计划靶区（Planning Target Volume，PTV）均按照 ICRU62 报道进行定义 [24]。</w:t>
      </w:r>
    </w:p>
    <w:p w14:paraId="35245443">
      <w:pPr>
        <w:pStyle w:val="5"/>
      </w:pPr>
      <w:r>
        <w:t>7.1.1 肿瘤靶区（GTV）</w:t>
      </w:r>
    </w:p>
    <w:p w14:paraId="014DA574">
      <w:pPr>
        <w:pStyle w:val="22"/>
      </w:pPr>
      <w:r>
        <w:t>GTV 指影像学技术可辨识的肿瘤病灶范围，推荐其勾画应基于多模态 MRI 评估（3A）。</w:t>
      </w:r>
    </w:p>
    <w:p w14:paraId="34821DB3">
      <w:pPr>
        <w:pStyle w:val="22"/>
      </w:pPr>
      <w:r>
        <w:t>推荐有条件的医疗机构优先采用 CT-MRI 图像融合技术或 MRI 模拟定位扫描（3C），结合增强 CT/MRI 动脉期、门静脉期及延迟期多期相影像特征，实现肿瘤解剖范围的三维重建与精准界定。</w:t>
      </w:r>
    </w:p>
    <w:p w14:paraId="6B3FF279">
      <w:pPr>
        <w:pStyle w:val="5"/>
      </w:pPr>
      <w:r>
        <w:t>7.1.2 临床靶区（CTV）</w:t>
      </w:r>
    </w:p>
    <w:p w14:paraId="7F813C10">
      <w:pPr>
        <w:pStyle w:val="22"/>
      </w:pPr>
      <w:r>
        <w:t>CTV 需包含 GTV 及潜在亚临床微浸润区域。肝癌虽普遍存在亚临床病灶 [25]，但在 SBRT 中通常无需常规外扩 CTV（3B），主要原因在于治疗计划的高剂量梯度衰减区已有效覆盖肿瘤周围 3-5mm 范围内的亚临床浸润灶。</w:t>
      </w:r>
    </w:p>
    <w:p w14:paraId="40936598">
      <w:pPr>
        <w:pStyle w:val="5"/>
      </w:pPr>
      <w:r>
        <w:t>7.1.3 内靶区（ITV）</w:t>
      </w:r>
    </w:p>
    <w:p w14:paraId="61027175">
      <w:pPr>
        <w:pStyle w:val="22"/>
      </w:pPr>
      <w:r>
        <w:t>ITV 定义为基于 GTV 或 CTV 外扩、用于补偿呼吸运动等器官位移形成的空间靶区 [26,27]。针对肝癌，强烈建议采用呼吸控制和 4D-CT 技术进行运动管控（3A），通过呼吸周期各时相 GTV 的几何叠加确定 ITV 范围。该方法的优势在于可直接量化膈肌运动幅度，实现个体化内靶区界定。</w:t>
      </w:r>
    </w:p>
    <w:p w14:paraId="4B3A2091">
      <w:pPr>
        <w:pStyle w:val="5"/>
      </w:pPr>
      <w:r>
        <w:t>7.1.4 计划靶区（PTV）</w:t>
      </w:r>
    </w:p>
    <w:p w14:paraId="4CC3D6A6">
      <w:pPr>
        <w:pStyle w:val="22"/>
      </w:pPr>
      <w:r>
        <w:t>PTV 定义为在 ITV 基础上外扩形成的几何结构，旨在补偿分次间摆位误差等不确定因素，确保靶区全范围达到处方剂量覆盖。肝癌 PTV 外扩尚无统一标准，需综合考虑体位固定系统精度、图像引导技术敏感性、加速器机械性能及质控体系等（3A），进行个体化制定。</w:t>
      </w:r>
    </w:p>
    <w:p w14:paraId="7E3C7B92">
      <w:pPr>
        <w:pStyle w:val="22"/>
      </w:pPr>
      <w:r>
        <w:t>各放疗中心应基于实测数据制定相应标准，并严格遵循原始 PTV 参数执行剂量报告。需特别强调，临床处方剂量的最终报告应以原始 PTV 为准。此外，危及器官（如肝脏、双侧肾脏、脊髓、胃、空、回肠、十二指肠等）均需准确勾画。建议有条件单位定位时口服造影剂肠道显影显示肠道（3C）。</w:t>
      </w:r>
    </w:p>
    <w:p w14:paraId="5A7DB470">
      <w:pPr>
        <w:pStyle w:val="4"/>
      </w:pPr>
      <w:bookmarkStart w:id="24" w:name="_Toc31079"/>
      <w:r>
        <w:t>7.2 肿瘤照射剂量</w:t>
      </w:r>
      <w:bookmarkEnd w:id="24"/>
    </w:p>
    <w:p w14:paraId="62E3E16E">
      <w:pPr>
        <w:pStyle w:val="22"/>
      </w:pPr>
      <w:r>
        <w:t>肝癌及肝内胆管癌 SBRT 的推荐剂量见表 5。</w:t>
      </w:r>
    </w:p>
    <w:p w14:paraId="6A67F3A9">
      <w:pPr>
        <w:pStyle w:val="22"/>
      </w:pPr>
      <w:r>
        <w:t>表 5 肝癌 SBRT 的剂量</w:t>
      </w:r>
    </w:p>
    <w:p w14:paraId="678BE849">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07E1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B8FC9D">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B1A0A6">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C35B88">
            <w:pPr>
              <w:pStyle w:val="22"/>
            </w:pPr>
            <w:r>
              <w:t>证据等级</w:t>
            </w:r>
          </w:p>
        </w:tc>
      </w:tr>
      <w:tr w14:paraId="4DD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9B42F8">
            <w:pPr>
              <w:pStyle w:val="22"/>
            </w:pPr>
            <w:r>
              <w:t>1. 肝细胞癌照射剂量 BED100Gy 至少为 80Gy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A3EA3E">
            <w:pPr>
              <w:pStyle w:val="22"/>
            </w:pPr>
            <w:r>
              <w:t>B</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AB19DB">
            <w:pPr>
              <w:pStyle w:val="22"/>
            </w:pPr>
            <w:r>
              <w:t>3</w:t>
            </w:r>
          </w:p>
        </w:tc>
      </w:tr>
      <w:tr w14:paraId="232D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6BDE8F">
            <w:pPr>
              <w:pStyle w:val="22"/>
            </w:pPr>
            <w:r>
              <w:t>2. 胆管癌照射剂量 BED100Gy 至少为 100Gy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F8E7B4">
            <w:pPr>
              <w:pStyle w:val="22"/>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D989B2">
            <w:pPr>
              <w:pStyle w:val="22"/>
            </w:pPr>
            <w:r>
              <w:t>3</w:t>
            </w:r>
          </w:p>
        </w:tc>
      </w:tr>
    </w:tbl>
    <w:p w14:paraId="0A7D7A9B">
      <w:pPr>
        <w:pStyle w:val="22"/>
        <w:numPr>
          <w:ilvl w:val="0"/>
          <w:numId w:val="10"/>
        </w:numPr>
      </w:pPr>
      <w:r>
        <w:t>SBRT 通过高剂量、低分割照射，实现肿瘤消融。其剂量分割方式需根据肿瘤位置、危及器官剂量限制及设备特性等具体情况，进行个体化设计。目前没有统一标准的剂量分割模式，一般总剂量在 24-60Gy 间，照射次数在 3-10 次（3C）。</w:t>
      </w:r>
    </w:p>
    <w:p w14:paraId="62CF07AF">
      <w:pPr>
        <w:pStyle w:val="22"/>
        <w:numPr>
          <w:ilvl w:val="0"/>
          <w:numId w:val="10"/>
        </w:numPr>
      </w:pPr>
      <w:r>
        <w:t>胆管癌对射线的敏感度不如肝细胞癌，因此 SBRT 的剂量建议高于肝细胞癌的照射剂量，推荐 BED₁₀≥ 100 Gy 。</w:t>
      </w:r>
    </w:p>
    <w:p w14:paraId="14A34D4F">
      <w:pPr>
        <w:pStyle w:val="22"/>
        <w:numPr>
          <w:ilvl w:val="0"/>
          <w:numId w:val="10"/>
        </w:numPr>
      </w:pPr>
      <w:r>
        <w:t>肝外转移灶的照射剂量可参考脑转移专家共识、骨转移专家共识等推荐的剂量，比如脑转移的照射剂量有 18Gy-24Gy/1Fx,27Gy/3Fx,30Gy/6Fx 等。</w:t>
      </w:r>
    </w:p>
    <w:p w14:paraId="42D5BCE3">
      <w:pPr>
        <w:pStyle w:val="22"/>
        <w:numPr>
          <w:ilvl w:val="0"/>
          <w:numId w:val="10"/>
        </w:numPr>
      </w:pPr>
      <w:r>
        <w:t>肝转移的照射剂量可以根据原发病灶放疗敏感性情况酌情处理。</w:t>
      </w:r>
    </w:p>
    <w:p w14:paraId="7AE6B44A">
      <w:pPr>
        <w:pStyle w:val="22"/>
      </w:pPr>
      <w:r>
        <w:t>备注：韩国队列研究显示，82 例肝细胞癌患者接受射波刀治疗（3 次分割），&gt;54 Gy 组、45-54 Gy 组及 &lt;45 Gy 组的 2 年局部控制率（100% vs 78% vs 64%，P=0.009）和总生存率（71% vs 64% vs 30%，P&lt;0.001）存在显著差异，且剂量与局控率呈线性相关 [8]。</w:t>
      </w:r>
    </w:p>
    <w:p w14:paraId="3F272BCA">
      <w:pPr>
        <w:pStyle w:val="22"/>
      </w:pPr>
      <w:r>
        <w:t>日本学者 [29] 报道了一项多中心研究，185 例小肝癌患者（≤3 cm），均接受 C 形臂加速器 SBRT（40 Gy/5 次或 35 Gy/5 次），生物等效剂量（Biological Effective Dose, BED）较低，3 年局控率和总生存率仍分别达 91% 和 70%。</w:t>
      </w:r>
    </w:p>
    <w:p w14:paraId="2074985E">
      <w:pPr>
        <w:pStyle w:val="22"/>
      </w:pPr>
      <w:r>
        <w:t>Wahl 等 [7] 采用中位 BED10 100 Gy 方案，1-2 年生存率达 97.4%-83.8%。已发表的一项专家共识，推荐 BED10≥80 Gy 作为根治性剂量阈值（3C）。临床决策需综合评估肿瘤体积、位置、消化道邻近程度及器官耐受性（如肝脏、肾脏、脊髓等）采用基于 4D-CT 的运动管理技术，以确保剂量递送精准性 [30]。</w:t>
      </w:r>
    </w:p>
    <w:p w14:paraId="69628857">
      <w:pPr>
        <w:pStyle w:val="4"/>
      </w:pPr>
      <w:bookmarkStart w:id="25" w:name="_Toc21576"/>
      <w:r>
        <w:t>7.3 剂量限制</w:t>
      </w:r>
      <w:bookmarkEnd w:id="25"/>
    </w:p>
    <w:p w14:paraId="449F05B0">
      <w:pPr>
        <w:pStyle w:val="5"/>
      </w:pPr>
      <w:r>
        <w:t>7.3.1 正常肝的剂量限制</w:t>
      </w:r>
    </w:p>
    <w:p w14:paraId="59B7DF50">
      <w:pPr>
        <w:pStyle w:val="22"/>
      </w:pPr>
      <w:r>
        <w:t>Child-Pugh A 级肝癌 SBRT 治疗推荐同时满足功能性肝体积保留值≥700 mL 及肝平均剂量 &lt;15 Gy（3A），并推荐通过 4D-CT 评估呼吸运动对剂量分布的影响，以实现精准的剂量体积限制 [34]。采用 30-60 Gy/3-6 次分割方案时，若功能性肝体积保留值（正常肝体积减去接受大于 15Gy 的肝体积）&gt;700 mL（3C），≥3 级 RILD 发生率显著降低 [31,32]。</w:t>
      </w:r>
    </w:p>
    <w:p w14:paraId="3C6BA1FA">
      <w:pPr>
        <w:pStyle w:val="22"/>
      </w:pPr>
      <w:r>
        <w:t>备注：法国 Bibault [28] 报道，40-50 Gy/3 次分割方案中，当正常肝体积 &gt; 700 mL 且 V15&lt;50% 时（3C），仅 6.6%（5/76）患者出现 3 个月内肝功能失代偿，且无致死性 RILD。</w:t>
      </w:r>
    </w:p>
    <w:p w14:paraId="77749EC1">
      <w:pPr>
        <w:pStyle w:val="22"/>
      </w:pPr>
      <w:r>
        <w:t>Huang 等 [33] 采用 25-48 Gy/4-5 次分割方案，证实了正常肝体积 &gt; 700 mL 联合平均肝剂量 &lt; 15 Gy（3C），可使 RILD 发生率降至 7.7%（2/26），且损伤可逆。</w:t>
      </w:r>
    </w:p>
    <w:p w14:paraId="12656862">
      <w:pPr>
        <w:pStyle w:val="22"/>
      </w:pPr>
      <w:r>
        <w:t>Katz 等 [17] 通过 50 Gy/10 次分割方案进一步验证，结果表明正常肝体积 &gt; 1000 mL 且平均肝剂量 &lt; 15 Gy（3C），无 RILD 发生。</w:t>
      </w:r>
    </w:p>
    <w:p w14:paraId="1A28BAD3">
      <w:pPr>
        <w:pStyle w:val="5"/>
      </w:pPr>
      <w:r>
        <w:t>7.3.2 胃肠道及其他危及器官的剂量限制</w:t>
      </w:r>
    </w:p>
    <w:p w14:paraId="5E928BC4">
      <w:pPr>
        <w:pStyle w:val="22"/>
      </w:pPr>
      <w:r>
        <w:t>美国医学物理师协会 TG-101 报告危及器官的限量见附录。英国肿瘤研究中心专家共识：危及器官的限量见附录。</w:t>
      </w:r>
    </w:p>
    <w:p w14:paraId="53613A84">
      <w:pPr>
        <w:pStyle w:val="22"/>
      </w:pPr>
      <w:r>
        <w:t>肝癌及胆管癌 SBRT 的危及器官剂量限制需基于剂量 - 体积直方图（Dose Volume Histogram, DVH）参数进行精准管理。如果胃、十二指肠、小肠等消化道器官接受的剂量小于 25Gy（3C）。对于邻近肋骨病灶，肋骨的剂量限制应 &lt;30Gy/3Fx（3C）以降低放射性骨损伤风险 [31]。</w:t>
      </w:r>
    </w:p>
    <w:p w14:paraId="3E0B6BB3">
      <w:pPr>
        <w:pStyle w:val="22"/>
      </w:pPr>
      <w:r>
        <w:t>备注：在 3 次分割照射时，胃肠剂量大于 24Gy 的体积小于 0.5ml，或者 5 次分割照射时，剂量大于 27.5Gy 的体积小于 0.5ml（3C），则消化道出血的发生率下降到 1.6%，消化道溃疡的发生率大约在 3.9% [9]。</w:t>
      </w:r>
    </w:p>
    <w:p w14:paraId="3924FD4F">
      <w:pPr>
        <w:pStyle w:val="22"/>
      </w:pPr>
      <w:r>
        <w:t>研究显示，3 次分割照射时，胃接受的剂量，如果大于 21Gy 的体积小于 5ml，或者十二指肠接受的剂量大于 24Gy 的体积小于 0.5ml（3C），消化道的毒性反应是非常轻微的（2 级反应，3/75；4 级反应，1/75）[16]。</w:t>
      </w:r>
    </w:p>
    <w:p w14:paraId="515115F9">
      <w:pPr>
        <w:pStyle w:val="22"/>
      </w:pPr>
      <w:r>
        <w:t>研究显示，在肝癌 SBRT 治疗中，胃、大肠或小肠接受 25Gy、24Gy、23Gy 剂量的最大体积不超过 5mL（3C），36 例患者中仅有 1 例患者出现持续性的胃溃疡 [23]。</w:t>
      </w:r>
    </w:p>
    <w:p w14:paraId="2F258AFD">
      <w:pPr>
        <w:pStyle w:val="22"/>
      </w:pPr>
    </w:p>
    <w:p w14:paraId="175A6635">
      <w:pPr>
        <w:pBdr>
          <w:bottom w:val="single" w:color="auto" w:sz="6" w:space="1"/>
        </w:pBdr>
      </w:pPr>
    </w:p>
    <w:p w14:paraId="6D8AF8CA">
      <w:pPr>
        <w:pStyle w:val="3"/>
      </w:pPr>
      <w:bookmarkStart w:id="26" w:name="_Toc28616"/>
      <w:r>
        <w:t>8 治疗流程</w:t>
      </w:r>
      <w:bookmarkEnd w:id="26"/>
    </w:p>
    <w:p w14:paraId="44603F9C">
      <w:pPr>
        <w:pStyle w:val="4"/>
      </w:pPr>
      <w:bookmarkStart w:id="27" w:name="_Toc1743"/>
      <w:r>
        <w:t>8.1 制定治疗方案</w:t>
      </w:r>
      <w:bookmarkEnd w:id="27"/>
    </w:p>
    <w:p w14:paraId="7F1D62BE">
      <w:pPr>
        <w:pStyle w:val="22"/>
      </w:pPr>
      <w:r>
        <w:t>治疗前多学科专家讨论根据适应症，选择合适立体定向放疗病例。</w:t>
      </w:r>
    </w:p>
    <w:p w14:paraId="2AF28197">
      <w:pPr>
        <w:pStyle w:val="4"/>
      </w:pPr>
      <w:bookmarkStart w:id="28" w:name="_Toc31571"/>
      <w:r>
        <w:t>8.2 体位固定</w:t>
      </w:r>
      <w:bookmarkEnd w:id="28"/>
    </w:p>
    <w:p w14:paraId="3B995920">
      <w:pPr>
        <w:pStyle w:val="22"/>
      </w:pPr>
      <w:r>
        <w:t>肝癌 SBRT 中，患者体位固定与呼吸运动管理是保障治疗精准性的核心环节 [37,38]。推荐采用碳纤维框架联合热塑体膜与真空负压垫进行体位固定，部分系统可集成腹部加压装置以优化运动控制（3C）。</w:t>
      </w:r>
    </w:p>
    <w:p w14:paraId="47C4993B">
      <w:pPr>
        <w:pStyle w:val="4"/>
      </w:pPr>
      <w:bookmarkStart w:id="29" w:name="_Toc20078"/>
      <w:r>
        <w:t>8.3 模拟定位</w:t>
      </w:r>
      <w:bookmarkEnd w:id="29"/>
    </w:p>
    <w:p w14:paraId="41A739E2">
      <w:pPr>
        <w:pStyle w:val="22"/>
      </w:pPr>
      <w:r>
        <w:t>动态增强 CT（contrast-enhanced CT, CECT）是首选的定位技术。当肿瘤边界在 CT 影像中显像不佳时，推荐采用多模态影像融合技术（如 MRI-CT 配准）以提升靶区辨识度。4D-CT 应常规应用于呼吸运动轨迹的定量分析，通过多时相肿瘤位移的三维重建实现 ITV 的精准界定（3C）。患者体位固定、扫描范围确认，扫描层厚可设置为 1-2mm，扫描范围要超过病灶范围 5 厘米。</w:t>
      </w:r>
    </w:p>
    <w:p w14:paraId="59B11FC4">
      <w:pPr>
        <w:pStyle w:val="4"/>
      </w:pPr>
      <w:bookmarkStart w:id="30" w:name="_Toc27354"/>
      <w:r>
        <w:t>8.4 靶区勾画</w:t>
      </w:r>
      <w:bookmarkEnd w:id="30"/>
    </w:p>
    <w:p w14:paraId="2B1A8F75">
      <w:pPr>
        <w:pStyle w:val="22"/>
      </w:pPr>
      <w:r>
        <w:t>建议融合 CT、MRI、PET-CT 等影像，由资深医生精细勾画靶区和危及器官。医生勾画后，需经上级医生审核。资深医生根据病情兼顾疗效与安全给定靶区剂量及危及器官限制的剂量处方。（靶区勾画及危及器官剂量限值要求详见第 7 节）。</w:t>
      </w:r>
    </w:p>
    <w:p w14:paraId="47766368">
      <w:pPr>
        <w:pStyle w:val="4"/>
      </w:pPr>
      <w:bookmarkStart w:id="31" w:name="_Toc7500"/>
      <w:r>
        <w:t>8.5 治疗计划的设计</w:t>
      </w:r>
      <w:bookmarkEnd w:id="31"/>
    </w:p>
    <w:p w14:paraId="261B87CE">
      <w:pPr>
        <w:pStyle w:val="22"/>
      </w:pPr>
      <w:r>
        <w:t>肝癌及胆管癌 SBRT 计划设计核心要素包括：</w:t>
      </w:r>
    </w:p>
    <w:p w14:paraId="400A2EB5">
      <w:pPr>
        <w:pStyle w:val="22"/>
        <w:numPr>
          <w:ilvl w:val="0"/>
          <w:numId w:val="11"/>
        </w:numPr>
      </w:pPr>
      <w:r>
        <w:t>剂量梯度优化：通过≤2 mm³ 剂量网格实现靶区 “刀锋” 般的剂量分布，即高度聚集的剂量峰，和急剧递减的衰减区，确保 PTV 覆盖度 [48]（3C）。</w:t>
      </w:r>
    </w:p>
    <w:p w14:paraId="4F9F87A9">
      <w:pPr>
        <w:pStyle w:val="22"/>
        <w:numPr>
          <w:ilvl w:val="0"/>
          <w:numId w:val="11"/>
        </w:numPr>
      </w:pPr>
      <w:r>
        <w:t>射束参数规范：推荐 5-9 个非共面射野或容积旋转调强技术（Volume Modulated Arc Therapy, VMAT）技术（3C），同时使用限光筒等技术，提升剂量适形度和梯度 [49]。</w:t>
      </w:r>
    </w:p>
    <w:p w14:paraId="37C4B120">
      <w:pPr>
        <w:pStyle w:val="22"/>
        <w:numPr>
          <w:ilvl w:val="0"/>
          <w:numId w:val="11"/>
        </w:numPr>
      </w:pPr>
      <w:r>
        <w:t>组织异质性校正：剂量计算需考虑组织不均匀性（3C），特别是胃肠区域等敏感部位附近，以提高计划准确性。应遵循 RTOG1112 等指南，确保剂量计算反映真实人体环境。</w:t>
      </w:r>
    </w:p>
    <w:p w14:paraId="535CF3B0">
      <w:pPr>
        <w:pStyle w:val="22"/>
        <w:numPr>
          <w:ilvl w:val="0"/>
          <w:numId w:val="11"/>
        </w:numPr>
      </w:pPr>
      <w:r>
        <w:t>计划验证评估：通过剂量覆盖率、适形指数（(conformity index, CI）、梯度指数（gradient index, GI）、R50%、D2cm 等评估计划有效性和安全性 [50]（3C）。要求≥95% PTV 接收处方剂量（3C），≥99% PTV 接收 90% 处方剂量（3C）；CI 衡量剂量分布与靶区形状的契合度（3C）；GI 评估剂量跌落速率（3C）；R50% 为 V50% 与 PTV 体积比值（3C）；D2cm 反映剂量扩散程度（3C）。靶区内允许 110%-150% 处方剂量的 “热点”（3C），但此热点仅限于 ITV 内且不导致不可逆损伤。</w:t>
      </w:r>
    </w:p>
    <w:p w14:paraId="702AA0C0">
      <w:pPr>
        <w:pStyle w:val="22"/>
      </w:pPr>
      <w:r>
        <w:t>物理师根据医师处方优化立体定向放疗计划，达到医师处方之剂量雕刻要求，确保正常组织安全的情况下，尽量提高肿瘤剂量。放疗计划必须在科室内部进行强制性的同行评议，由多位医生和物理师共同审核 DVH 图、剂量分布和危及器官限量。确保计划从 TPS 准确无误地传输到治疗记录与验证系统（R&amp;V）和治疗机。</w:t>
      </w:r>
    </w:p>
    <w:p w14:paraId="79A955CD">
      <w:pPr>
        <w:pStyle w:val="4"/>
      </w:pPr>
      <w:bookmarkStart w:id="32" w:name="_Toc21504"/>
      <w:r>
        <w:t>8.6 剂量验证</w:t>
      </w:r>
      <w:bookmarkEnd w:id="32"/>
    </w:p>
    <w:p w14:paraId="1AA15B0D">
      <w:pPr>
        <w:pStyle w:val="22"/>
      </w:pPr>
      <w:r>
        <w:t>计划审核通过后，在放疗实施前需要采用专用模体对放疗计划进行剂量验证。须在非患者特异性模体上完整执行整个治疗计划，包括绝对点剂量（如用微型电离室测量）和相对剂量分布（如用二维探测器矩阵测量 Gamma 通过率），点剂量差异必须 &lt;3%， Gamma 分析（如 2%/2mm, 10% 阈值）的通过率通常要求&gt; 90-95%，以保证剂量准确性。</w:t>
      </w:r>
    </w:p>
    <w:p w14:paraId="2F14AD65">
      <w:pPr>
        <w:pStyle w:val="4"/>
      </w:pPr>
      <w:bookmarkStart w:id="33" w:name="_Toc22073"/>
      <w:r>
        <w:t>8.7 位置验证</w:t>
      </w:r>
      <w:bookmarkEnd w:id="33"/>
    </w:p>
    <w:p w14:paraId="1E7E1ED5">
      <w:pPr>
        <w:pStyle w:val="22"/>
      </w:pPr>
      <w:r>
        <w:t>如放疗计划中心点与定位点不同，剂量验证通过后需采用 CT 定位机或模拟定位机对计划中心点进行验证，误差超过 2mm 要查找原因，必要时重新定位。如放疗计划中心点与定位点相同，可直接采用机载影像进行位置验证（如 CBCT）。</w:t>
      </w:r>
    </w:p>
    <w:p w14:paraId="7310C8BB">
      <w:pPr>
        <w:pStyle w:val="4"/>
      </w:pPr>
      <w:bookmarkStart w:id="34" w:name="_Toc27459"/>
      <w:r>
        <w:t>8.8 首次治疗摆位 (Initial Setup)</w:t>
      </w:r>
      <w:bookmarkEnd w:id="34"/>
    </w:p>
    <w:p w14:paraId="7E30F1DD">
      <w:pPr>
        <w:pStyle w:val="22"/>
      </w:pPr>
      <w:r>
        <w:t>采用六维床进行基于骨性标志和 / 或软组织匹配的精细校正（6 个自由度：3 平移 + 3 旋转）。校正后，必须再次拍摄验证片或 CBCT，确认误差已修正到可接受范围（通常 &lt; 1 mm）。SRS/SBRT 每次治疗前都必须进行影像引导（如 CBCT）。</w:t>
      </w:r>
    </w:p>
    <w:p w14:paraId="26D7F76B">
      <w:pPr>
        <w:pStyle w:val="4"/>
      </w:pPr>
      <w:bookmarkStart w:id="35" w:name="_Toc27895"/>
      <w:r>
        <w:t>8.9 肿瘤位置的监测</w:t>
      </w:r>
      <w:bookmarkEnd w:id="35"/>
    </w:p>
    <w:p w14:paraId="27482C0F">
      <w:pPr>
        <w:pStyle w:val="22"/>
      </w:pPr>
      <w:r>
        <w:t>图像引导放射治疗（Image-guided radiation therapy, IGRT）是肝癌 SBRT 的技术基石，需在每次治疗中通过高精度影像验证系统实现靶区配准（3C）。推荐采用具备六维治疗床、千伏级锥形束 CT（KV-CBCT）兆伏级 CT（MVCT）及呼吸同步追踪功能的先进平台，同步追踪影像引导频率应≥1 次 / 分钟以动态验证和修正器官位移（3C）。</w:t>
      </w:r>
    </w:p>
    <w:p w14:paraId="0B8D0B0B">
      <w:pPr>
        <w:pStyle w:val="22"/>
      </w:pPr>
      <w:r>
        <w:t>胸式呼吸或腹式呼吸对肝的位置影响很大对于受呼吸运动影响的肿瘤（如肺、肝、腹膜后等），须采用四维 CT（4DCT） 进行模拟定位，并在治疗时尽量使用呼吸门控 (Gating) 或实时肿瘤追踪 (Real-time Tumor Tracking, 如 Synchrony) 技术。无呼吸控制设备需采用腹压板等物理限制技术，尽量减少腹式呼吸运动范围。</w:t>
      </w:r>
    </w:p>
    <w:p w14:paraId="43D9B93E">
      <w:pPr>
        <w:pStyle w:val="4"/>
      </w:pPr>
      <w:bookmarkStart w:id="36" w:name="_Toc10643"/>
      <w:r>
        <w:t>8.10 实施</w:t>
      </w:r>
      <w:bookmarkEnd w:id="36"/>
    </w:p>
    <w:p w14:paraId="11B59D70">
      <w:pPr>
        <w:pStyle w:val="22"/>
      </w:pPr>
      <w:r>
        <w:t>治疗前须执行强制性的 “时间暂停”。治疗团队（至少两名人员）共同口头核对患者身份、治疗部位、计划名称、预设跳数、能量、门控参数等所有关键信息。放疗技师按照参数对患者进行摆位，采用六维床进行基于骨性标志和 / 或软组织匹配的精细校正（6 个自由度：3 平移 + 3 旋转）。校正后，必须再次拍摄验证片或 CBCT，确认误差已修正到可接受范围（通常 &lt; 1 mm）。</w:t>
      </w:r>
    </w:p>
    <w:p w14:paraId="093926A4">
      <w:pPr>
        <w:pStyle w:val="22"/>
      </w:pPr>
      <w:r>
        <w:t>胸式呼吸或腹式呼吸对肝的位置影响很大，尽量使用呼吸门控 (Gating) 或实时肿瘤追踪 (Real-time Tumor Tracking, 如 Synchrony) 技术。无呼吸控制设备需在模拟定位环节即采用腹压板等物理限制技术，尽量减少腹式呼吸运动范围。治疗过程中可能需要进行中期 CBCT 扫描，以监测患者可能发生的移动（如咳嗽、肠蠕动），要实时监控 MLC 位置、机器跳数和呼吸运动轨迹等参数是否与计划一致。</w:t>
      </w:r>
    </w:p>
    <w:p w14:paraId="29E59719">
      <w:pPr>
        <w:pStyle w:val="22"/>
      </w:pPr>
      <w:r>
        <w:t>靶区及体态变化较大时，有条件单位，配备自适应装备单位，可以实施自适应放疗，每次治疗重新修订治疗计划，最大程度确保治疗精准，减少治疗失误。对于基层医疗机构，在经验丰富的多学科团队全程监控下，可谨慎采用配准精度≤1.5 mm 的立体定向放射外科系统（如 Gamma Knife Icon）实施治疗（3C），但需严格遵循肝脏 SBRT 专用定位规程。</w:t>
      </w:r>
    </w:p>
    <w:p w14:paraId="192F0A52">
      <w:pPr>
        <w:pStyle w:val="4"/>
      </w:pPr>
      <w:bookmarkStart w:id="37" w:name="_Toc25100"/>
      <w:r>
        <w:t>8.11 与其他治疗的联合</w:t>
      </w:r>
      <w:bookmarkEnd w:id="37"/>
    </w:p>
    <w:p w14:paraId="451CA14F">
      <w:pPr>
        <w:pStyle w:val="22"/>
      </w:pPr>
      <w:r>
        <w:t>表 8 SBRT 与其他治疗方法的联合模式</w:t>
      </w:r>
    </w:p>
    <w:p w14:paraId="03D7B300">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B94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2FB062">
            <w:pPr>
              <w:pStyle w:val="22"/>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22780A">
            <w:pPr>
              <w:pStyle w:val="22"/>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58D8F2">
            <w:pPr>
              <w:pStyle w:val="22"/>
            </w:pPr>
            <w:r>
              <w:t>证据等级</w:t>
            </w:r>
          </w:p>
        </w:tc>
      </w:tr>
      <w:tr w14:paraId="2893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24249C">
            <w:pPr>
              <w:pStyle w:val="22"/>
            </w:pPr>
            <w:r>
              <w:t>1. 对于 TACE 治疗后残存病灶，可考虑 SBRT 巩固治疗。对于手术或射频后残存或复发，可考虑 SBRT 作为挽救性治疗。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753F2">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DFABDA">
            <w:pPr>
              <w:pStyle w:val="22"/>
            </w:pPr>
            <w:r>
              <w:t>3</w:t>
            </w:r>
          </w:p>
        </w:tc>
      </w:tr>
      <w:tr w14:paraId="0F7D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439CC7">
            <w:pPr>
              <w:pStyle w:val="22"/>
            </w:pPr>
            <w:r>
              <w:t>2. 以放疗联合免疫治疗的方式，可考虑同步或者序贯使用。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85F393">
            <w:pPr>
              <w:pStyle w:val="22"/>
            </w:pPr>
            <w:r>
              <w:t>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91074A">
            <w:pPr>
              <w:pStyle w:val="22"/>
            </w:pPr>
            <w:r>
              <w:t>3</w:t>
            </w:r>
          </w:p>
        </w:tc>
      </w:tr>
      <w:tr w14:paraId="49E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893218">
            <w:pPr>
              <w:pStyle w:val="22"/>
            </w:pPr>
            <w:r>
              <w:t>3. 以放疗联合靶向治疗的方式，建议序贯模式，谨慎采用同步治疗模式。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981B9F">
            <w:pPr>
              <w:pStyle w:val="22"/>
            </w:pPr>
            <w:r>
              <w:t>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BF001E">
            <w:pPr>
              <w:pStyle w:val="22"/>
            </w:pPr>
            <w:r>
              <w:t>2</w:t>
            </w:r>
          </w:p>
        </w:tc>
      </w:tr>
    </w:tbl>
    <w:p w14:paraId="3AADD640">
      <w:pPr>
        <w:pStyle w:val="5"/>
      </w:pPr>
      <w:r>
        <w:t>8.11.1 与其他局部治疗的联合</w:t>
      </w:r>
    </w:p>
    <w:p w14:paraId="4B2C07E3">
      <w:pPr>
        <w:pStyle w:val="22"/>
      </w:pPr>
      <w:r>
        <w:t>SBRT 为手术 / 射频消融后局部复发的挽救性治疗（3A 推荐），能显著提高治疗疗效 [51]。作为 TACE 后残留病灶的巩固治疗，可显著提高 LC 和 PFS。回顾性研究显示，针对最大径≥3 cm 病灶，TACE 联合 SBRT 较单纯 TACE 其中位 OS 为 33 比 20 个月（P=0.002）[52]。日本学者的前瞻性队列研究证实，TACE 联合 SBRT 治疗≤3cm 病灶的完全缓解（complete response, CR）率达 96.3%（29/30），显著高于单纯 TACE 组的 3.3%（P＜0.001）[53]。但是，这里需要指出的是，≤3cm 病灶可以直接 SBRT。韩国多中心数据分析表明，TACE 不完全反应的患者再接受 TACE 联合 SBRT 的总生存率与 TACE 后完全缓解或者 TACE 后行根治性治疗的患者的总生存率接近 [54]。复旦大学附属中山医院 III 期随机对照试验进一步验证，联合组的中位局部控制期显著优于单纯 TACE 组（未达到 vs 13.1 个月，P&lt;0.001） [55]。</w:t>
      </w:r>
    </w:p>
    <w:p w14:paraId="2A06770A">
      <w:pPr>
        <w:pStyle w:val="5"/>
      </w:pPr>
      <w:r>
        <w:t>8.11.2 与系统治疗的联合</w:t>
      </w:r>
    </w:p>
    <w:p w14:paraId="4217D48D">
      <w:pPr>
        <w:pStyle w:val="22"/>
      </w:pPr>
      <w:r>
        <w:t>肝癌综合治疗中，推荐 SBRT 联合系统治疗有协同作用（3C）。</w:t>
      </w:r>
    </w:p>
    <w:p w14:paraId="101AA627">
      <w:pPr>
        <w:pStyle w:val="22"/>
      </w:pPr>
      <w:r>
        <w:t>中山大学附属第一医院回顾性队列研究表明，针对伴门静脉癌栓 HCC 患者，RT 联合 TACE 和仑伐替尼组（n=51）较 TACE 联合仑伐替尼组（n=51）显著延长中位 OS（22.8 vs 17.1 个月，HR=0.67，P=0.031），且≥3 级不良事件发生率无统计学差异（54.9% vs. 49.0%, P= 0.552）[49]。2022 年 Meta 分析（11 项研究 / 664 例患者）显示，放疗联合索拉非尼的中位 PFS 和 OS 分别为 8.20 个月和 19.45 个月，1、2 年 OS 率分别达 65%、40%，但需警惕放疗同步靶向治疗的毒性风险 [56]。</w:t>
      </w:r>
    </w:p>
    <w:p w14:paraId="422D3E8E">
      <w:pPr>
        <w:pStyle w:val="22"/>
      </w:pPr>
      <w:r>
        <w:t>针对放疗与系统性药物治疗的协同作用，北美肿瘤医生开展了 RTOG 1112 临床研究，于 2024 年在 JAMA Oncology 发表，结果表明，相比于索拉非尼单药治疗，SBRT 联合索拉非尼可改善晚期肝细胞癌患者的 OS 和 PFS，特别是合并大血管侵犯患者，联合 SBRT 的患者，其中位 OS 延长 3.5 个月，中位 PFS 延长 3.7 个月，同时改善患者的生活质量 [16]。I 期研究报道放疗同步索拉非尼导致 91.7%（11/12）患者出现≥3 级转氨酶升高及消化道出血，建议序贯应用（放疗后 2 周启用）以平衡疗效与安全性 [57]。</w:t>
      </w:r>
    </w:p>
    <w:p w14:paraId="52244F87">
      <w:pPr>
        <w:pStyle w:val="22"/>
      </w:pPr>
      <w:r>
        <w:t>复旦大学附属中山医院 II 期临床试验显示，免疫联合 SBRT 展现出独特优势，SBRT（48-60 Gy/6-10 次）联合信迪利单抗（200 mg q3w）治疗不可切除 HCC（n=25），中位 PFS 达 19.7 个月（95% CI 14.2-25.2），24 个月 OS 率 83.2%，且仅 16%（4/25）患者发生≥3 级免疫相关不良事件（irAE）[58]。新辅助治疗领域，替雷利珠单抗联合 SBRT 用于可切除 HCC（n=20），ORR 达 63.2%（12/19），病理完全缓解率 10.5%（2/19），未增加围手术期并发症 [59]。</w:t>
      </w:r>
    </w:p>
    <w:p w14:paraId="2BF009CB">
      <w:pPr>
        <w:pStyle w:val="4"/>
      </w:pPr>
      <w:bookmarkStart w:id="38" w:name="_Toc4966"/>
      <w:r>
        <w:t>8.12 疗效评估及随访</w:t>
      </w:r>
      <w:bookmarkEnd w:id="38"/>
    </w:p>
    <w:p w14:paraId="215454A9">
      <w:pPr>
        <w:pStyle w:val="22"/>
      </w:pPr>
      <w:r>
        <w:t>患者随访频率、随访复查内容根据随访结果决定。建议使用 CTCAE5.0 来评估放疗期间和放疗后的毒性反应 [25]。肝癌及胆管癌 SBRT 后建议第 1 次随访在放疗后 4~6 周评估急性毒性，后续随访应为第 1 年每 3 个月 1 次，第 2 年每 3—6 个月 1 次，以后每年每 6 个月 1 次，应至少随访 5 年，5 年后可每年复查一次 [26-29]。用实体瘤临床疗效评价标准 RECIST1.1 评估肿瘤情况，复查项目通常包括：体格检查、肿瘤标志物及必要的影像学检查（如胸腹 CT、脑 MRI 等）及肝功能检查等。</w:t>
      </w:r>
    </w:p>
    <w:p w14:paraId="074ED888">
      <w:pPr>
        <w:pStyle w:val="22"/>
      </w:pPr>
    </w:p>
    <w:p w14:paraId="5158C3C4">
      <w:pPr>
        <w:pBdr>
          <w:bottom w:val="single" w:color="auto" w:sz="6" w:space="1"/>
        </w:pBdr>
      </w:pPr>
    </w:p>
    <w:p w14:paraId="06EA09C9">
      <w:pPr>
        <w:pStyle w:val="3"/>
      </w:pPr>
      <w:bookmarkStart w:id="39" w:name="_Toc15859"/>
      <w:r>
        <w:t>9 质量控制</w:t>
      </w:r>
      <w:bookmarkEnd w:id="39"/>
    </w:p>
    <w:p w14:paraId="7C893E47">
      <w:pPr>
        <w:pStyle w:val="22"/>
      </w:pPr>
      <w:r>
        <w:t>立体定向放射外科治疗（SBRT）的治疗流程中必须嵌入多重 “冗余” 核查机制，确保任何一个环节的单点错误都能被及时发现，确保呼吸控制及影像引导下的立体定向放射治疗。</w:t>
      </w:r>
    </w:p>
    <w:p w14:paraId="55EF1A35">
      <w:pPr>
        <w:pStyle w:val="4"/>
      </w:pPr>
      <w:bookmarkStart w:id="40" w:name="_Toc21931"/>
      <w:r>
        <w:t>9.1 人员质控</w:t>
      </w:r>
      <w:bookmarkEnd w:id="40"/>
    </w:p>
    <w:p w14:paraId="3E033D19">
      <w:pPr>
        <w:pStyle w:val="22"/>
      </w:pPr>
      <w:r>
        <w:t>人员是 SBRT 质控的核心主导者，需建立 “分层培训 + 持证上岗 + 持续考核” 的管理模式。放疗科医师需具备肿瘤多学科诊疗思维，熟练掌握 SBRT 适应证筛选，并能结合影像引导技术调整治疗方案；物理师需通过放疗物理师资格认证，精通剂量计算算法（如蒙特卡洛算法）、计划优化技巧及放疗相关设备质控；技师团队需接受专项操作培训，考核通过后方可独立执行治疗，内容涵盖直线加速器摆位精度（误差需≤1mm）、影像设备（如 CBCT）图像匹配流程等。此外，科室需定期组织病例讨论会，分析质控偏差案例，开展外院专家质控督导，确保人员能力与技术发展同步。</w:t>
      </w:r>
    </w:p>
    <w:p w14:paraId="35E57707">
      <w:pPr>
        <w:pStyle w:val="4"/>
      </w:pPr>
      <w:bookmarkStart w:id="41" w:name="_Toc3800"/>
      <w:r>
        <w:t>9.2 设备质控</w:t>
      </w:r>
      <w:bookmarkEnd w:id="41"/>
    </w:p>
    <w:p w14:paraId="16DC325F">
      <w:pPr>
        <w:pStyle w:val="22"/>
      </w:pPr>
      <w:r>
        <w:t>SBRT 设备精度直接决定剂量递送准确性，需建立 “日常 + 月度 + 年度” 的三级质控体系。核心设备直线加速器，较适形调强放疗要求更加严格，包括容差值的降低和质控项目的增加。与适形调强放疗质控不同的是每日治疗前需完成激光定位灯校准（偏差≤1mm）、准直器射野显示器校准（偏差≤1mm）、立体定位装置校准（功能正常）；每月进行治疗床位置显示器校准（偏差≤1mm/0.5°）、定位激光灯校准（偏差＜±1mm）；每年进行 SRS 弧形旋转模式（范围：0.5-10MU/deg）校准（剂量输出时监测室设定为 1.0M 或 2%（以较高者为佳），剂量输出时设定的机架弧度 1.0MU 或 2%（以较高者为佳）），辐射和机械等中心重合一致校准（偏离基线偏差≤±1mm），立体定位辅助程序、锁定系统等校准（功能正常）。除了直线加速器，CT 定位机、影像引导设备（如 CBCT、MRI）、治疗计划系统都应定期进行校准，确保肿瘤位置和剂量的准确性。所有质控数据需实时记录，发现异常立即停机检修，待复检合格后方可恢复使用。</w:t>
      </w:r>
    </w:p>
    <w:p w14:paraId="60331E3E">
      <w:pPr>
        <w:pStyle w:val="4"/>
      </w:pPr>
      <w:bookmarkStart w:id="42" w:name="_Toc20229"/>
      <w:r>
        <w:t>9.3 流程质控</w:t>
      </w:r>
      <w:bookmarkEnd w:id="42"/>
    </w:p>
    <w:p w14:paraId="358D7651">
      <w:pPr>
        <w:pStyle w:val="22"/>
      </w:pPr>
      <w:r>
        <w:t>放疗流程涉及环节多、人员多、设备多、更换场所多、耗时长的特点。可采用 “五化” 管理模式，即量化、细化、专业化、最优化和信息化。</w:t>
      </w:r>
    </w:p>
    <w:p w14:paraId="40AF61B0">
      <w:pPr>
        <w:pStyle w:val="22"/>
        <w:numPr>
          <w:ilvl w:val="0"/>
          <w:numId w:val="12"/>
        </w:numPr>
      </w:pPr>
      <w:r>
        <w:t>量化：各工作岗位人员及设备使用情况均数字量化。解决各岗位工作量不均衡，增减无序导致的工作秩序混乱、患者及工作人员不满意的现象，对科内人员、设备、病房月工作量进行量化，使各岗位工作具体、明确、合理，可清晰度量，可随时调控把握，工作忙而不乱，有条不紊，井然有序，确保高效、高质、安全。</w:t>
      </w:r>
    </w:p>
    <w:p w14:paraId="291057C3">
      <w:pPr>
        <w:pStyle w:val="22"/>
        <w:numPr>
          <w:ilvl w:val="0"/>
          <w:numId w:val="12"/>
        </w:numPr>
      </w:pPr>
      <w:r>
        <w:t>细化：放射治疗流程所涉及的每一步均达到细致到位，条理步骤清晰明确。包括工作流程、规章制度、岗位职责、操作规程等。比如设计温馨提示卡，醒目的治疗室序号和地标，方便患者寻找相应治疗室。治疗前对患者心理治疗和全方位宣教，减轻患者紧张恐惧情绪，提高患者依从性，确保治疗准确。</w:t>
      </w:r>
    </w:p>
    <w:p w14:paraId="754037B6">
      <w:pPr>
        <w:pStyle w:val="22"/>
        <w:numPr>
          <w:ilvl w:val="0"/>
          <w:numId w:val="12"/>
        </w:numPr>
      </w:pPr>
      <w:r>
        <w:t>专业化：放疗流程的每一步的细化标准均要体现出专业水平，即过程细腻不繁琐，言简意赅。体现出该环节的要害，既保证质量，又提高效率。放疗流程中每一个环节都严格按照操作规程执行，将放疗误差降到最低。</w:t>
      </w:r>
    </w:p>
    <w:p w14:paraId="1823CA96">
      <w:pPr>
        <w:pStyle w:val="22"/>
        <w:numPr>
          <w:ilvl w:val="0"/>
          <w:numId w:val="12"/>
        </w:numPr>
      </w:pPr>
      <w:r>
        <w:t>最优化：最终计划应用到病人身上，达到三低一高，即正常组织器官不受量或受量最低；病人近期、远期毒反应最低；病人的治疗时间和费用最低；肿瘤剂量最高。</w:t>
      </w:r>
    </w:p>
    <w:p w14:paraId="0C77F4CD">
      <w:pPr>
        <w:pStyle w:val="22"/>
        <w:numPr>
          <w:ilvl w:val="0"/>
          <w:numId w:val="12"/>
        </w:numPr>
      </w:pPr>
      <w:r>
        <w:t>信息化：大数据时代达到各级责任人在权限指令范围内，随时随地工作，调阅查询、修改医嘱、远程会诊等。实现信息化管理系统助力日常工作，提高效率，指导下一步工作及科研课题。</w:t>
      </w:r>
    </w:p>
    <w:p w14:paraId="7EA7E89A">
      <w:pPr>
        <w:pStyle w:val="22"/>
      </w:pPr>
    </w:p>
    <w:p w14:paraId="6928A702">
      <w:pPr>
        <w:pBdr>
          <w:bottom w:val="single" w:color="auto" w:sz="6" w:space="1"/>
        </w:pBdr>
      </w:pPr>
    </w:p>
    <w:p w14:paraId="378C481B">
      <w:pPr>
        <w:pStyle w:val="3"/>
      </w:pPr>
      <w:bookmarkStart w:id="43" w:name="_Toc17741"/>
      <w:r>
        <w:t>附录 A（规范性附录） 危及器官剂量限值相关表格</w:t>
      </w:r>
      <w:bookmarkEnd w:id="43"/>
    </w:p>
    <w:p w14:paraId="5AA91555">
      <w:pPr>
        <w:pStyle w:val="22"/>
      </w:pPr>
      <w:r>
        <w:t>表 A.1 美国医学物理师协会 TG-101 报告危及器官的限量（5 次分割为例）</w:t>
      </w:r>
    </w:p>
    <w:p w14:paraId="05D4A5A4">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4"/>
        <w:gridCol w:w="2328"/>
        <w:gridCol w:w="2347"/>
        <w:gridCol w:w="2347"/>
      </w:tblGrid>
      <w:tr w14:paraId="278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50503E">
            <w:pPr>
              <w:pStyle w:val="22"/>
            </w:pPr>
            <w:r>
              <w:t>器官类型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7F7AB9">
            <w:pPr>
              <w:pStyle w:val="22"/>
            </w:pPr>
            <w:r>
              <w:t>最大体积阈值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569335">
            <w:pPr>
              <w:pStyle w:val="22"/>
            </w:pPr>
            <w:r>
              <w:t>5 次分割阈值剂量（Gy）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4552A5">
            <w:pPr>
              <w:pStyle w:val="22"/>
            </w:pPr>
            <w:r>
              <w:t>5 次分割最大点剂量（Gy）</w:t>
            </w:r>
          </w:p>
        </w:tc>
      </w:tr>
      <w:tr w14:paraId="3E65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EF054C">
            <w:pPr>
              <w:pStyle w:val="22"/>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8F0028">
            <w:pPr>
              <w:pStyle w:val="22"/>
            </w:pPr>
            <w:r>
              <w:t>&lt;0.35cc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09553F">
            <w:pPr>
              <w:pStyle w:val="22"/>
            </w:pPr>
            <w:r>
              <w:t>23 (4.6Gy/f)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A9135E">
            <w:pPr>
              <w:pStyle w:val="22"/>
            </w:pPr>
            <w:r>
              <w:t>30 (6Gy/f)</w:t>
            </w:r>
          </w:p>
        </w:tc>
      </w:tr>
      <w:tr w14:paraId="7EE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68BFF9">
            <w:pPr>
              <w:pStyle w:val="22"/>
            </w:pPr>
            <w:r>
              <w:t>食管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E36E5A">
            <w:pPr>
              <w:pStyle w:val="22"/>
            </w:pPr>
            <w:r>
              <w:t>&lt;5cc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A4294A">
            <w:pPr>
              <w:pStyle w:val="22"/>
            </w:pPr>
            <w:r>
              <w:t>19.5 (3.9Gy/f)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4964A4">
            <w:pPr>
              <w:pStyle w:val="22"/>
            </w:pPr>
            <w:r>
              <w:t>35 (7Gy/f)</w:t>
            </w:r>
          </w:p>
        </w:tc>
      </w:tr>
      <w:tr w14:paraId="2BD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EED325">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F760E7">
            <w:pPr>
              <w:pStyle w:val="22"/>
            </w:pPr>
            <w:r>
              <w:t>&lt;10cc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57B69B">
            <w:pPr>
              <w:pStyle w:val="22"/>
            </w:pPr>
            <w:r>
              <w:t>18 (3.6Gy/f)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33EFD4">
            <w:pPr>
              <w:pStyle w:val="22"/>
            </w:pPr>
            <w:r>
              <w:t>32 (6.4Gy/f)</w:t>
            </w:r>
          </w:p>
        </w:tc>
      </w:tr>
      <w:tr w14:paraId="13E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84A7BA">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EE3399">
            <w:pPr>
              <w:pStyle w:val="22"/>
            </w:pPr>
            <w:r>
              <w:t>&lt;5cc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0B221D">
            <w:pPr>
              <w:pStyle w:val="22"/>
            </w:pPr>
            <w:r>
              <w:t>18 (3.6Gy/f)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4C9E66">
            <w:pPr>
              <w:pStyle w:val="22"/>
            </w:pPr>
            <w:r>
              <w:t>32 (6.4Gy/f)</w:t>
            </w:r>
          </w:p>
        </w:tc>
      </w:tr>
      <w:tr w14:paraId="2A66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0CDD9E">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76118C">
            <w:pPr>
              <w:pStyle w:val="22"/>
            </w:pPr>
            <w:r>
              <w:t>&lt;10cc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0A7597">
            <w:pPr>
              <w:pStyle w:val="22"/>
            </w:pPr>
            <w:r>
              <w:t>12.5 (2.5Gy/f)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994EA6">
            <w:pPr>
              <w:pStyle w:val="22"/>
            </w:pPr>
            <w:r>
              <w:t>-</w:t>
            </w:r>
          </w:p>
        </w:tc>
      </w:tr>
      <w:tr w14:paraId="7D1D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7F9B71">
            <w:pPr>
              <w:pStyle w:val="22"/>
            </w:pPr>
            <w:r>
              <w:t>空肠 / 回肠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46F378">
            <w:pPr>
              <w:pStyle w:val="22"/>
            </w:pPr>
            <w:r>
              <w:t>&lt;5cc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FB0CA5">
            <w:pPr>
              <w:pStyle w:val="22"/>
            </w:pPr>
            <w:r>
              <w:t>19.5 (3.9Gy/f)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5F9181">
            <w:pPr>
              <w:pStyle w:val="22"/>
            </w:pPr>
            <w:r>
              <w:t>35 (7Gy/f)</w:t>
            </w:r>
          </w:p>
        </w:tc>
      </w:tr>
      <w:tr w14:paraId="5E53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147951">
            <w:pPr>
              <w:pStyle w:val="22"/>
            </w:pPr>
            <w:r>
              <w:t>结肠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BC8244">
            <w:pPr>
              <w:pStyle w:val="22"/>
            </w:pPr>
            <w:r>
              <w:t>&lt;20cc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3E9285">
            <w:pPr>
              <w:pStyle w:val="22"/>
            </w:pPr>
            <w:r>
              <w:t>25 (5Gy/f)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D3857A">
            <w:pPr>
              <w:pStyle w:val="22"/>
            </w:pPr>
            <w:r>
              <w:t>38 (7.6Gy/f)</w:t>
            </w:r>
          </w:p>
        </w:tc>
      </w:tr>
      <w:tr w14:paraId="6E94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EF7D94">
            <w:pPr>
              <w:pStyle w:val="22"/>
            </w:pPr>
            <w:r>
              <w:t>肝脏（并联器官）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88C587">
            <w:pPr>
              <w:pStyle w:val="22"/>
            </w:pPr>
            <w:r>
              <w:t>700cc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0C88D1">
            <w:pPr>
              <w:pStyle w:val="22"/>
            </w:pPr>
            <w:r>
              <w:t>21 (4.2Gy/f)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202217">
            <w:pPr>
              <w:pStyle w:val="22"/>
            </w:pPr>
            <w:r>
              <w:t>-</w:t>
            </w:r>
          </w:p>
        </w:tc>
      </w:tr>
      <w:tr w14:paraId="16D9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9CB014">
            <w:pPr>
              <w:pStyle w:val="22"/>
            </w:pPr>
            <w:r>
              <w:t>肾皮质（并联器官）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1DF4C6">
            <w:pPr>
              <w:pStyle w:val="22"/>
            </w:pPr>
            <w:r>
              <w:t>200cc</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E90F1E">
            <w:pPr>
              <w:pStyle w:val="22"/>
            </w:pPr>
            <w:r>
              <w:t>17.5 (3.5Gy/f)</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F631EC">
            <w:pPr>
              <w:pStyle w:val="22"/>
            </w:pPr>
            <w:r>
              <w:t>-</w:t>
            </w:r>
          </w:p>
        </w:tc>
      </w:tr>
    </w:tbl>
    <w:p w14:paraId="5F850E2F">
      <w:pPr>
        <w:pStyle w:val="22"/>
      </w:pPr>
      <w:r>
        <w:t>表 A.2 英国肿瘤研究中心专家共识：危及器官的限量</w:t>
      </w:r>
    </w:p>
    <w:p w14:paraId="2C9A3A16">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4"/>
        <w:gridCol w:w="2403"/>
        <w:gridCol w:w="2304"/>
        <w:gridCol w:w="2305"/>
      </w:tblGrid>
      <w:tr w14:paraId="2334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7072BF">
            <w:pPr>
              <w:pStyle w:val="22"/>
            </w:pPr>
            <w:r>
              <w:t>危及器官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AAA55">
            <w:pPr>
              <w:pStyle w:val="22"/>
            </w:pPr>
            <w:r>
              <w:t>剂量参数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C7952E">
            <w:pPr>
              <w:pStyle w:val="22"/>
            </w:pPr>
            <w:r>
              <w:t>5 次分割最优限值（Gy）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D49DA9">
            <w:pPr>
              <w:pStyle w:val="22"/>
            </w:pPr>
            <w:r>
              <w:t>5 次分割次优限值（Gy）</w:t>
            </w:r>
          </w:p>
        </w:tc>
      </w:tr>
      <w:tr w14:paraId="363B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1E7C80">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E2DE5F">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718291">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A31F13">
            <w:pPr>
              <w:pStyle w:val="22"/>
            </w:pPr>
            <w:r>
              <w:t>&lt;35</w:t>
            </w:r>
          </w:p>
        </w:tc>
      </w:tr>
      <w:tr w14:paraId="0753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86AA8F">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9D47F1">
            <w:pPr>
              <w:pStyle w:val="22"/>
            </w:pPr>
            <w:r>
              <w:t>D1cm³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A06CC8">
            <w:pPr>
              <w:pStyle w:val="22"/>
            </w:pPr>
            <w:r>
              <w:t>&lt;33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268FB9">
            <w:pPr>
              <w:pStyle w:val="22"/>
            </w:pPr>
            <w:r>
              <w:t>-</w:t>
            </w:r>
          </w:p>
        </w:tc>
      </w:tr>
      <w:tr w14:paraId="1CA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BE8FF0">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FE084">
            <w:pPr>
              <w:pStyle w:val="22"/>
            </w:pPr>
            <w:r>
              <w:t>D5cm³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101186">
            <w:pPr>
              <w:pStyle w:val="22"/>
            </w:pPr>
            <w:r>
              <w:t>&lt;25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E08AE0">
            <w:pPr>
              <w:pStyle w:val="22"/>
            </w:pPr>
            <w:r>
              <w:t>-</w:t>
            </w:r>
          </w:p>
        </w:tc>
      </w:tr>
      <w:tr w14:paraId="1E3C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C5FFDB">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0C7C7A">
            <w:pPr>
              <w:pStyle w:val="22"/>
            </w:pPr>
            <w:r>
              <w:t>D9cm³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6FF5EA">
            <w:pPr>
              <w:pStyle w:val="22"/>
            </w:pPr>
            <w:r>
              <w:t>&lt;15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74AB40">
            <w:pPr>
              <w:pStyle w:val="22"/>
            </w:pPr>
            <w:r>
              <w:t>-</w:t>
            </w:r>
          </w:p>
        </w:tc>
      </w:tr>
      <w:tr w14:paraId="419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555CFD">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011B21">
            <w:pPr>
              <w:pStyle w:val="22"/>
            </w:pPr>
            <w:r>
              <w:t>D10cm³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F25BBA">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842DDC">
            <w:pPr>
              <w:pStyle w:val="22"/>
            </w:pPr>
            <w:r>
              <w:t>&lt;25</w:t>
            </w:r>
          </w:p>
        </w:tc>
      </w:tr>
      <w:tr w14:paraId="3D64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7D7FA6">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9C3E95">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9CFAD0">
            <w:pPr>
              <w:pStyle w:val="22"/>
            </w:pPr>
            <w:r>
              <w:t>&lt;33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DFEC12">
            <w:pPr>
              <w:pStyle w:val="22"/>
            </w:pPr>
            <w:r>
              <w:t>&lt;35</w:t>
            </w:r>
          </w:p>
        </w:tc>
      </w:tr>
      <w:tr w14:paraId="2913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F29B71">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59006E">
            <w:pPr>
              <w:pStyle w:val="22"/>
            </w:pPr>
            <w:r>
              <w:t>D5cm³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518FE1">
            <w:pPr>
              <w:pStyle w:val="22"/>
            </w:pPr>
            <w:r>
              <w:t>&lt;25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3A311E">
            <w:pPr>
              <w:pStyle w:val="22"/>
            </w:pPr>
            <w:r>
              <w:t>-</w:t>
            </w:r>
          </w:p>
        </w:tc>
      </w:tr>
      <w:tr w14:paraId="5E04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5D1235">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903201">
            <w:pPr>
              <w:pStyle w:val="22"/>
            </w:pPr>
            <w:r>
              <w:t>D10cm³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4A5E88">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7A8149">
            <w:pPr>
              <w:pStyle w:val="22"/>
            </w:pPr>
            <w:r>
              <w:t>&lt;25</w:t>
            </w:r>
          </w:p>
        </w:tc>
      </w:tr>
      <w:tr w14:paraId="56FB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1C8B0A">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074CC6">
            <w:pPr>
              <w:pStyle w:val="22"/>
            </w:pPr>
            <w:r>
              <w:t>D50cm³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802809">
            <w:pPr>
              <w:pStyle w:val="22"/>
            </w:pPr>
            <w:r>
              <w:t>&lt;12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45879F">
            <w:pPr>
              <w:pStyle w:val="22"/>
            </w:pPr>
            <w:r>
              <w:t>-</w:t>
            </w:r>
          </w:p>
        </w:tc>
      </w:tr>
      <w:tr w14:paraId="056C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9C4BA6">
            <w:pPr>
              <w:pStyle w:val="22"/>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26B674">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F9CC35">
            <w:pPr>
              <w:pStyle w:val="22"/>
            </w:pPr>
            <w:r>
              <w:t>&lt;30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EFCEF1">
            <w:pPr>
              <w:pStyle w:val="22"/>
            </w:pPr>
            <w:r>
              <w:t>&lt;35</w:t>
            </w:r>
          </w:p>
        </w:tc>
      </w:tr>
      <w:tr w14:paraId="6934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7A27A0">
            <w:pPr>
              <w:pStyle w:val="22"/>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2AB745">
            <w:pPr>
              <w:pStyle w:val="22"/>
            </w:pPr>
            <w:r>
              <w:t>D5cm³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39FBC2">
            <w:pPr>
              <w:pStyle w:val="22"/>
            </w:pPr>
            <w:r>
              <w:t>&lt;25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DA1410">
            <w:pPr>
              <w:pStyle w:val="22"/>
            </w:pPr>
            <w:r>
              <w:t>-</w:t>
            </w:r>
          </w:p>
        </w:tc>
      </w:tr>
      <w:tr w14:paraId="18B9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397C3A">
            <w:pPr>
              <w:pStyle w:val="22"/>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D81C6C">
            <w:pPr>
              <w:pStyle w:val="22"/>
            </w:pPr>
            <w:r>
              <w:t>D10cm³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7B4C5C">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B2215E">
            <w:pPr>
              <w:pStyle w:val="22"/>
            </w:pPr>
            <w:r>
              <w:t>&lt;25</w:t>
            </w:r>
          </w:p>
        </w:tc>
      </w:tr>
      <w:tr w14:paraId="5720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55207D">
            <w:pPr>
              <w:pStyle w:val="22"/>
            </w:pPr>
            <w:r>
              <w:t>胆总管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FD80FF">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605E5">
            <w:pPr>
              <w:pStyle w:val="22"/>
            </w:pPr>
            <w:r>
              <w:t>&lt;50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4FF781">
            <w:pPr>
              <w:pStyle w:val="22"/>
            </w:pPr>
            <w:r>
              <w:t>-</w:t>
            </w:r>
          </w:p>
        </w:tc>
      </w:tr>
      <w:tr w14:paraId="033A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0CFE3F">
            <w:pPr>
              <w:pStyle w:val="22"/>
            </w:pPr>
            <w:r>
              <w:t>食管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97C377">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D813F3">
            <w:pPr>
              <w:pStyle w:val="22"/>
            </w:pPr>
            <w:r>
              <w:t>&lt;32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AF5747">
            <w:pPr>
              <w:pStyle w:val="22"/>
            </w:pPr>
            <w:r>
              <w:t>&lt;34（8 次分割时 &lt; 40）</w:t>
            </w:r>
          </w:p>
        </w:tc>
      </w:tr>
      <w:tr w14:paraId="36C7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44984E">
            <w:pPr>
              <w:pStyle w:val="22"/>
            </w:pPr>
            <w:r>
              <w:t>结肠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8E4222">
            <w:pPr>
              <w:pStyle w:val="22"/>
            </w:pPr>
            <w:r>
              <w:t>Dmax（0.5cm³）</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CF342B">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CECB1A">
            <w:pPr>
              <w:pStyle w:val="22"/>
            </w:pPr>
            <w:r>
              <w:t>&lt;32</w:t>
            </w:r>
          </w:p>
        </w:tc>
      </w:tr>
      <w:tr w14:paraId="0E12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D768B5">
            <w:pPr>
              <w:pStyle w:val="22"/>
            </w:pPr>
            <w:r>
              <w:t>肝脏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F031A4">
            <w:pPr>
              <w:pStyle w:val="22"/>
            </w:pPr>
            <w:r>
              <w:t>V10Gy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BA3685">
            <w:pPr>
              <w:pStyle w:val="22"/>
            </w:pPr>
            <w:r>
              <w:t>&lt;70%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11A658">
            <w:pPr>
              <w:pStyle w:val="22"/>
            </w:pPr>
            <w:r>
              <w:t>-</w:t>
            </w:r>
          </w:p>
        </w:tc>
      </w:tr>
      <w:tr w14:paraId="6187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386E17">
            <w:pPr>
              <w:pStyle w:val="22"/>
            </w:pPr>
            <w:r>
              <w:t>肝脏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6F0208">
            <w:pPr>
              <w:pStyle w:val="22"/>
            </w:pPr>
            <w:r>
              <w:t>平均剂量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C5172E">
            <w:pPr>
              <w:pStyle w:val="22"/>
            </w:pPr>
            <w:r>
              <w:t>&lt;13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6C9A00">
            <w:pPr>
              <w:pStyle w:val="22"/>
            </w:pPr>
            <w:r>
              <w:t>&lt;15.2</w:t>
            </w:r>
          </w:p>
        </w:tc>
      </w:tr>
      <w:tr w14:paraId="5EA3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4FB43">
            <w:pPr>
              <w:pStyle w:val="22"/>
            </w:pPr>
            <w:r>
              <w:t>肾脏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D6769E">
            <w:pPr>
              <w:pStyle w:val="22"/>
            </w:pPr>
            <w:r>
              <w:t>平均剂量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556086">
            <w:pPr>
              <w:pStyle w:val="22"/>
            </w:pPr>
            <w:r>
              <w:t>&lt;10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805B98">
            <w:pPr>
              <w:pStyle w:val="22"/>
            </w:pPr>
            <w:r>
              <w:t>-</w:t>
            </w:r>
          </w:p>
        </w:tc>
      </w:tr>
      <w:tr w14:paraId="55EB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57DAF4">
            <w:pPr>
              <w:pStyle w:val="22"/>
            </w:pPr>
            <w:r>
              <w:t>肾脏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0C7D1F">
            <w:pPr>
              <w:pStyle w:val="22"/>
            </w:pPr>
            <w:r>
              <w:t>≥200cm³ 的剂量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56D3B3">
            <w:pPr>
              <w:pStyle w:val="22"/>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A1ADD6">
            <w:pPr>
              <w:pStyle w:val="22"/>
            </w:pPr>
            <w:r>
              <w:t>-</w:t>
            </w:r>
          </w:p>
        </w:tc>
      </w:tr>
      <w:tr w14:paraId="04DB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8E7922">
            <w:pPr>
              <w:pStyle w:val="22"/>
            </w:pPr>
            <w:r>
              <w:t>孤立肾或一侧肾脏平均剂量 &gt; 10Gy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8D80FC">
            <w:pPr>
              <w:pStyle w:val="22"/>
            </w:pPr>
            <w:r>
              <w:t>V10Gy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C97A2A">
            <w:pPr>
              <w:pStyle w:val="22"/>
            </w:pPr>
            <w:r>
              <w:t>&lt;10%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C9F3E9">
            <w:pPr>
              <w:pStyle w:val="22"/>
            </w:pPr>
            <w:r>
              <w:t>&lt;45%</w:t>
            </w:r>
          </w:p>
        </w:tc>
      </w:tr>
    </w:tbl>
    <w:p w14:paraId="53D68DB3">
      <w:pPr>
        <w:pStyle w:val="22"/>
      </w:pPr>
      <w:r>
        <w:t>表 A.3 累计 EQD2Gy 剂量的目标参考值（密西根大学）</w:t>
      </w:r>
    </w:p>
    <w:p w14:paraId="3AE57172">
      <w:pPr>
        <w:pStyle w:val="2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61"/>
        <w:gridCol w:w="1366"/>
        <w:gridCol w:w="1442"/>
        <w:gridCol w:w="1299"/>
        <w:gridCol w:w="1299"/>
        <w:gridCol w:w="1299"/>
        <w:gridCol w:w="1300"/>
      </w:tblGrid>
      <w:tr w14:paraId="4899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E2885F">
            <w:pPr>
              <w:pStyle w:val="22"/>
            </w:pPr>
            <w:r>
              <w:t>OAR</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FCADBE">
            <w:pPr>
              <w:pStyle w:val="22"/>
            </w:pPr>
            <w:r>
              <w:t>α/β 值（Gy）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7B58A0">
            <w:pPr>
              <w:pStyle w:val="22"/>
            </w:pPr>
            <w:r>
              <w:t>最大剂量限制（最小体积 0.1cc，EQD2，Gy）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DF775F">
            <w:pPr>
              <w:pStyle w:val="22"/>
            </w:pPr>
            <w:r>
              <w:t>既往剂量折算（%）- ＜3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78512A">
            <w:pPr>
              <w:pStyle w:val="22"/>
            </w:pPr>
            <w:r>
              <w:t>既往剂量折算（%）- 3 月～6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0149D8">
            <w:pPr>
              <w:pStyle w:val="22"/>
            </w:pPr>
            <w:r>
              <w:t>既往剂量折算（%）- 6 月～1 年</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83F0A7">
            <w:pPr>
              <w:pStyle w:val="22"/>
            </w:pPr>
            <w:r>
              <w:t>既往剂量折算（%）- 1 年～3 年</w:t>
            </w:r>
          </w:p>
        </w:tc>
      </w:tr>
      <w:tr w14:paraId="30FE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1653AB">
            <w:pPr>
              <w:pStyle w:val="22"/>
            </w:pPr>
            <w:r>
              <w:t>脑干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6F80F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72B00D">
            <w:pPr>
              <w:pStyle w:val="22"/>
            </w:pPr>
            <w:r>
              <w:t>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2F900">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104239">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0F73B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E1AA63">
            <w:pPr>
              <w:pStyle w:val="22"/>
            </w:pPr>
            <w:r>
              <w:t>50</w:t>
            </w:r>
          </w:p>
        </w:tc>
      </w:tr>
      <w:tr w14:paraId="2C42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7EA707">
            <w:pPr>
              <w:pStyle w:val="22"/>
            </w:pPr>
            <w:r>
              <w:t>视交叉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DC83F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4E4BB9">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B52287">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4091C0">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7DC43E">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7DE48E">
            <w:pPr>
              <w:pStyle w:val="22"/>
            </w:pPr>
            <w:r>
              <w:t>50</w:t>
            </w:r>
          </w:p>
        </w:tc>
      </w:tr>
      <w:tr w14:paraId="1C66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FD6374">
            <w:pPr>
              <w:pStyle w:val="22"/>
            </w:pPr>
            <w:r>
              <w:t>视神经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972E27">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213CC1">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CC1A1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79AD99">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5C3A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B10707">
            <w:pPr>
              <w:pStyle w:val="22"/>
            </w:pPr>
            <w:r>
              <w:t>50</w:t>
            </w:r>
          </w:p>
        </w:tc>
      </w:tr>
      <w:tr w14:paraId="0FBE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1785F3">
            <w:pPr>
              <w:pStyle w:val="22"/>
            </w:pPr>
            <w:r>
              <w:t>视网膜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5126F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58E9DD">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C7DB1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954C6C">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DB8F46">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D28403">
            <w:pPr>
              <w:pStyle w:val="22"/>
            </w:pPr>
            <w:r>
              <w:t>50</w:t>
            </w:r>
          </w:p>
        </w:tc>
      </w:tr>
      <w:tr w14:paraId="386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A336C8">
            <w:pPr>
              <w:pStyle w:val="22"/>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672362">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F8716">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1A4B5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7F8EC6">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2F8AB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011EBC">
            <w:pPr>
              <w:pStyle w:val="22"/>
            </w:pPr>
            <w:r>
              <w:t>50</w:t>
            </w:r>
          </w:p>
        </w:tc>
      </w:tr>
      <w:tr w14:paraId="28A0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F90A7B">
            <w:pPr>
              <w:pStyle w:val="22"/>
            </w:pPr>
            <w:r>
              <w:t>脊髓（当距离靶区＜2 mm）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F30B8F">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F3CC22">
            <w:pPr>
              <w:pStyle w:val="22"/>
            </w:pPr>
            <w:r>
              <w: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CCF41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4F754E">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D9E3E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4335E2">
            <w:pPr>
              <w:pStyle w:val="22"/>
            </w:pPr>
            <w:r>
              <w:t>50</w:t>
            </w:r>
          </w:p>
        </w:tc>
      </w:tr>
      <w:tr w14:paraId="786F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AFAC0E">
            <w:pPr>
              <w:pStyle w:val="22"/>
            </w:pPr>
            <w:r>
              <w:t>臂丛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F58F9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640329">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9B8E56">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FBD954">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B3EFEE">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B8F6FA">
            <w:pPr>
              <w:pStyle w:val="22"/>
            </w:pPr>
            <w:r>
              <w:t>50</w:t>
            </w:r>
          </w:p>
        </w:tc>
      </w:tr>
      <w:tr w14:paraId="36C2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A692A6">
            <w:pPr>
              <w:pStyle w:val="22"/>
            </w:pPr>
            <w:r>
              <w:t>胸壁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5BC226">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AF5CB">
            <w:pPr>
              <w:pStyle w:val="22"/>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CE078D">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D881D7">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4FA352">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454328">
            <w:pPr>
              <w:pStyle w:val="22"/>
            </w:pPr>
            <w:r>
              <w:t>50</w:t>
            </w:r>
          </w:p>
        </w:tc>
      </w:tr>
      <w:tr w14:paraId="4FE8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B7257D">
            <w:pPr>
              <w:pStyle w:val="22"/>
            </w:pPr>
            <w:r>
              <w:t>气管 / 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6DE93A">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31657B">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A35BBB">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230B94">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535B2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C7A3DA">
            <w:pPr>
              <w:pStyle w:val="22"/>
            </w:pPr>
            <w:r>
              <w:t>50</w:t>
            </w:r>
          </w:p>
        </w:tc>
      </w:tr>
      <w:tr w14:paraId="1DF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1A4EBE">
            <w:pPr>
              <w:pStyle w:val="22"/>
            </w:pPr>
            <w:r>
              <w:t>食道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C94FBB">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96C8F6">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68C5C9">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EF30D3">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83CA4E">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D93A15">
            <w:pPr>
              <w:pStyle w:val="22"/>
            </w:pPr>
            <w:r>
              <w:t>50</w:t>
            </w:r>
          </w:p>
        </w:tc>
      </w:tr>
      <w:tr w14:paraId="6AD0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AC6359">
            <w:pPr>
              <w:pStyle w:val="22"/>
            </w:pPr>
            <w:r>
              <w:t>大血管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D9289A">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B60E2">
            <w:pPr>
              <w:pStyle w:val="22"/>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D02928">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9B4DE9">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4DED4A">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521A15">
            <w:pPr>
              <w:pStyle w:val="22"/>
            </w:pPr>
            <w:r>
              <w:t>50</w:t>
            </w:r>
          </w:p>
        </w:tc>
      </w:tr>
      <w:tr w14:paraId="4F4E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A48C68">
            <w:pPr>
              <w:pStyle w:val="22"/>
            </w:pPr>
            <w:r>
              <w:t>心脏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76FF2F">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FB2B4A">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8CA607">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401165">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F743B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D5AE56">
            <w:pPr>
              <w:pStyle w:val="22"/>
            </w:pPr>
            <w:r>
              <w:t>50</w:t>
            </w:r>
          </w:p>
        </w:tc>
      </w:tr>
      <w:tr w14:paraId="1AEE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61DE4A">
            <w:pPr>
              <w:pStyle w:val="22"/>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C0DA9C">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72D9A9">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0C0D01">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F687A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3E921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9F0F5C">
            <w:pPr>
              <w:pStyle w:val="22"/>
            </w:pPr>
            <w:r>
              <w:t>25</w:t>
            </w:r>
          </w:p>
        </w:tc>
      </w:tr>
      <w:tr w14:paraId="6BD7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FAB3D9">
            <w:pPr>
              <w:pStyle w:val="22"/>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E4B216">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8D6EE7">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3246E">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32A25">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83A37">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6D375C">
            <w:pPr>
              <w:pStyle w:val="22"/>
            </w:pPr>
            <w:r>
              <w:t>25</w:t>
            </w:r>
          </w:p>
        </w:tc>
      </w:tr>
      <w:tr w14:paraId="39B2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ED24C0">
            <w:pPr>
              <w:pStyle w:val="22"/>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A46B62">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AB0EC9">
            <w:pPr>
              <w:pStyle w:val="22"/>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B9A6D3">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6B5DBC">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BC38A2">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9C2892">
            <w:pPr>
              <w:pStyle w:val="22"/>
            </w:pPr>
            <w:r>
              <w:t>25</w:t>
            </w:r>
          </w:p>
        </w:tc>
      </w:tr>
      <w:tr w14:paraId="3F8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F223F1">
            <w:pPr>
              <w:pStyle w:val="22"/>
            </w:pPr>
            <w:r>
              <w:t>结肠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085065">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860776">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E51B5D">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145DFC">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A1DD17">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6FB3B">
            <w:pPr>
              <w:pStyle w:val="22"/>
            </w:pPr>
            <w:r>
              <w:t>50</w:t>
            </w:r>
          </w:p>
        </w:tc>
      </w:tr>
      <w:tr w14:paraId="240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8DC518">
            <w:pPr>
              <w:pStyle w:val="22"/>
            </w:pPr>
            <w:r>
              <w:t>直肠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C3DFD2">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2A1FA8">
            <w:pPr>
              <w:pStyle w:val="22"/>
            </w:pPr>
            <w:r>
              <w:t>80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C7C258">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FE3DB8">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49EEF1">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278DF5">
            <w:pPr>
              <w:pStyle w:val="22"/>
            </w:pPr>
            <w:r>
              <w:t>50</w:t>
            </w:r>
          </w:p>
        </w:tc>
      </w:tr>
      <w:tr w14:paraId="711C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CB39A4">
            <w:pPr>
              <w:pStyle w:val="22"/>
            </w:pPr>
            <w:r>
              <w:t>肾脏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F00D06">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CBAC5F">
            <w:pPr>
              <w:pStyle w:val="22"/>
            </w:pPr>
            <w:r>
              <w:t>ALARA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34B4C3">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C5E0F1">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639E50">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B1F56C">
            <w:pPr>
              <w:pStyle w:val="22"/>
            </w:pPr>
            <w:r>
              <w:t>0</w:t>
            </w:r>
          </w:p>
        </w:tc>
      </w:tr>
      <w:tr w14:paraId="4D4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EC9E39">
            <w:pPr>
              <w:pStyle w:val="22"/>
            </w:pPr>
            <w:r>
              <w:t>膀胱</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90533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03996F">
            <w:pPr>
              <w:pStyle w:val="22"/>
            </w:pPr>
            <w:r>
              <w:t>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B695FF">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89ADA6">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88C2B9">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9B58E0">
            <w:pPr>
              <w:pStyle w:val="22"/>
            </w:pPr>
            <w:r>
              <w:t>50</w:t>
            </w:r>
          </w:p>
        </w:tc>
      </w:tr>
      <w:tr w14:paraId="212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37419A">
            <w:pPr>
              <w:pStyle w:val="22"/>
            </w:pPr>
            <w:r>
              <w:t>马尾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7210C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B90668">
            <w:pPr>
              <w:pStyle w:val="22"/>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76D5ED">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FA808A">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6F581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4C278">
            <w:pPr>
              <w:pStyle w:val="22"/>
            </w:pPr>
            <w:r>
              <w:t>50</w:t>
            </w:r>
          </w:p>
        </w:tc>
      </w:tr>
      <w:tr w14:paraId="4C3E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F98E38">
            <w:pPr>
              <w:pStyle w:val="22"/>
            </w:pPr>
            <w:r>
              <w:t>骶丛神经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999624">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212EC6">
            <w:pPr>
              <w:pStyle w:val="22"/>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ED85F4">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D99D2D">
            <w:pPr>
              <w:pStyle w:val="22"/>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F46A9A">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7B930">
            <w:pPr>
              <w:pStyle w:val="22"/>
            </w:pPr>
            <w:r>
              <w:t>50</w:t>
            </w:r>
          </w:p>
        </w:tc>
      </w:tr>
      <w:tr w14:paraId="05B2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83DE4D">
            <w:pPr>
              <w:pStyle w:val="22"/>
            </w:pPr>
            <w:r>
              <w:t>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18A633">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43256E">
            <w:pPr>
              <w:pStyle w:val="22"/>
            </w:pPr>
            <w:r>
              <w:t>每个病例自定义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7E32B1">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EC4E14">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348F6D">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D01384">
            <w:pPr>
              <w:pStyle w:val="22"/>
            </w:pPr>
            <w:r>
              <w:t>50</w:t>
            </w:r>
          </w:p>
        </w:tc>
      </w:tr>
      <w:tr w14:paraId="2696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E5BC1D">
            <w:pPr>
              <w:pStyle w:val="22"/>
            </w:pPr>
            <w:r>
              <w:t>肝脏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41946F">
            <w:pPr>
              <w:pStyle w:val="22"/>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8F7E14">
            <w:pPr>
              <w:pStyle w:val="22"/>
            </w:pPr>
            <w:r>
              <w:t>NTCP 限制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3B572F">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3EA475">
            <w:pPr>
              <w:pStyle w:val="22"/>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FE607E">
            <w:pPr>
              <w:pStyle w:val="22"/>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5E1414">
            <w:pPr>
              <w:pStyle w:val="22"/>
            </w:pPr>
            <w:r>
              <w:t>100</w:t>
            </w:r>
          </w:p>
        </w:tc>
      </w:tr>
    </w:tbl>
    <w:p w14:paraId="441F8A50">
      <w:pPr>
        <w:pStyle w:val="22"/>
      </w:pPr>
      <w:r>
        <w:t>注：OAR = 危及器官（organs at risk）；NTCP = 正常组织并发症概率（Normal tissue complication probability）；ALARA = 合理最低剂量（as low as reasonably achievable）；[0% 表示既往照射无可减少剂量]，再程照射间隔大于 3 年，建议既往剂量减少 50%。</w:t>
      </w:r>
    </w:p>
    <w:p w14:paraId="35CDBCE5">
      <w:pPr>
        <w:pStyle w:val="22"/>
      </w:pPr>
    </w:p>
    <w:p w14:paraId="72B2313F">
      <w:pPr>
        <w:pBdr>
          <w:bottom w:val="single" w:color="auto" w:sz="6" w:space="1"/>
        </w:pBdr>
      </w:pPr>
    </w:p>
    <w:p w14:paraId="5EDACF7E">
      <w:pPr>
        <w:pStyle w:val="3"/>
      </w:pPr>
      <w:bookmarkStart w:id="44" w:name="_Toc4153"/>
      <w:r>
        <w:t>参考文献</w:t>
      </w:r>
      <w:bookmarkEnd w:id="44"/>
    </w:p>
    <w:p w14:paraId="1E86E25A">
      <w:pPr>
        <w:pStyle w:val="22"/>
      </w:pPr>
      <w:r>
        <w:t>[1] Chen W, Zheng R, Baade PD, et al. Cancer statistics in China, 2015[J]. CA A Cancer J Clinicians. 2016;66(2):115-132. DOI:10.3322/caac.21338.</w:t>
      </w:r>
    </w:p>
    <w:p w14:paraId="418F727E">
      <w:pPr>
        <w:pStyle w:val="22"/>
      </w:pPr>
      <w:r>
        <w:t>[2] Benedict SH, Yenice KM, Followill D, et al. Stereotactic body radiation therapy: The report of AAPM Task Group 101[J]. Medical Physics. 2010;37(8):4078-4101. DOI:10.1118/1.3438081.</w:t>
      </w:r>
    </w:p>
    <w:p w14:paraId="1BA1C034">
      <w:pPr>
        <w:pStyle w:val="22"/>
      </w:pPr>
      <w:r>
        <w:t>[3] Doi Y, Nagata Y, Matsumoto Y, et al. Multicenter retrospective study of stereotactic body radiotherapy for patients with previously untreated initial small hepatocellular carcinoma[J]. Hepatology Research. 2023;53(8):749-760. DOI:10.1111/hepr.13908.</w:t>
      </w:r>
    </w:p>
    <w:p w14:paraId="7ED56BD4">
      <w:pPr>
        <w:pStyle w:val="22"/>
      </w:pPr>
      <w:r>
        <w:t>[4] Han KH, Kudo M, Ye SL, et al. Asian Consensus Workshop Report: Expert Consensus Guideline for the Management of Intermediate and Advanced Hepatocellular Carcinoma in Asia[J]. Oncology. 2011;81(Suppl. 1):158-164. DOI:10.1159/000333280.</w:t>
      </w:r>
    </w:p>
    <w:p w14:paraId="3DED6E4B">
      <w:pPr>
        <w:pStyle w:val="22"/>
      </w:pPr>
      <w:r>
        <w:t>[5] Yau T, Tang VYF, Yao TJ, Fan ST, Lo CM, Poon RTP. Development of Hong Kong Liver Cancer Staging System With Treatment Stratification for Patients With Hepatocellular Carcinoma. Gastroenterology[J]. 2014;146(7):1691-1700.e3. DOI:10.1053/j.gastro.2014.02.032.</w:t>
      </w:r>
    </w:p>
    <w:p w14:paraId="72ED93DB">
      <w:pPr>
        <w:pStyle w:val="22"/>
      </w:pPr>
      <w:r>
        <w:t>[6] Bae SH, Chun SJ, Chung JH, et al. Stereotactic Body Radiation Therapy for Hepatocellular Carcinoma: Meta-Analysis and International Stereotactic Radiosurgery Society Practice Guidelines[J]. Int J Radiat Oncol Biol Phys. 2024;118(2):337-351. DOI:10.1016/j.ijrobp.2023.08.015.</w:t>
      </w:r>
    </w:p>
    <w:p w14:paraId="37CFF187">
      <w:pPr>
        <w:pStyle w:val="22"/>
      </w:pPr>
      <w:r>
        <w:t>[7] Wahl DR, Stenmark MH, Tao Y, et al. Outcomes After Stereotactic Body Radiotherapy or Radiofrequency Ablation for Hepatocellular Carcinoma[J]. J Clin Oncol. 2016;34(5):452-459. DOI:10.1200/JCO.2015.61.4925.</w:t>
      </w:r>
    </w:p>
    <w:p w14:paraId="158C134D">
      <w:pPr>
        <w:pStyle w:val="22"/>
      </w:pPr>
      <w:r>
        <w:t>[8] Kim N, Cheng J, Jung I, et al. Stereotactic body radiation therapy vs. radiofrequency ablation in Asian patients with hepatocellular carcinoma[J]. J Hepatol. 2020;73(1):121-129. DOI:10.1016/j.jhep.2020.03.005.</w:t>
      </w:r>
    </w:p>
    <w:p w14:paraId="6325085B">
      <w:pPr>
        <w:pStyle w:val="22"/>
      </w:pPr>
      <w:r>
        <w:t>[9] Su TS, Liang P, Lu HZ, et al. Stereotactic body radiation therapy for small primary or recurrent hepatocellular carcinoma in 132 Chinese patients[J]. J Surg Oncol. 2016;113(2):181-187. DOI:10.1002/jso.24128.</w:t>
      </w:r>
    </w:p>
    <w:p w14:paraId="615D1C9F">
      <w:pPr>
        <w:pStyle w:val="22"/>
      </w:pPr>
      <w:r>
        <w:t>[10] Chen YX, Zhuang Y, Yang P, et al. Helical IMRT-Based Stereotactic Body Radiation Therapy Using an Abdominal Compression Technique and Modified Fractionation Regimen for Small Hepatocellular Carcinoma[J]. Technol Cancer Res Treat. 2020;19:1533033820937002. DOI:10.1177/1533033820937002.</w:t>
      </w:r>
    </w:p>
    <w:p w14:paraId="487430F5">
      <w:pPr>
        <w:pStyle w:val="22"/>
      </w:pPr>
      <w:r>
        <w:t>[11] Zheng DX, Chen YX, Sun J, et al. Stereotactic body radiation therapy in patients with centrally located hepatocellular carcinoma: A retrospective, single-arm, multi-center study[J]. Clin Transl Radiat Oncol. 2024;46:100767. DOI:10.1016/j.ctro.2024.100767.</w:t>
      </w:r>
    </w:p>
    <w:p w14:paraId="0F274601">
      <w:pPr>
        <w:pStyle w:val="22"/>
      </w:pPr>
      <w:r>
        <w:t>[12] Sapir E, Tao Y, Schipper MJ, et al. Stereotactic Body Radiation Therapy as an Alternative to Transarterial Chemoembolization for Hepatocellular Carcinoma[J]. Int J Radiat Oncol Biol Phys. 2018;100(1):122-130. DOI:10.1016/j.ijrobp.2017.09.001.</w:t>
      </w:r>
    </w:p>
    <w:p w14:paraId="1A019BB8">
      <w:pPr>
        <w:pStyle w:val="22"/>
      </w:pPr>
      <w:r>
        <w:t>[13] Méndez Romero A, van der Holt B, Willemssen FEJA, et al. Transarterial Chemoembolization With Drug-Eluting Beads Versus Stereotactic Body Radiation Therapy for Hepatocellular Carcinoma: Outcomes From a Multicenter, Randomized, Phase 2 Trial (the TRENDY Trial)[J]. Int J Radiat Oncol Biol Phys. 2023;117(1):45-52. DOI:10.1016/j.ijrobp.2023.03.064.</w:t>
      </w:r>
    </w:p>
    <w:p w14:paraId="3994E37C">
      <w:pPr>
        <w:pStyle w:val="22"/>
      </w:pPr>
      <w:r>
        <w:t>[14] Munoz-Schuffenegger P, Barry A, Atenafu EG, et al. Stereotactic body radiation therapy for hepatocellular carcinoma with Macrovascular invasion[J]. Radiother Oncol. 2021;156:120-126. DOI:10.1016/j.radonc.2020.11.033.</w:t>
      </w:r>
    </w:p>
    <w:p w14:paraId="7B32CEB2">
      <w:pPr>
        <w:pStyle w:val="22"/>
      </w:pPr>
      <w:r>
        <w:t>[15] Kumar R, Yadav HP, Thaper D, Kamal R, Gupta A, Kirti S. Efficacy and toxicity of SBRT in advanced hepatocellular carcinoma with portal vein tumor thrombosis - a retrospective study[J]. Rep Pract Oncol Radiother. 2021;26(4):573-581. DOI:10.5603/RPOR.a2021.0048.</w:t>
      </w:r>
    </w:p>
    <w:p w14:paraId="23F36B3C">
      <w:pPr>
        <w:pStyle w:val="22"/>
      </w:pPr>
      <w:r>
        <w:t>[16] Dawson LA, Winter KA, Knox JJ, et al. Stereotactic Body Radiotherapy vs Sorafenib Alone in Hepatocellular Carcinoma: The NRG Oncology/RTOG 1112 Phase 3 Randomized Clinical Trial[J]. JAMA Oncol. 2025;11(2):136-144. DOI:10.1</w:t>
      </w: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1F27">
    <w:pPr>
      <w:pStyle w:val="11"/>
      <w:jc w:val="right"/>
      <w:rPr>
        <w:rFonts w:hint="eastAsia"/>
      </w:rPr>
    </w:pPr>
  </w:p>
  <w:p w14:paraId="51D6CD12">
    <w:pPr>
      <w:pStyle w:val="11"/>
      <w:jc w:val="right"/>
      <w:rPr>
        <w:rFonts w:hint="eastAsia"/>
      </w:rPr>
    </w:pPr>
  </w:p>
  <w:p w14:paraId="162161B9">
    <w:pPr>
      <w:pStyle w:val="11"/>
      <w:jc w:val="right"/>
    </w:pPr>
    <w:r>
      <w:rPr>
        <w:rFonts w:hint="eastAsia"/>
      </w:rPr>
      <w:t>T/CNHAW-B-0017-2025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206C0500"/>
    <w:rsid w:val="3A2336A8"/>
    <w:rsid w:val="59FD243F"/>
    <w:rsid w:val="7A9A4B62"/>
    <w:rsid w:val="7D483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rPr>
      <w:rFonts w:ascii="黑体" w:hAnsi="黑体" w:eastAsia="黑体" w:cs="黑体"/>
      <w:sz w:val="28"/>
      <w:szCs w:val="28"/>
      <w:lang w:val="en-US" w:eastAsia="en-US" w:bidi="ar-SA"/>
    </w:rPr>
  </w:style>
  <w:style w:type="paragraph" w:styleId="9">
    <w:name w:val="toc 3"/>
    <w:basedOn w:val="1"/>
    <w:next w:val="1"/>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link w:val="21"/>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toc 2"/>
    <w:basedOn w:val="1"/>
    <w:next w:val="1"/>
    <w:qFormat/>
    <w:uiPriority w:val="0"/>
    <w:pPr>
      <w:ind w:left="420" w:leftChars="200"/>
    </w:pPr>
  </w:style>
  <w:style w:type="paragraph" w:styleId="15">
    <w:name w:val="Title"/>
    <w:basedOn w:val="1"/>
    <w:qFormat/>
    <w:uiPriority w:val="0"/>
    <w:pPr>
      <w:spacing w:before="480" w:after="480" w:line="288" w:lineRule="auto"/>
      <w:ind w:left="0"/>
    </w:pPr>
    <w:rPr>
      <w:rFonts w:ascii="Arial" w:hAnsi="Arial" w:eastAsia="等线" w:cs="Arial"/>
      <w:b/>
      <w:bCs/>
      <w:sz w:val="52"/>
      <w:szCs w:val="52"/>
    </w:rPr>
  </w:style>
  <w:style w:type="character" w:styleId="18">
    <w:name w:val="Hyperlink"/>
    <w:unhideWhenUsed/>
    <w:qFormat/>
    <w:uiPriority w:val="99"/>
    <w:rPr>
      <w:color w:val="0563C1"/>
      <w:u w:val="single"/>
    </w:rPr>
  </w:style>
  <w:style w:type="character" w:styleId="19">
    <w:name w:val="footnote reference"/>
    <w:semiHidden/>
    <w:unhideWhenUsed/>
    <w:uiPriority w:val="99"/>
    <w:rPr>
      <w:vertAlign w:val="superscript"/>
    </w:rPr>
  </w:style>
  <w:style w:type="paragraph" w:styleId="20">
    <w:name w:val="List Paragraph"/>
    <w:qFormat/>
    <w:uiPriority w:val="0"/>
    <w:rPr>
      <w:rFonts w:asciiTheme="minorHAnsi" w:hAnsiTheme="minorHAnsi" w:eastAsiaTheme="minorEastAsia" w:cstheme="minorBidi"/>
      <w:sz w:val="21"/>
      <w:szCs w:val="22"/>
    </w:rPr>
  </w:style>
  <w:style w:type="character" w:customStyle="1" w:styleId="21">
    <w:name w:val="Footnote Text Char"/>
    <w:link w:val="13"/>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Calibri"/>
      <w:spacing w:val="-40"/>
      <w:sz w:val="48"/>
      <w:szCs w:val="52"/>
      <w:lang w:val="en-US" w:eastAsia="zh-CN" w:bidi="ar-SA"/>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3526</Words>
  <Characters>4637</Characters>
  <TotalTime>1</TotalTime>
  <ScaleCrop>false</ScaleCrop>
  <LinksUpToDate>false</LinksUpToDate>
  <CharactersWithSpaces>5064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2025-11-27T03:08:00Z</dcterms:created>
  <dc:creator>Un-named</dc:creator>
  <cp:lastModifiedBy>LZY</cp:lastModifiedBy>
  <dcterms:modified xsi:type="dcterms:W3CDTF">2025-11-27T05:43:45Z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58AE2FD17635477D810962A88529395B_13</vt:lpwstr>
  </property>
</Properties>
</file>