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83E9E">
      <w:pPr>
        <w:pStyle w:val="24"/>
        <w:framePr w:w="7955" w:wrap="notBeside" w:x="1935" w:y="1336"/>
        <w:spacing w:before="62"/>
      </w:pPr>
      <w:r>
        <w:rPr>
          <w:rFonts w:hint="eastAsia"/>
          <w:sz w:val="76"/>
          <w:szCs w:val="76"/>
        </w:rPr>
        <w:t>团体标准</w:t>
      </w:r>
    </w:p>
    <w:p w14:paraId="6CD4426D">
      <w:pPr>
        <w:pStyle w:val="24"/>
        <w:framePr w:w="7955" w:wrap="notBeside" w:x="1935" w:y="1336"/>
        <w:spacing w:before="62"/>
      </w:pPr>
    </w:p>
    <w:p w14:paraId="3B8D6E9A">
      <w:pPr>
        <w:pStyle w:val="8"/>
        <w:spacing w:before="269" w:line="265" w:lineRule="exact"/>
        <w:ind w:left="6857"/>
        <w:rPr>
          <w:rFonts w:ascii="Arial"/>
          <w:sz w:val="21"/>
        </w:rPr>
      </w:pPr>
      <w:r>
        <w:rPr>
          <w:spacing w:val="45"/>
          <w:position w:val="1"/>
          <w:sz w:val="20"/>
          <w:szCs w:val="20"/>
        </w:rPr>
        <w:t xml:space="preserve"> </w:t>
      </w:r>
    </w:p>
    <w:p w14:paraId="69A02FD0">
      <w:pPr>
        <w:spacing w:line="360" w:lineRule="auto"/>
        <w:ind w:firstLine="420" w:firstLineChars="200"/>
        <w:rPr>
          <w:rFonts w:ascii="Times New Roman" w:hAnsi="Times New Roman"/>
          <w:sz w:val="21"/>
        </w:rPr>
      </w:pPr>
    </w:p>
    <w:p w14:paraId="7F87B811">
      <w:pPr>
        <w:spacing w:line="330" w:lineRule="auto"/>
        <w:rPr>
          <w:rFonts w:ascii="Arial"/>
          <w:sz w:val="21"/>
        </w:rPr>
      </w:pPr>
    </w:p>
    <w:p w14:paraId="2504491F">
      <w:pPr>
        <w:spacing w:line="30" w:lineRule="exact"/>
      </w:pPr>
    </w:p>
    <w:p w14:paraId="3DF2C841">
      <w:pPr>
        <w:spacing w:line="256" w:lineRule="auto"/>
        <w:rPr>
          <w:rFonts w:ascii="Arial"/>
          <w:sz w:val="21"/>
        </w:rPr>
      </w:pPr>
    </w:p>
    <w:p w14:paraId="5178BF1C">
      <w:pPr>
        <w:spacing w:line="256" w:lineRule="auto"/>
        <w:rPr>
          <w:rFonts w:ascii="Arial"/>
          <w:sz w:val="21"/>
        </w:rPr>
      </w:pPr>
    </w:p>
    <w:p w14:paraId="3F3F7120">
      <w:pPr>
        <w:spacing w:line="256" w:lineRule="auto"/>
        <w:rPr>
          <w:rFonts w:ascii="Arial"/>
          <w:sz w:val="21"/>
        </w:rPr>
      </w:pPr>
    </w:p>
    <w:p w14:paraId="15921711">
      <w:pPr>
        <w:widowControl w:val="0"/>
        <w:pBdr>
          <w:bottom w:val="single" w:color="auto" w:sz="4" w:space="0"/>
        </w:pBdr>
        <w:kinsoku/>
        <w:autoSpaceDE/>
        <w:autoSpaceDN/>
        <w:adjustRightInd/>
        <w:snapToGrid/>
        <w:spacing w:line="240" w:lineRule="auto"/>
        <w:jc w:val="right"/>
        <w:textAlignment w:val="auto"/>
        <w:rPr>
          <w:sz w:val="28"/>
          <w:szCs w:val="28"/>
          <w:u w:val="none"/>
        </w:rPr>
      </w:pPr>
      <w:r>
        <w:rPr>
          <w:rFonts w:hint="eastAsia" w:ascii="Calibri" w:hAnsi="Calibri" w:eastAsia="宋体" w:cs="Times New Roman"/>
          <w:snapToGrid/>
          <w:kern w:val="2"/>
          <w:sz w:val="28"/>
          <w:szCs w:val="28"/>
          <w:u w:val="none"/>
          <w:lang w:eastAsia="zh-CN"/>
        </w:rPr>
        <w:t>T/CNHAW-B-0020-2025</w:t>
      </w:r>
    </w:p>
    <w:p w14:paraId="2C0E4D2F">
      <w:pPr>
        <w:pStyle w:val="23"/>
        <w:ind w:firstLine="0" w:firstLineChars="0"/>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肺癌及胸部肿瘤立体定向放射外科治疗要求（征求意见稿）</w:t>
      </w:r>
    </w:p>
    <w:p w14:paraId="64129A17">
      <w:pPr>
        <w:spacing w:line="243" w:lineRule="auto"/>
        <w:jc w:val="center"/>
        <w:rPr>
          <w:rFonts w:ascii="Arial"/>
          <w:sz w:val="21"/>
        </w:rPr>
      </w:pPr>
      <w:r>
        <w:rPr>
          <w:rFonts w:hint="default" w:ascii="Times New Roman" w:hAnsi="Times New Roman" w:cs="Times New Roman"/>
          <w:sz w:val="30"/>
          <w:szCs w:val="30"/>
        </w:rPr>
        <w:t>Requirements for Stereotactic Body Radiation Therapy (SBRT) in Non-Small Cell Lung Cancer (NSCLC) and Chest Tumor</w:t>
      </w:r>
    </w:p>
    <w:p w14:paraId="3071100A">
      <w:pPr>
        <w:spacing w:line="243" w:lineRule="auto"/>
        <w:rPr>
          <w:rFonts w:ascii="Arial"/>
          <w:sz w:val="21"/>
        </w:rPr>
      </w:pPr>
    </w:p>
    <w:p w14:paraId="59E09878">
      <w:pPr>
        <w:spacing w:line="243" w:lineRule="auto"/>
        <w:rPr>
          <w:rFonts w:ascii="Arial"/>
          <w:sz w:val="21"/>
        </w:rPr>
      </w:pPr>
    </w:p>
    <w:p w14:paraId="0CF2CBAD">
      <w:pPr>
        <w:spacing w:line="243" w:lineRule="auto"/>
        <w:rPr>
          <w:rFonts w:ascii="Arial"/>
          <w:sz w:val="21"/>
        </w:rPr>
      </w:pPr>
    </w:p>
    <w:p w14:paraId="66747EF2">
      <w:pPr>
        <w:spacing w:line="243" w:lineRule="auto"/>
        <w:rPr>
          <w:rFonts w:ascii="Arial"/>
          <w:sz w:val="21"/>
        </w:rPr>
      </w:pPr>
    </w:p>
    <w:p w14:paraId="4858FB05">
      <w:pPr>
        <w:spacing w:line="243" w:lineRule="auto"/>
        <w:rPr>
          <w:rFonts w:ascii="Arial"/>
          <w:sz w:val="21"/>
        </w:rPr>
      </w:pPr>
    </w:p>
    <w:p w14:paraId="69209B0A">
      <w:pPr>
        <w:spacing w:line="243" w:lineRule="auto"/>
        <w:rPr>
          <w:rFonts w:ascii="Arial"/>
          <w:sz w:val="21"/>
        </w:rPr>
      </w:pPr>
    </w:p>
    <w:p w14:paraId="5BFC48E6">
      <w:pPr>
        <w:spacing w:line="243" w:lineRule="auto"/>
        <w:rPr>
          <w:rFonts w:ascii="Arial"/>
          <w:sz w:val="21"/>
        </w:rPr>
      </w:pPr>
    </w:p>
    <w:p w14:paraId="45C8223F">
      <w:pPr>
        <w:spacing w:line="243" w:lineRule="auto"/>
        <w:rPr>
          <w:rFonts w:ascii="Arial"/>
          <w:sz w:val="21"/>
        </w:rPr>
      </w:pPr>
    </w:p>
    <w:p w14:paraId="432D2838">
      <w:pPr>
        <w:spacing w:line="243" w:lineRule="auto"/>
        <w:rPr>
          <w:rFonts w:ascii="Arial"/>
          <w:sz w:val="21"/>
        </w:rPr>
      </w:pPr>
    </w:p>
    <w:p w14:paraId="0357429A">
      <w:pPr>
        <w:spacing w:line="243" w:lineRule="auto"/>
        <w:rPr>
          <w:rFonts w:ascii="Arial"/>
          <w:sz w:val="21"/>
        </w:rPr>
      </w:pPr>
    </w:p>
    <w:p w14:paraId="2237B3ED">
      <w:pPr>
        <w:spacing w:line="243" w:lineRule="auto"/>
        <w:rPr>
          <w:rFonts w:ascii="Arial"/>
          <w:sz w:val="21"/>
        </w:rPr>
      </w:pPr>
    </w:p>
    <w:p w14:paraId="6BE6855D">
      <w:pPr>
        <w:spacing w:line="243" w:lineRule="auto"/>
        <w:jc w:val="center"/>
        <w:rPr>
          <w:rFonts w:hint="eastAsia" w:ascii="宋体" w:hAnsi="宋体" w:eastAsia="宋体" w:cs="宋体"/>
          <w:snapToGrid/>
          <w:color w:val="auto"/>
          <w:kern w:val="0"/>
          <w:sz w:val="21"/>
          <w:szCs w:val="28"/>
          <w:lang w:val="en-US" w:eastAsia="zh-CN" w:bidi="ar-SA"/>
        </w:rPr>
      </w:pPr>
    </w:p>
    <w:p w14:paraId="6A659E47">
      <w:pPr>
        <w:spacing w:line="243" w:lineRule="auto"/>
        <w:jc w:val="center"/>
        <w:rPr>
          <w:rFonts w:hint="eastAsia" w:ascii="宋体" w:hAnsi="宋体" w:eastAsia="宋体" w:cs="宋体"/>
          <w:snapToGrid/>
          <w:color w:val="auto"/>
          <w:kern w:val="0"/>
          <w:sz w:val="21"/>
          <w:szCs w:val="28"/>
          <w:lang w:val="en-US" w:eastAsia="zh-CN" w:bidi="ar-SA"/>
        </w:rPr>
      </w:pPr>
    </w:p>
    <w:p w14:paraId="3AA5A240">
      <w:pPr>
        <w:spacing w:line="243" w:lineRule="auto"/>
        <w:jc w:val="center"/>
        <w:rPr>
          <w:rFonts w:hint="eastAsia" w:ascii="宋体" w:hAnsi="宋体" w:eastAsia="宋体" w:cs="宋体"/>
          <w:snapToGrid/>
          <w:color w:val="auto"/>
          <w:kern w:val="0"/>
          <w:sz w:val="21"/>
          <w:szCs w:val="28"/>
          <w:lang w:val="en-US" w:eastAsia="zh-CN" w:bidi="ar-SA"/>
        </w:rPr>
      </w:pPr>
    </w:p>
    <w:p w14:paraId="15607B02">
      <w:pPr>
        <w:spacing w:line="243" w:lineRule="auto"/>
        <w:jc w:val="center"/>
        <w:rPr>
          <w:rFonts w:hint="eastAsia" w:ascii="宋体" w:hAnsi="宋体" w:eastAsia="宋体" w:cs="宋体"/>
          <w:snapToGrid/>
          <w:color w:val="auto"/>
          <w:kern w:val="0"/>
          <w:sz w:val="21"/>
          <w:szCs w:val="28"/>
          <w:lang w:val="en-US" w:eastAsia="zh-CN" w:bidi="ar-SA"/>
        </w:rPr>
      </w:pPr>
    </w:p>
    <w:p w14:paraId="1B40BB8A">
      <w:pPr>
        <w:spacing w:line="243" w:lineRule="auto"/>
        <w:jc w:val="center"/>
        <w:rPr>
          <w:rFonts w:hint="eastAsia" w:ascii="宋体" w:hAnsi="宋体" w:eastAsia="宋体" w:cs="宋体"/>
          <w:snapToGrid/>
          <w:color w:val="auto"/>
          <w:kern w:val="0"/>
          <w:sz w:val="21"/>
          <w:szCs w:val="28"/>
          <w:lang w:val="en-US" w:eastAsia="zh-CN" w:bidi="ar-SA"/>
        </w:rPr>
      </w:pPr>
    </w:p>
    <w:p w14:paraId="7C0677AC">
      <w:pPr>
        <w:spacing w:line="243" w:lineRule="auto"/>
        <w:jc w:val="center"/>
        <w:rPr>
          <w:rFonts w:hint="eastAsia" w:ascii="宋体" w:hAnsi="宋体" w:eastAsia="宋体" w:cs="宋体"/>
          <w:snapToGrid/>
          <w:color w:val="auto"/>
          <w:kern w:val="0"/>
          <w:sz w:val="21"/>
          <w:szCs w:val="28"/>
          <w:lang w:val="en-US" w:eastAsia="zh-CN" w:bidi="ar-SA"/>
        </w:rPr>
      </w:pPr>
    </w:p>
    <w:p w14:paraId="7A0EFB9D">
      <w:pPr>
        <w:spacing w:line="243" w:lineRule="auto"/>
        <w:jc w:val="center"/>
        <w:rPr>
          <w:rFonts w:hint="eastAsia" w:ascii="宋体" w:hAnsi="宋体" w:eastAsia="宋体" w:cs="宋体"/>
          <w:snapToGrid/>
          <w:color w:val="auto"/>
          <w:kern w:val="0"/>
          <w:sz w:val="21"/>
          <w:szCs w:val="28"/>
          <w:lang w:val="en-US" w:eastAsia="zh-CN" w:bidi="ar-SA"/>
        </w:rPr>
      </w:pPr>
    </w:p>
    <w:p w14:paraId="2B2FB4A9">
      <w:pPr>
        <w:spacing w:line="243" w:lineRule="auto"/>
        <w:jc w:val="center"/>
        <w:rPr>
          <w:rFonts w:hint="eastAsia" w:ascii="宋体" w:hAnsi="宋体" w:eastAsia="宋体" w:cs="宋体"/>
          <w:snapToGrid/>
          <w:color w:val="auto"/>
          <w:kern w:val="0"/>
          <w:sz w:val="21"/>
          <w:szCs w:val="28"/>
          <w:lang w:val="en-US" w:eastAsia="zh-CN" w:bidi="ar-SA"/>
        </w:rPr>
      </w:pPr>
    </w:p>
    <w:p w14:paraId="79F5C259">
      <w:pPr>
        <w:spacing w:line="243" w:lineRule="auto"/>
        <w:jc w:val="center"/>
        <w:rPr>
          <w:rFonts w:hint="eastAsia" w:ascii="宋体" w:hAnsi="宋体" w:eastAsia="宋体" w:cs="宋体"/>
          <w:snapToGrid/>
          <w:color w:val="auto"/>
          <w:kern w:val="0"/>
          <w:sz w:val="21"/>
          <w:szCs w:val="28"/>
          <w:lang w:val="en-US" w:eastAsia="zh-CN" w:bidi="ar-SA"/>
        </w:rPr>
      </w:pPr>
    </w:p>
    <w:p w14:paraId="704B91E4">
      <w:pPr>
        <w:spacing w:line="243" w:lineRule="auto"/>
        <w:jc w:val="center"/>
        <w:rPr>
          <w:rFonts w:hint="eastAsia" w:ascii="宋体" w:hAnsi="宋体" w:eastAsia="宋体" w:cs="宋体"/>
          <w:snapToGrid/>
          <w:color w:val="auto"/>
          <w:kern w:val="0"/>
          <w:sz w:val="21"/>
          <w:szCs w:val="28"/>
          <w:lang w:val="en-US" w:eastAsia="zh-CN" w:bidi="ar-SA"/>
        </w:rPr>
      </w:pPr>
    </w:p>
    <w:p w14:paraId="21EED575">
      <w:pPr>
        <w:spacing w:line="243" w:lineRule="auto"/>
        <w:jc w:val="center"/>
        <w:rPr>
          <w:rFonts w:hint="eastAsia" w:ascii="宋体" w:hAnsi="宋体" w:eastAsia="宋体" w:cs="宋体"/>
          <w:snapToGrid/>
          <w:color w:val="auto"/>
          <w:kern w:val="0"/>
          <w:sz w:val="21"/>
          <w:szCs w:val="28"/>
          <w:lang w:val="en-US" w:eastAsia="zh-CN" w:bidi="ar-SA"/>
        </w:rPr>
      </w:pPr>
    </w:p>
    <w:p w14:paraId="625C62A2">
      <w:pPr>
        <w:spacing w:line="243" w:lineRule="auto"/>
        <w:jc w:val="center"/>
        <w:rPr>
          <w:rFonts w:hint="eastAsia" w:ascii="宋体" w:hAnsi="宋体" w:eastAsia="宋体" w:cs="宋体"/>
          <w:snapToGrid/>
          <w:color w:val="auto"/>
          <w:kern w:val="0"/>
          <w:sz w:val="21"/>
          <w:szCs w:val="28"/>
          <w:lang w:val="en-US" w:eastAsia="zh-CN" w:bidi="ar-SA"/>
        </w:rPr>
      </w:pPr>
    </w:p>
    <w:p w14:paraId="1A21C38C">
      <w:pPr>
        <w:spacing w:line="243" w:lineRule="auto"/>
        <w:jc w:val="center"/>
        <w:rPr>
          <w:rFonts w:hint="eastAsia" w:ascii="宋体" w:hAnsi="宋体" w:eastAsia="宋体" w:cs="宋体"/>
          <w:snapToGrid/>
          <w:color w:val="auto"/>
          <w:kern w:val="0"/>
          <w:sz w:val="21"/>
          <w:szCs w:val="28"/>
          <w:lang w:val="en-US" w:eastAsia="zh-CN" w:bidi="ar-SA"/>
        </w:rPr>
      </w:pPr>
    </w:p>
    <w:p w14:paraId="0ECC5474">
      <w:pPr>
        <w:spacing w:line="243" w:lineRule="auto"/>
        <w:jc w:val="center"/>
        <w:rPr>
          <w:rFonts w:hint="eastAsia" w:ascii="宋体" w:hAnsi="宋体" w:eastAsia="宋体" w:cs="宋体"/>
          <w:snapToGrid/>
          <w:color w:val="auto"/>
          <w:kern w:val="0"/>
          <w:sz w:val="21"/>
          <w:szCs w:val="28"/>
          <w:lang w:val="en-US" w:eastAsia="zh-CN" w:bidi="ar-SA"/>
        </w:rPr>
      </w:pPr>
    </w:p>
    <w:p w14:paraId="4922C631">
      <w:pPr>
        <w:spacing w:line="243" w:lineRule="auto"/>
        <w:jc w:val="center"/>
        <w:rPr>
          <w:rFonts w:hint="default" w:ascii="Times New Roman" w:hAnsi="Times New Roman" w:cs="Times New Roman"/>
          <w:sz w:val="30"/>
          <w:szCs w:val="30"/>
        </w:rPr>
      </w:pPr>
      <w:r>
        <w:rPr>
          <w:rFonts w:hint="eastAsia" w:ascii="宋体" w:hAnsi="宋体" w:eastAsia="宋体" w:cs="宋体"/>
          <w:snapToGrid/>
          <w:color w:val="auto"/>
          <w:kern w:val="0"/>
          <w:sz w:val="21"/>
          <w:szCs w:val="28"/>
          <w:lang w:val="en-US" w:eastAsia="zh-CN" w:bidi="ar-SA"/>
        </w:rPr>
        <w:t>2025-09-18</w:t>
      </w:r>
      <w:r>
        <w:rPr>
          <w:rFonts w:hint="default" w:ascii="Times New Roman" w:hAnsi="Times New Roman" w:cs="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924560</wp:posOffset>
                </wp:positionH>
                <wp:positionV relativeFrom="paragraph">
                  <wp:posOffset>8914130</wp:posOffset>
                </wp:positionV>
                <wp:extent cx="597979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797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2.8pt;margin-top:701.9pt;height:0.05pt;width:470.85pt;z-index:251659264;mso-width-relative:page;mso-height-relative:page;" filled="f" stroked="t" coordsize="21600,21600" o:gfxdata="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Doyl2QAAAA4BAAAPAAAAAAAAAAEAIAAAACIAAABkcnMvZG93bnJldi54&#10;bWxQSwECFAAUAAAACACHTuJAX4qCAfkBAAD0AwAADgAAAAAAAAABACAAAAAo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924560</wp:posOffset>
                </wp:positionH>
                <wp:positionV relativeFrom="paragraph">
                  <wp:posOffset>8914130</wp:posOffset>
                </wp:positionV>
                <wp:extent cx="597979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97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2.8pt;margin-top:701.9pt;height:0.05pt;width:470.85pt;z-index:251660288;mso-width-relative:page;mso-height-relative:page;" filled="f" stroked="t" coordsize="21600,21600" o:gfxdata="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UOjKXZAAAADgEAAA8AAAAAAAAAAQAgAAAAIgAAAGRycy9kb3ducmV2Lnht&#10;bFBLAQIUABQAAAAIAIdO4kBfpAYp+AEAAPQDAAAOAAAAAAAAAAEAIAAAACgBAABkcnMvZTJvRG9j&#10;LnhtbFBLBQYAAAAABgAGAFkBAACSBQAAAAA=&#10;">
                <v:fill on="f" focussize="0,0"/>
                <v:stroke color="#000000" joinstyle="round"/>
                <v:imagedata o:title=""/>
                <o:lock v:ext="edit" aspectratio="f"/>
              </v:line>
            </w:pict>
          </mc:Fallback>
        </mc:AlternateContent>
      </w:r>
    </w:p>
    <w:p w14:paraId="24D53C75">
      <w:pPr>
        <w:spacing w:line="243" w:lineRule="auto"/>
        <w:rPr>
          <w:rFonts w:hint="default" w:ascii="Times New Roman" w:hAnsi="Times New Roman" w:cs="Times New Roman"/>
          <w:sz w:val="30"/>
          <w:szCs w:val="30"/>
        </w:rPr>
      </w:pPr>
    </w:p>
    <w:p w14:paraId="2E9F575F">
      <w:pPr>
        <w:spacing w:line="243" w:lineRule="auto"/>
        <w:jc w:val="center"/>
        <w:rPr>
          <w:rFonts w:hint="eastAsia" w:ascii="宋体" w:hAnsi="宋体" w:eastAsia="宋体" w:cs="宋体"/>
          <w:lang w:val="en-US" w:eastAsia="zh-CN"/>
        </w:rPr>
      </w:pPr>
      <w:r>
        <w:rPr>
          <w:rFonts w:hint="eastAsia" w:ascii="宋体" w:hAnsi="宋体" w:eastAsia="宋体" w:cs="宋体"/>
          <w:lang w:val="en-US" w:eastAsia="zh-CN"/>
        </w:rPr>
        <w:t>中国民族卫生协会                发布</w:t>
      </w:r>
    </w:p>
    <w:p w14:paraId="5FC4163B">
      <w:pPr>
        <w:pBdr>
          <w:bottom w:val="single" w:color="auto" w:sz="4" w:space="0"/>
        </w:pBdr>
      </w:pPr>
    </w:p>
    <w:p w14:paraId="6788DDF2">
      <w:pPr>
        <w:pStyle w:val="2"/>
      </w:pPr>
    </w:p>
    <w:sdt>
      <w:sdtPr>
        <w:rPr>
          <w:rFonts w:ascii="宋体" w:hAnsi="宋体" w:eastAsia="宋体" w:cstheme="minorBidi"/>
          <w:sz w:val="21"/>
          <w:szCs w:val="22"/>
        </w:rPr>
        <w:id w:val="147480167"/>
        <w15:color w:val="DBDBDB"/>
        <w:docPartObj>
          <w:docPartGallery w:val="Table of Contents"/>
          <w:docPartUnique/>
        </w:docPartObj>
      </w:sdtPr>
      <w:sdtEndPr>
        <w:rPr>
          <w:rFonts w:ascii="Arial" w:hAnsi="Arial" w:eastAsia="等线" w:cs="Arial"/>
          <w:sz w:val="22"/>
          <w:szCs w:val="22"/>
        </w:rPr>
      </w:sdtEndPr>
      <w:sdtContent>
        <w:p w14:paraId="70BAF2B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42FA85D">
          <w:pPr>
            <w:pStyle w:val="13"/>
            <w:tabs>
              <w:tab w:val="right" w:leader="dot" w:pos="9026"/>
            </w:tabs>
          </w:pPr>
          <w:r>
            <w:fldChar w:fldCharType="begin"/>
          </w:r>
          <w:r>
            <w:instrText xml:space="preserve">TOC \o "1-3" \h \u </w:instrText>
          </w:r>
          <w:r>
            <w:fldChar w:fldCharType="separate"/>
          </w:r>
          <w:r>
            <w:fldChar w:fldCharType="begin"/>
          </w:r>
          <w:r>
            <w:instrText xml:space="preserve"> HYPERLINK \l _Toc31086 </w:instrText>
          </w:r>
          <w:r>
            <w:fldChar w:fldCharType="separate"/>
          </w:r>
          <w:r>
            <w:t>前言</w:t>
          </w:r>
          <w:r>
            <w:tab/>
          </w:r>
          <w:r>
            <w:fldChar w:fldCharType="begin"/>
          </w:r>
          <w:r>
            <w:instrText xml:space="preserve"> PAGEREF _Toc31086 \h </w:instrText>
          </w:r>
          <w:r>
            <w:fldChar w:fldCharType="separate"/>
          </w:r>
          <w:r>
            <w:t>3</w:t>
          </w:r>
          <w:r>
            <w:fldChar w:fldCharType="end"/>
          </w:r>
          <w:r>
            <w:fldChar w:fldCharType="end"/>
          </w:r>
        </w:p>
        <w:p w14:paraId="6D496E08">
          <w:pPr>
            <w:pStyle w:val="13"/>
            <w:tabs>
              <w:tab w:val="right" w:leader="dot" w:pos="9026"/>
            </w:tabs>
          </w:pPr>
          <w:r>
            <w:fldChar w:fldCharType="begin"/>
          </w:r>
          <w:r>
            <w:instrText xml:space="preserve"> HYPERLINK \l _Toc20478 </w:instrText>
          </w:r>
          <w:r>
            <w:fldChar w:fldCharType="separate"/>
          </w:r>
          <w:r>
            <w:t>引言</w:t>
          </w:r>
          <w:r>
            <w:tab/>
          </w:r>
          <w:r>
            <w:fldChar w:fldCharType="begin"/>
          </w:r>
          <w:r>
            <w:instrText xml:space="preserve"> PAGEREF _Toc20478 \h </w:instrText>
          </w:r>
          <w:r>
            <w:fldChar w:fldCharType="separate"/>
          </w:r>
          <w:r>
            <w:t>4</w:t>
          </w:r>
          <w:r>
            <w:fldChar w:fldCharType="end"/>
          </w:r>
          <w:r>
            <w:fldChar w:fldCharType="end"/>
          </w:r>
        </w:p>
        <w:p w14:paraId="75B642B6">
          <w:pPr>
            <w:pStyle w:val="13"/>
            <w:tabs>
              <w:tab w:val="right" w:leader="dot" w:pos="9026"/>
            </w:tabs>
          </w:pPr>
          <w:r>
            <w:fldChar w:fldCharType="begin"/>
          </w:r>
          <w:r>
            <w:instrText xml:space="preserve"> HYPERLINK \l _Toc13945 </w:instrText>
          </w:r>
          <w:r>
            <w:fldChar w:fldCharType="separate"/>
          </w:r>
          <w:r>
            <w:t>1 范围</w:t>
          </w:r>
          <w:r>
            <w:tab/>
          </w:r>
          <w:r>
            <w:fldChar w:fldCharType="begin"/>
          </w:r>
          <w:r>
            <w:instrText xml:space="preserve"> PAGEREF _Toc13945 \h </w:instrText>
          </w:r>
          <w:r>
            <w:fldChar w:fldCharType="separate"/>
          </w:r>
          <w:r>
            <w:t>5</w:t>
          </w:r>
          <w:r>
            <w:fldChar w:fldCharType="end"/>
          </w:r>
          <w:r>
            <w:fldChar w:fldCharType="end"/>
          </w:r>
        </w:p>
        <w:p w14:paraId="038BF1B9">
          <w:pPr>
            <w:pStyle w:val="13"/>
            <w:tabs>
              <w:tab w:val="right" w:leader="dot" w:pos="9026"/>
            </w:tabs>
          </w:pPr>
          <w:r>
            <w:fldChar w:fldCharType="begin"/>
          </w:r>
          <w:r>
            <w:instrText xml:space="preserve"> HYPERLINK \l _Toc15795 </w:instrText>
          </w:r>
          <w:r>
            <w:fldChar w:fldCharType="separate"/>
          </w:r>
          <w:r>
            <w:t>2 规范性引用文件</w:t>
          </w:r>
          <w:r>
            <w:tab/>
          </w:r>
          <w:r>
            <w:fldChar w:fldCharType="begin"/>
          </w:r>
          <w:r>
            <w:instrText xml:space="preserve"> PAGEREF _Toc15795 \h </w:instrText>
          </w:r>
          <w:r>
            <w:fldChar w:fldCharType="separate"/>
          </w:r>
          <w:r>
            <w:t>5</w:t>
          </w:r>
          <w:r>
            <w:fldChar w:fldCharType="end"/>
          </w:r>
          <w:r>
            <w:fldChar w:fldCharType="end"/>
          </w:r>
        </w:p>
        <w:p w14:paraId="2CF9C75F">
          <w:pPr>
            <w:pStyle w:val="13"/>
            <w:tabs>
              <w:tab w:val="right" w:leader="dot" w:pos="9026"/>
            </w:tabs>
          </w:pPr>
          <w:r>
            <w:fldChar w:fldCharType="begin"/>
          </w:r>
          <w:r>
            <w:instrText xml:space="preserve"> HYPERLINK \l _Toc19572 </w:instrText>
          </w:r>
          <w:r>
            <w:fldChar w:fldCharType="separate"/>
          </w:r>
          <w:r>
            <w:t>3 术语和定义</w:t>
          </w:r>
          <w:r>
            <w:tab/>
          </w:r>
          <w:r>
            <w:fldChar w:fldCharType="begin"/>
          </w:r>
          <w:r>
            <w:instrText xml:space="preserve"> PAGEREF _Toc19572 \h </w:instrText>
          </w:r>
          <w:r>
            <w:fldChar w:fldCharType="separate"/>
          </w:r>
          <w:r>
            <w:t>7</w:t>
          </w:r>
          <w:r>
            <w:fldChar w:fldCharType="end"/>
          </w:r>
          <w:r>
            <w:fldChar w:fldCharType="end"/>
          </w:r>
        </w:p>
        <w:p w14:paraId="190E2BA6">
          <w:pPr>
            <w:pStyle w:val="9"/>
            <w:tabs>
              <w:tab w:val="right" w:leader="dot" w:pos="9026"/>
            </w:tabs>
          </w:pPr>
          <w:r>
            <w:fldChar w:fldCharType="begin"/>
          </w:r>
          <w:r>
            <w:instrText xml:space="preserve"> HYPERLINK \l _Toc30095 </w:instrText>
          </w:r>
          <w:r>
            <w:fldChar w:fldCharType="separate"/>
          </w:r>
          <w:r>
            <w:t>3.1 立体定向放射治疗（Stereotactic Radiotherapy, SRT）</w:t>
          </w:r>
          <w:r>
            <w:tab/>
          </w:r>
          <w:r>
            <w:fldChar w:fldCharType="begin"/>
          </w:r>
          <w:r>
            <w:instrText xml:space="preserve"> PAGEREF _Toc30095 \h </w:instrText>
          </w:r>
          <w:r>
            <w:fldChar w:fldCharType="separate"/>
          </w:r>
          <w:r>
            <w:t>7</w:t>
          </w:r>
          <w:r>
            <w:fldChar w:fldCharType="end"/>
          </w:r>
          <w:r>
            <w:fldChar w:fldCharType="end"/>
          </w:r>
        </w:p>
        <w:p w14:paraId="7CB176EF">
          <w:pPr>
            <w:pStyle w:val="9"/>
            <w:tabs>
              <w:tab w:val="right" w:leader="dot" w:pos="9026"/>
            </w:tabs>
          </w:pPr>
          <w:r>
            <w:fldChar w:fldCharType="begin"/>
          </w:r>
          <w:r>
            <w:instrText xml:space="preserve"> HYPERLINK \l _Toc29207 </w:instrText>
          </w:r>
          <w:r>
            <w:fldChar w:fldCharType="separate"/>
          </w:r>
          <w:r>
            <w:t>3.2 呼吸运动管理（Respiratory Motion Management）</w:t>
          </w:r>
          <w:r>
            <w:tab/>
          </w:r>
          <w:r>
            <w:fldChar w:fldCharType="begin"/>
          </w:r>
          <w:r>
            <w:instrText xml:space="preserve"> PAGEREF _Toc29207 \h </w:instrText>
          </w:r>
          <w:r>
            <w:fldChar w:fldCharType="separate"/>
          </w:r>
          <w:r>
            <w:t>7</w:t>
          </w:r>
          <w:r>
            <w:fldChar w:fldCharType="end"/>
          </w:r>
          <w:r>
            <w:fldChar w:fldCharType="end"/>
          </w:r>
        </w:p>
        <w:p w14:paraId="735B1068">
          <w:pPr>
            <w:pStyle w:val="9"/>
            <w:tabs>
              <w:tab w:val="right" w:leader="dot" w:pos="9026"/>
            </w:tabs>
          </w:pPr>
          <w:r>
            <w:fldChar w:fldCharType="begin"/>
          </w:r>
          <w:r>
            <w:instrText xml:space="preserve"> HYPERLINK \l _Toc27941 </w:instrText>
          </w:r>
          <w:r>
            <w:fldChar w:fldCharType="separate"/>
          </w:r>
          <w:r>
            <w:t>3.3 影像引导放疗（Image-guided Radiotherapy, IGRT）</w:t>
          </w:r>
          <w:r>
            <w:tab/>
          </w:r>
          <w:r>
            <w:fldChar w:fldCharType="begin"/>
          </w:r>
          <w:r>
            <w:instrText xml:space="preserve"> PAGEREF _Toc27941 \h </w:instrText>
          </w:r>
          <w:r>
            <w:fldChar w:fldCharType="separate"/>
          </w:r>
          <w:r>
            <w:t>7</w:t>
          </w:r>
          <w:r>
            <w:fldChar w:fldCharType="end"/>
          </w:r>
          <w:r>
            <w:fldChar w:fldCharType="end"/>
          </w:r>
        </w:p>
        <w:p w14:paraId="05ED19E1">
          <w:pPr>
            <w:pStyle w:val="9"/>
            <w:tabs>
              <w:tab w:val="right" w:leader="dot" w:pos="9026"/>
            </w:tabs>
          </w:pPr>
          <w:r>
            <w:fldChar w:fldCharType="begin"/>
          </w:r>
          <w:r>
            <w:instrText xml:space="preserve"> HYPERLINK \l _Toc24950 </w:instrText>
          </w:r>
          <w:r>
            <w:fldChar w:fldCharType="separate"/>
          </w:r>
          <w:r>
            <w:t>3.4 呼吸门控（Respiratory Gating）</w:t>
          </w:r>
          <w:r>
            <w:tab/>
          </w:r>
          <w:r>
            <w:fldChar w:fldCharType="begin"/>
          </w:r>
          <w:r>
            <w:instrText xml:space="preserve"> PAGEREF _Toc24950 \h </w:instrText>
          </w:r>
          <w:r>
            <w:fldChar w:fldCharType="separate"/>
          </w:r>
          <w:r>
            <w:t>7</w:t>
          </w:r>
          <w:r>
            <w:fldChar w:fldCharType="end"/>
          </w:r>
          <w:r>
            <w:fldChar w:fldCharType="end"/>
          </w:r>
        </w:p>
        <w:p w14:paraId="5062D875">
          <w:pPr>
            <w:pStyle w:val="9"/>
            <w:tabs>
              <w:tab w:val="right" w:leader="dot" w:pos="9026"/>
            </w:tabs>
          </w:pPr>
          <w:r>
            <w:fldChar w:fldCharType="begin"/>
          </w:r>
          <w:r>
            <w:instrText xml:space="preserve"> HYPERLINK \l _Toc28099 </w:instrText>
          </w:r>
          <w:r>
            <w:fldChar w:fldCharType="separate"/>
          </w:r>
          <w:r>
            <w:t>3.5 四维计算机断层扫描（4D Computed Tomography, 4D CT）</w:t>
          </w:r>
          <w:r>
            <w:tab/>
          </w:r>
          <w:r>
            <w:fldChar w:fldCharType="begin"/>
          </w:r>
          <w:r>
            <w:instrText xml:space="preserve"> PAGEREF _Toc28099 \h </w:instrText>
          </w:r>
          <w:r>
            <w:fldChar w:fldCharType="separate"/>
          </w:r>
          <w:r>
            <w:t>7</w:t>
          </w:r>
          <w:r>
            <w:fldChar w:fldCharType="end"/>
          </w:r>
          <w:r>
            <w:fldChar w:fldCharType="end"/>
          </w:r>
        </w:p>
        <w:p w14:paraId="2E9F3518">
          <w:pPr>
            <w:pStyle w:val="13"/>
            <w:tabs>
              <w:tab w:val="right" w:leader="dot" w:pos="9026"/>
            </w:tabs>
          </w:pPr>
          <w:r>
            <w:fldChar w:fldCharType="begin"/>
          </w:r>
          <w:r>
            <w:instrText xml:space="preserve"> HYPERLINK \l _Toc12 </w:instrText>
          </w:r>
          <w:r>
            <w:fldChar w:fldCharType="separate"/>
          </w:r>
          <w:r>
            <w:t>4 缩略词</w:t>
          </w:r>
          <w:r>
            <w:tab/>
          </w:r>
          <w:r>
            <w:fldChar w:fldCharType="begin"/>
          </w:r>
          <w:r>
            <w:instrText xml:space="preserve"> PAGEREF _Toc12 \h </w:instrText>
          </w:r>
          <w:r>
            <w:fldChar w:fldCharType="separate"/>
          </w:r>
          <w:r>
            <w:t>8</w:t>
          </w:r>
          <w:r>
            <w:fldChar w:fldCharType="end"/>
          </w:r>
          <w:r>
            <w:fldChar w:fldCharType="end"/>
          </w:r>
        </w:p>
        <w:p w14:paraId="5A5E91EA">
          <w:pPr>
            <w:pStyle w:val="13"/>
            <w:tabs>
              <w:tab w:val="right" w:leader="dot" w:pos="9026"/>
            </w:tabs>
          </w:pPr>
          <w:r>
            <w:fldChar w:fldCharType="begin"/>
          </w:r>
          <w:r>
            <w:instrText xml:space="preserve"> HYPERLINK \l _Toc2770 </w:instrText>
          </w:r>
          <w:r>
            <w:fldChar w:fldCharType="separate"/>
          </w:r>
          <w:r>
            <w:t>5 基本要求</w:t>
          </w:r>
          <w:r>
            <w:tab/>
          </w:r>
          <w:r>
            <w:fldChar w:fldCharType="begin"/>
          </w:r>
          <w:r>
            <w:instrText xml:space="preserve"> PAGEREF _Toc2770 \h </w:instrText>
          </w:r>
          <w:r>
            <w:fldChar w:fldCharType="separate"/>
          </w:r>
          <w:r>
            <w:t>8</w:t>
          </w:r>
          <w:r>
            <w:fldChar w:fldCharType="end"/>
          </w:r>
          <w:r>
            <w:fldChar w:fldCharType="end"/>
          </w:r>
        </w:p>
        <w:p w14:paraId="0254550A">
          <w:pPr>
            <w:pStyle w:val="9"/>
            <w:tabs>
              <w:tab w:val="right" w:leader="dot" w:pos="9026"/>
            </w:tabs>
          </w:pPr>
          <w:r>
            <w:fldChar w:fldCharType="begin"/>
          </w:r>
          <w:r>
            <w:instrText xml:space="preserve"> HYPERLINK \l _Toc12306 </w:instrText>
          </w:r>
          <w:r>
            <w:fldChar w:fldCharType="separate"/>
          </w:r>
          <w:r>
            <w:t>5.1 医疗机构基本要求</w:t>
          </w:r>
          <w:r>
            <w:tab/>
          </w:r>
          <w:r>
            <w:fldChar w:fldCharType="begin"/>
          </w:r>
          <w:r>
            <w:instrText xml:space="preserve"> PAGEREF _Toc12306 \h </w:instrText>
          </w:r>
          <w:r>
            <w:fldChar w:fldCharType="separate"/>
          </w:r>
          <w:r>
            <w:t>8</w:t>
          </w:r>
          <w:r>
            <w:fldChar w:fldCharType="end"/>
          </w:r>
          <w:r>
            <w:fldChar w:fldCharType="end"/>
          </w:r>
        </w:p>
        <w:p w14:paraId="237DD616">
          <w:pPr>
            <w:pStyle w:val="9"/>
            <w:tabs>
              <w:tab w:val="right" w:leader="dot" w:pos="9026"/>
            </w:tabs>
          </w:pPr>
          <w:r>
            <w:fldChar w:fldCharType="begin"/>
          </w:r>
          <w:r>
            <w:instrText xml:space="preserve"> HYPERLINK \l _Toc4176 </w:instrText>
          </w:r>
          <w:r>
            <w:fldChar w:fldCharType="separate"/>
          </w:r>
          <w:r>
            <w:t>5.2 设备要求</w:t>
          </w:r>
          <w:r>
            <w:tab/>
          </w:r>
          <w:r>
            <w:fldChar w:fldCharType="begin"/>
          </w:r>
          <w:r>
            <w:instrText xml:space="preserve"> PAGEREF _Toc4176 \h </w:instrText>
          </w:r>
          <w:r>
            <w:fldChar w:fldCharType="separate"/>
          </w:r>
          <w:r>
            <w:t>9</w:t>
          </w:r>
          <w:r>
            <w:fldChar w:fldCharType="end"/>
          </w:r>
          <w:r>
            <w:fldChar w:fldCharType="end"/>
          </w:r>
        </w:p>
        <w:p w14:paraId="46E48A97">
          <w:pPr>
            <w:pStyle w:val="9"/>
            <w:tabs>
              <w:tab w:val="right" w:leader="dot" w:pos="9026"/>
            </w:tabs>
          </w:pPr>
          <w:r>
            <w:fldChar w:fldCharType="begin"/>
          </w:r>
          <w:r>
            <w:instrText xml:space="preserve"> HYPERLINK \l _Toc23945 </w:instrText>
          </w:r>
          <w:r>
            <w:fldChar w:fldCharType="separate"/>
          </w:r>
          <w:r>
            <w:t>5.3 配套设施要求</w:t>
          </w:r>
          <w:r>
            <w:tab/>
          </w:r>
          <w:r>
            <w:fldChar w:fldCharType="begin"/>
          </w:r>
          <w:r>
            <w:instrText xml:space="preserve"> PAGEREF _Toc23945 \h </w:instrText>
          </w:r>
          <w:r>
            <w:fldChar w:fldCharType="separate"/>
          </w:r>
          <w:r>
            <w:t>10</w:t>
          </w:r>
          <w:r>
            <w:fldChar w:fldCharType="end"/>
          </w:r>
          <w:r>
            <w:fldChar w:fldCharType="end"/>
          </w:r>
        </w:p>
        <w:p w14:paraId="40BFB563">
          <w:pPr>
            <w:pStyle w:val="9"/>
            <w:tabs>
              <w:tab w:val="right" w:leader="dot" w:pos="9026"/>
            </w:tabs>
          </w:pPr>
          <w:r>
            <w:fldChar w:fldCharType="begin"/>
          </w:r>
          <w:r>
            <w:instrText xml:space="preserve"> HYPERLINK \l _Toc21044 </w:instrText>
          </w:r>
          <w:r>
            <w:fldChar w:fldCharType="separate"/>
          </w:r>
          <w:r>
            <w:t>5.4 人员要求</w:t>
          </w:r>
          <w:r>
            <w:tab/>
          </w:r>
          <w:r>
            <w:fldChar w:fldCharType="begin"/>
          </w:r>
          <w:r>
            <w:instrText xml:space="preserve"> PAGEREF _Toc21044 \h </w:instrText>
          </w:r>
          <w:r>
            <w:fldChar w:fldCharType="separate"/>
          </w:r>
          <w:r>
            <w:t>10</w:t>
          </w:r>
          <w:r>
            <w:fldChar w:fldCharType="end"/>
          </w:r>
          <w:r>
            <w:fldChar w:fldCharType="end"/>
          </w:r>
        </w:p>
        <w:p w14:paraId="60470BE1">
          <w:pPr>
            <w:pStyle w:val="9"/>
            <w:tabs>
              <w:tab w:val="right" w:leader="dot" w:pos="9026"/>
            </w:tabs>
          </w:pPr>
          <w:r>
            <w:fldChar w:fldCharType="begin"/>
          </w:r>
          <w:r>
            <w:instrText xml:space="preserve"> HYPERLINK \l _Toc11428 </w:instrText>
          </w:r>
          <w:r>
            <w:fldChar w:fldCharType="separate"/>
          </w:r>
          <w:r>
            <w:t>5.5 人员职责</w:t>
          </w:r>
          <w:r>
            <w:tab/>
          </w:r>
          <w:r>
            <w:fldChar w:fldCharType="begin"/>
          </w:r>
          <w:r>
            <w:instrText xml:space="preserve"> PAGEREF _Toc11428 \h </w:instrText>
          </w:r>
          <w:r>
            <w:fldChar w:fldCharType="separate"/>
          </w:r>
          <w:r>
            <w:t>10</w:t>
          </w:r>
          <w:r>
            <w:fldChar w:fldCharType="end"/>
          </w:r>
          <w:r>
            <w:fldChar w:fldCharType="end"/>
          </w:r>
        </w:p>
        <w:p w14:paraId="4E266066">
          <w:pPr>
            <w:pStyle w:val="9"/>
            <w:tabs>
              <w:tab w:val="right" w:leader="dot" w:pos="9026"/>
            </w:tabs>
          </w:pPr>
          <w:r>
            <w:fldChar w:fldCharType="begin"/>
          </w:r>
          <w:r>
            <w:instrText xml:space="preserve"> HYPERLINK \l _Toc19372 </w:instrText>
          </w:r>
          <w:r>
            <w:fldChar w:fldCharType="separate"/>
          </w:r>
          <w:r>
            <w:t>5.6 人员培训要求</w:t>
          </w:r>
          <w:r>
            <w:tab/>
          </w:r>
          <w:r>
            <w:fldChar w:fldCharType="begin"/>
          </w:r>
          <w:r>
            <w:instrText xml:space="preserve"> PAGEREF _Toc19372 \h </w:instrText>
          </w:r>
          <w:r>
            <w:fldChar w:fldCharType="separate"/>
          </w:r>
          <w:r>
            <w:t>11</w:t>
          </w:r>
          <w:r>
            <w:fldChar w:fldCharType="end"/>
          </w:r>
          <w:r>
            <w:fldChar w:fldCharType="end"/>
          </w:r>
        </w:p>
        <w:p w14:paraId="1501712C">
          <w:pPr>
            <w:pStyle w:val="13"/>
            <w:tabs>
              <w:tab w:val="right" w:leader="dot" w:pos="9026"/>
            </w:tabs>
          </w:pPr>
          <w:r>
            <w:fldChar w:fldCharType="begin"/>
          </w:r>
          <w:r>
            <w:instrText xml:space="preserve"> HYPERLINK \l _Toc7287 </w:instrText>
          </w:r>
          <w:r>
            <w:fldChar w:fldCharType="separate"/>
          </w:r>
          <w:r>
            <w:t>6 适应症及禁忌症</w:t>
          </w:r>
          <w:r>
            <w:tab/>
          </w:r>
          <w:r>
            <w:fldChar w:fldCharType="begin"/>
          </w:r>
          <w:r>
            <w:instrText xml:space="preserve"> PAGEREF _Toc7287 \h </w:instrText>
          </w:r>
          <w:r>
            <w:fldChar w:fldCharType="separate"/>
          </w:r>
          <w:r>
            <w:t>12</w:t>
          </w:r>
          <w:r>
            <w:fldChar w:fldCharType="end"/>
          </w:r>
          <w:r>
            <w:fldChar w:fldCharType="end"/>
          </w:r>
        </w:p>
        <w:p w14:paraId="149D7385">
          <w:pPr>
            <w:pStyle w:val="9"/>
            <w:tabs>
              <w:tab w:val="right" w:leader="dot" w:pos="9026"/>
            </w:tabs>
          </w:pPr>
          <w:r>
            <w:fldChar w:fldCharType="begin"/>
          </w:r>
          <w:r>
            <w:instrText xml:space="preserve"> HYPERLINK \l _Toc13724 </w:instrText>
          </w:r>
          <w:r>
            <w:fldChar w:fldCharType="separate"/>
          </w:r>
          <w:r>
            <w:t>6.1 适应症</w:t>
          </w:r>
          <w:r>
            <w:tab/>
          </w:r>
          <w:r>
            <w:fldChar w:fldCharType="begin"/>
          </w:r>
          <w:r>
            <w:instrText xml:space="preserve"> PAGEREF _Toc13724 \h </w:instrText>
          </w:r>
          <w:r>
            <w:fldChar w:fldCharType="separate"/>
          </w:r>
          <w:r>
            <w:t>12</w:t>
          </w:r>
          <w:r>
            <w:fldChar w:fldCharType="end"/>
          </w:r>
          <w:r>
            <w:fldChar w:fldCharType="end"/>
          </w:r>
        </w:p>
        <w:p w14:paraId="18CD4D49">
          <w:pPr>
            <w:pStyle w:val="9"/>
            <w:tabs>
              <w:tab w:val="right" w:leader="dot" w:pos="9026"/>
            </w:tabs>
          </w:pPr>
          <w:r>
            <w:fldChar w:fldCharType="begin"/>
          </w:r>
          <w:r>
            <w:instrText xml:space="preserve"> HYPERLINK \l _Toc18447 </w:instrText>
          </w:r>
          <w:r>
            <w:fldChar w:fldCharType="separate"/>
          </w:r>
          <w:r>
            <w:t>6.2 禁忌症</w:t>
          </w:r>
          <w:r>
            <w:tab/>
          </w:r>
          <w:r>
            <w:fldChar w:fldCharType="begin"/>
          </w:r>
          <w:r>
            <w:instrText xml:space="preserve"> PAGEREF _Toc18447 \h </w:instrText>
          </w:r>
          <w:r>
            <w:fldChar w:fldCharType="separate"/>
          </w:r>
          <w:r>
            <w:t>13</w:t>
          </w:r>
          <w:r>
            <w:fldChar w:fldCharType="end"/>
          </w:r>
          <w:r>
            <w:fldChar w:fldCharType="end"/>
          </w:r>
        </w:p>
        <w:p w14:paraId="4B6A244A">
          <w:pPr>
            <w:pStyle w:val="13"/>
            <w:tabs>
              <w:tab w:val="right" w:leader="dot" w:pos="9026"/>
            </w:tabs>
          </w:pPr>
          <w:r>
            <w:fldChar w:fldCharType="begin"/>
          </w:r>
          <w:r>
            <w:instrText xml:space="preserve"> HYPERLINK \l _Toc13766 </w:instrText>
          </w:r>
          <w:r>
            <w:fldChar w:fldCharType="separate"/>
          </w:r>
          <w:r>
            <w:t>7 治疗技术</w:t>
          </w:r>
          <w:r>
            <w:tab/>
          </w:r>
          <w:r>
            <w:fldChar w:fldCharType="begin"/>
          </w:r>
          <w:r>
            <w:instrText xml:space="preserve"> PAGEREF _Toc13766 \h </w:instrText>
          </w:r>
          <w:r>
            <w:fldChar w:fldCharType="separate"/>
          </w:r>
          <w:r>
            <w:t>14</w:t>
          </w:r>
          <w:r>
            <w:fldChar w:fldCharType="end"/>
          </w:r>
          <w:r>
            <w:fldChar w:fldCharType="end"/>
          </w:r>
        </w:p>
        <w:p w14:paraId="7D9C3AC3">
          <w:pPr>
            <w:pStyle w:val="9"/>
            <w:tabs>
              <w:tab w:val="right" w:leader="dot" w:pos="9026"/>
            </w:tabs>
          </w:pPr>
          <w:r>
            <w:fldChar w:fldCharType="begin"/>
          </w:r>
          <w:r>
            <w:instrText xml:space="preserve"> HYPERLINK \l _Toc353 </w:instrText>
          </w:r>
          <w:r>
            <w:fldChar w:fldCharType="separate"/>
          </w:r>
          <w:r>
            <w:t>7.1 放疗方式选择</w:t>
          </w:r>
          <w:r>
            <w:tab/>
          </w:r>
          <w:r>
            <w:fldChar w:fldCharType="begin"/>
          </w:r>
          <w:r>
            <w:instrText xml:space="preserve"> PAGEREF _Toc353 \h </w:instrText>
          </w:r>
          <w:r>
            <w:fldChar w:fldCharType="separate"/>
          </w:r>
          <w:r>
            <w:t>14</w:t>
          </w:r>
          <w:r>
            <w:fldChar w:fldCharType="end"/>
          </w:r>
          <w:r>
            <w:fldChar w:fldCharType="end"/>
          </w:r>
        </w:p>
        <w:p w14:paraId="2A65BE19">
          <w:pPr>
            <w:pStyle w:val="9"/>
            <w:tabs>
              <w:tab w:val="right" w:leader="dot" w:pos="9026"/>
            </w:tabs>
          </w:pPr>
          <w:r>
            <w:fldChar w:fldCharType="begin"/>
          </w:r>
          <w:r>
            <w:instrText xml:space="preserve"> HYPERLINK \l _Toc5249 </w:instrText>
          </w:r>
          <w:r>
            <w:fldChar w:fldCharType="separate"/>
          </w:r>
          <w:r>
            <w:t>7.2 图像引导技术</w:t>
          </w:r>
          <w:r>
            <w:tab/>
          </w:r>
          <w:r>
            <w:fldChar w:fldCharType="begin"/>
          </w:r>
          <w:r>
            <w:instrText xml:space="preserve"> PAGEREF _Toc5249 \h </w:instrText>
          </w:r>
          <w:r>
            <w:fldChar w:fldCharType="separate"/>
          </w:r>
          <w:r>
            <w:t>14</w:t>
          </w:r>
          <w:r>
            <w:fldChar w:fldCharType="end"/>
          </w:r>
          <w:r>
            <w:fldChar w:fldCharType="end"/>
          </w:r>
        </w:p>
        <w:p w14:paraId="767125BE">
          <w:pPr>
            <w:pStyle w:val="9"/>
            <w:tabs>
              <w:tab w:val="right" w:leader="dot" w:pos="9026"/>
            </w:tabs>
          </w:pPr>
          <w:r>
            <w:fldChar w:fldCharType="begin"/>
          </w:r>
          <w:r>
            <w:instrText xml:space="preserve"> HYPERLINK \l _Toc7354 </w:instrText>
          </w:r>
          <w:r>
            <w:fldChar w:fldCharType="separate"/>
          </w:r>
          <w:r>
            <w:t>7.3 呼吸运动管理技术</w:t>
          </w:r>
          <w:r>
            <w:tab/>
          </w:r>
          <w:r>
            <w:fldChar w:fldCharType="begin"/>
          </w:r>
          <w:r>
            <w:instrText xml:space="preserve"> PAGEREF _Toc7354 \h </w:instrText>
          </w:r>
          <w:r>
            <w:fldChar w:fldCharType="separate"/>
          </w:r>
          <w:r>
            <w:t>14</w:t>
          </w:r>
          <w:r>
            <w:fldChar w:fldCharType="end"/>
          </w:r>
          <w:r>
            <w:fldChar w:fldCharType="end"/>
          </w:r>
        </w:p>
        <w:p w14:paraId="1EBD2272">
          <w:pPr>
            <w:pStyle w:val="13"/>
            <w:tabs>
              <w:tab w:val="right" w:leader="dot" w:pos="9026"/>
            </w:tabs>
          </w:pPr>
          <w:r>
            <w:fldChar w:fldCharType="begin"/>
          </w:r>
          <w:r>
            <w:instrText xml:space="preserve"> HYPERLINK \l _Toc5363 </w:instrText>
          </w:r>
          <w:r>
            <w:fldChar w:fldCharType="separate"/>
          </w:r>
          <w:r>
            <w:t>8 治疗流程</w:t>
          </w:r>
          <w:r>
            <w:tab/>
          </w:r>
          <w:r>
            <w:fldChar w:fldCharType="begin"/>
          </w:r>
          <w:r>
            <w:instrText xml:space="preserve"> PAGEREF _Toc5363 \h </w:instrText>
          </w:r>
          <w:r>
            <w:fldChar w:fldCharType="separate"/>
          </w:r>
          <w:r>
            <w:t>15</w:t>
          </w:r>
          <w:r>
            <w:fldChar w:fldCharType="end"/>
          </w:r>
          <w:r>
            <w:fldChar w:fldCharType="end"/>
          </w:r>
        </w:p>
        <w:p w14:paraId="7A41590F">
          <w:pPr>
            <w:pStyle w:val="9"/>
            <w:tabs>
              <w:tab w:val="right" w:leader="dot" w:pos="9026"/>
            </w:tabs>
          </w:pPr>
          <w:r>
            <w:fldChar w:fldCharType="begin"/>
          </w:r>
          <w:r>
            <w:instrText xml:space="preserve"> HYPERLINK \l _Toc14478 </w:instrText>
          </w:r>
          <w:r>
            <w:fldChar w:fldCharType="separate"/>
          </w:r>
          <w:r>
            <w:t>8.1 体位固定</w:t>
          </w:r>
          <w:r>
            <w:tab/>
          </w:r>
          <w:r>
            <w:fldChar w:fldCharType="begin"/>
          </w:r>
          <w:r>
            <w:instrText xml:space="preserve"> PAGEREF _Toc14478 \h </w:instrText>
          </w:r>
          <w:r>
            <w:fldChar w:fldCharType="separate"/>
          </w:r>
          <w:r>
            <w:t>15</w:t>
          </w:r>
          <w:r>
            <w:fldChar w:fldCharType="end"/>
          </w:r>
          <w:r>
            <w:fldChar w:fldCharType="end"/>
          </w:r>
        </w:p>
        <w:p w14:paraId="4E465956">
          <w:pPr>
            <w:pStyle w:val="9"/>
            <w:tabs>
              <w:tab w:val="right" w:leader="dot" w:pos="9026"/>
            </w:tabs>
          </w:pPr>
          <w:r>
            <w:fldChar w:fldCharType="begin"/>
          </w:r>
          <w:r>
            <w:instrText xml:space="preserve"> HYPERLINK \l _Toc11288 </w:instrText>
          </w:r>
          <w:r>
            <w:fldChar w:fldCharType="separate"/>
          </w:r>
          <w:r>
            <w:t>8.2 模具固定</w:t>
          </w:r>
          <w:r>
            <w:tab/>
          </w:r>
          <w:r>
            <w:fldChar w:fldCharType="begin"/>
          </w:r>
          <w:r>
            <w:instrText xml:space="preserve"> PAGEREF _Toc11288 \h </w:instrText>
          </w:r>
          <w:r>
            <w:fldChar w:fldCharType="separate"/>
          </w:r>
          <w:r>
            <w:t>15</w:t>
          </w:r>
          <w:r>
            <w:fldChar w:fldCharType="end"/>
          </w:r>
          <w:r>
            <w:fldChar w:fldCharType="end"/>
          </w:r>
        </w:p>
        <w:p w14:paraId="3D99D4E9">
          <w:pPr>
            <w:pStyle w:val="9"/>
            <w:tabs>
              <w:tab w:val="right" w:leader="dot" w:pos="9026"/>
            </w:tabs>
          </w:pPr>
          <w:r>
            <w:fldChar w:fldCharType="begin"/>
          </w:r>
          <w:r>
            <w:instrText xml:space="preserve"> HYPERLINK \l _Toc27864 </w:instrText>
          </w:r>
          <w:r>
            <w:fldChar w:fldCharType="separate"/>
          </w:r>
          <w:r>
            <w:t>8.3 体位</w:t>
          </w:r>
          <w:r>
            <w:tab/>
          </w:r>
          <w:r>
            <w:fldChar w:fldCharType="begin"/>
          </w:r>
          <w:r>
            <w:instrText xml:space="preserve"> PAGEREF _Toc27864 \h </w:instrText>
          </w:r>
          <w:r>
            <w:fldChar w:fldCharType="separate"/>
          </w:r>
          <w:r>
            <w:t>15</w:t>
          </w:r>
          <w:r>
            <w:fldChar w:fldCharType="end"/>
          </w:r>
          <w:r>
            <w:fldChar w:fldCharType="end"/>
          </w:r>
        </w:p>
        <w:p w14:paraId="2720A6F7">
          <w:pPr>
            <w:pStyle w:val="9"/>
            <w:tabs>
              <w:tab w:val="right" w:leader="dot" w:pos="9026"/>
            </w:tabs>
          </w:pPr>
          <w:r>
            <w:fldChar w:fldCharType="begin"/>
          </w:r>
          <w:r>
            <w:instrText xml:space="preserve"> HYPERLINK \l _Toc29995 </w:instrText>
          </w:r>
          <w:r>
            <w:fldChar w:fldCharType="separate"/>
          </w:r>
          <w:r>
            <w:t>8.4 模拟定位</w:t>
          </w:r>
          <w:r>
            <w:tab/>
          </w:r>
          <w:r>
            <w:fldChar w:fldCharType="begin"/>
          </w:r>
          <w:r>
            <w:instrText xml:space="preserve"> PAGEREF _Toc29995 \h </w:instrText>
          </w:r>
          <w:r>
            <w:fldChar w:fldCharType="separate"/>
          </w:r>
          <w:r>
            <w:t>15</w:t>
          </w:r>
          <w:r>
            <w:fldChar w:fldCharType="end"/>
          </w:r>
          <w:r>
            <w:fldChar w:fldCharType="end"/>
          </w:r>
        </w:p>
        <w:p w14:paraId="2BF2FB7B">
          <w:pPr>
            <w:pStyle w:val="9"/>
            <w:tabs>
              <w:tab w:val="right" w:leader="dot" w:pos="9026"/>
            </w:tabs>
          </w:pPr>
          <w:r>
            <w:fldChar w:fldCharType="begin"/>
          </w:r>
          <w:r>
            <w:instrText xml:space="preserve"> HYPERLINK \l _Toc26221 </w:instrText>
          </w:r>
          <w:r>
            <w:fldChar w:fldCharType="separate"/>
          </w:r>
          <w:r>
            <w:t>8.5 靶区勾画、剂量分割等专项要求</w:t>
          </w:r>
          <w:r>
            <w:tab/>
          </w:r>
          <w:r>
            <w:fldChar w:fldCharType="begin"/>
          </w:r>
          <w:r>
            <w:instrText xml:space="preserve"> PAGEREF _Toc26221 \h </w:instrText>
          </w:r>
          <w:r>
            <w:fldChar w:fldCharType="separate"/>
          </w:r>
          <w:r>
            <w:t>16</w:t>
          </w:r>
          <w:r>
            <w:fldChar w:fldCharType="end"/>
          </w:r>
          <w:r>
            <w:fldChar w:fldCharType="end"/>
          </w:r>
        </w:p>
        <w:p w14:paraId="400961B1">
          <w:pPr>
            <w:pStyle w:val="13"/>
            <w:tabs>
              <w:tab w:val="right" w:leader="dot" w:pos="9026"/>
            </w:tabs>
          </w:pPr>
          <w:r>
            <w:fldChar w:fldCharType="begin"/>
          </w:r>
          <w:r>
            <w:instrText xml:space="preserve"> HYPERLINK \l _Toc30246 </w:instrText>
          </w:r>
          <w:r>
            <w:fldChar w:fldCharType="separate"/>
          </w:r>
          <w:r>
            <w:t>9 靶区勾画及剂量分割</w:t>
          </w:r>
          <w:r>
            <w:tab/>
          </w:r>
          <w:r>
            <w:fldChar w:fldCharType="begin"/>
          </w:r>
          <w:r>
            <w:instrText xml:space="preserve"> PAGEREF _Toc30246 \h </w:instrText>
          </w:r>
          <w:r>
            <w:fldChar w:fldCharType="separate"/>
          </w:r>
          <w:r>
            <w:t>16</w:t>
          </w:r>
          <w:r>
            <w:fldChar w:fldCharType="end"/>
          </w:r>
          <w:r>
            <w:fldChar w:fldCharType="end"/>
          </w:r>
        </w:p>
        <w:p w14:paraId="04A611CD">
          <w:pPr>
            <w:pStyle w:val="9"/>
            <w:tabs>
              <w:tab w:val="right" w:leader="dot" w:pos="9026"/>
            </w:tabs>
          </w:pPr>
          <w:r>
            <w:fldChar w:fldCharType="begin"/>
          </w:r>
          <w:r>
            <w:instrText xml:space="preserve"> HYPERLINK \l _Toc21997 </w:instrText>
          </w:r>
          <w:r>
            <w:fldChar w:fldCharType="separate"/>
          </w:r>
          <w:r>
            <w:t>9.1 肿瘤靶区勾画</w:t>
          </w:r>
          <w:r>
            <w:tab/>
          </w:r>
          <w:r>
            <w:fldChar w:fldCharType="begin"/>
          </w:r>
          <w:r>
            <w:instrText xml:space="preserve"> PAGEREF _Toc21997 \h </w:instrText>
          </w:r>
          <w:r>
            <w:fldChar w:fldCharType="separate"/>
          </w:r>
          <w:r>
            <w:t>16</w:t>
          </w:r>
          <w:r>
            <w:fldChar w:fldCharType="end"/>
          </w:r>
          <w:r>
            <w:fldChar w:fldCharType="end"/>
          </w:r>
        </w:p>
        <w:p w14:paraId="50C157D2">
          <w:pPr>
            <w:pStyle w:val="9"/>
            <w:tabs>
              <w:tab w:val="right" w:leader="dot" w:pos="9026"/>
            </w:tabs>
          </w:pPr>
          <w:r>
            <w:fldChar w:fldCharType="begin"/>
          </w:r>
          <w:r>
            <w:instrText xml:space="preserve"> HYPERLINK \l _Toc7541 </w:instrText>
          </w:r>
          <w:r>
            <w:fldChar w:fldCharType="separate"/>
          </w:r>
          <w:r>
            <w:t>9.2 正常组织勾画</w:t>
          </w:r>
          <w:r>
            <w:tab/>
          </w:r>
          <w:r>
            <w:fldChar w:fldCharType="begin"/>
          </w:r>
          <w:r>
            <w:instrText xml:space="preserve"> PAGEREF _Toc7541 \h </w:instrText>
          </w:r>
          <w:r>
            <w:fldChar w:fldCharType="separate"/>
          </w:r>
          <w:r>
            <w:t>16</w:t>
          </w:r>
          <w:r>
            <w:fldChar w:fldCharType="end"/>
          </w:r>
          <w:r>
            <w:fldChar w:fldCharType="end"/>
          </w:r>
        </w:p>
        <w:p w14:paraId="5C4308A1">
          <w:pPr>
            <w:pStyle w:val="9"/>
            <w:tabs>
              <w:tab w:val="right" w:leader="dot" w:pos="9026"/>
            </w:tabs>
          </w:pPr>
          <w:r>
            <w:fldChar w:fldCharType="begin"/>
          </w:r>
          <w:r>
            <w:instrText xml:space="preserve"> HYPERLINK \l _Toc5943 </w:instrText>
          </w:r>
          <w:r>
            <w:fldChar w:fldCharType="separate"/>
          </w:r>
          <w:r>
            <w:t>9.3 靶区剂量要求</w:t>
          </w:r>
          <w:r>
            <w:tab/>
          </w:r>
          <w:r>
            <w:fldChar w:fldCharType="begin"/>
          </w:r>
          <w:r>
            <w:instrText xml:space="preserve"> PAGEREF _Toc5943 \h </w:instrText>
          </w:r>
          <w:r>
            <w:fldChar w:fldCharType="separate"/>
          </w:r>
          <w:r>
            <w:t>17</w:t>
          </w:r>
          <w:r>
            <w:fldChar w:fldCharType="end"/>
          </w:r>
          <w:r>
            <w:fldChar w:fldCharType="end"/>
          </w:r>
        </w:p>
        <w:p w14:paraId="25A58B91">
          <w:pPr>
            <w:pStyle w:val="9"/>
            <w:tabs>
              <w:tab w:val="right" w:leader="dot" w:pos="9026"/>
            </w:tabs>
          </w:pPr>
          <w:r>
            <w:fldChar w:fldCharType="begin"/>
          </w:r>
          <w:r>
            <w:instrText xml:space="preserve"> HYPERLINK \l _Toc27155 </w:instrText>
          </w:r>
          <w:r>
            <w:fldChar w:fldCharType="separate"/>
          </w:r>
          <w:r>
            <w:t>9.4 剂量分割建议</w:t>
          </w:r>
          <w:r>
            <w:tab/>
          </w:r>
          <w:r>
            <w:fldChar w:fldCharType="begin"/>
          </w:r>
          <w:r>
            <w:instrText xml:space="preserve"> PAGEREF _Toc27155 \h </w:instrText>
          </w:r>
          <w:r>
            <w:fldChar w:fldCharType="separate"/>
          </w:r>
          <w:r>
            <w:t>17</w:t>
          </w:r>
          <w:r>
            <w:fldChar w:fldCharType="end"/>
          </w:r>
          <w:r>
            <w:fldChar w:fldCharType="end"/>
          </w:r>
        </w:p>
        <w:p w14:paraId="79D748C1">
          <w:pPr>
            <w:pStyle w:val="9"/>
            <w:tabs>
              <w:tab w:val="right" w:leader="dot" w:pos="9026"/>
            </w:tabs>
          </w:pPr>
          <w:r>
            <w:fldChar w:fldCharType="begin"/>
          </w:r>
          <w:r>
            <w:instrText xml:space="preserve"> HYPERLINK \l _Toc23949 </w:instrText>
          </w:r>
          <w:r>
            <w:fldChar w:fldCharType="separate"/>
          </w:r>
          <w:r>
            <w:t>9.5 危及器官限量（OAR）</w:t>
          </w:r>
          <w:r>
            <w:tab/>
          </w:r>
          <w:r>
            <w:fldChar w:fldCharType="begin"/>
          </w:r>
          <w:r>
            <w:instrText xml:space="preserve"> PAGEREF _Toc23949 \h </w:instrText>
          </w:r>
          <w:r>
            <w:fldChar w:fldCharType="separate"/>
          </w:r>
          <w:r>
            <w:t>19</w:t>
          </w:r>
          <w:r>
            <w:fldChar w:fldCharType="end"/>
          </w:r>
          <w:r>
            <w:fldChar w:fldCharType="end"/>
          </w:r>
        </w:p>
        <w:p w14:paraId="4DE24850">
          <w:pPr>
            <w:pStyle w:val="13"/>
            <w:tabs>
              <w:tab w:val="right" w:leader="dot" w:pos="9026"/>
            </w:tabs>
          </w:pPr>
          <w:r>
            <w:fldChar w:fldCharType="begin"/>
          </w:r>
          <w:r>
            <w:instrText xml:space="preserve"> HYPERLINK \l _Toc31136 </w:instrText>
          </w:r>
          <w:r>
            <w:fldChar w:fldCharType="separate"/>
          </w:r>
          <w:r>
            <w:t>10 质量控制</w:t>
          </w:r>
          <w:r>
            <w:tab/>
          </w:r>
          <w:r>
            <w:fldChar w:fldCharType="begin"/>
          </w:r>
          <w:r>
            <w:instrText xml:space="preserve"> PAGEREF _Toc31136 \h </w:instrText>
          </w:r>
          <w:r>
            <w:fldChar w:fldCharType="separate"/>
          </w:r>
          <w:r>
            <w:t>21</w:t>
          </w:r>
          <w:r>
            <w:fldChar w:fldCharType="end"/>
          </w:r>
          <w:r>
            <w:fldChar w:fldCharType="end"/>
          </w:r>
        </w:p>
        <w:p w14:paraId="43D1B71F">
          <w:pPr>
            <w:pStyle w:val="9"/>
            <w:tabs>
              <w:tab w:val="right" w:leader="dot" w:pos="9026"/>
            </w:tabs>
          </w:pPr>
          <w:r>
            <w:fldChar w:fldCharType="begin"/>
          </w:r>
          <w:r>
            <w:instrText xml:space="preserve"> HYPERLINK \l _Toc20943 </w:instrText>
          </w:r>
          <w:r>
            <w:fldChar w:fldCharType="separate"/>
          </w:r>
          <w:r>
            <w:t>10.1 体位固定</w:t>
          </w:r>
          <w:r>
            <w:tab/>
          </w:r>
          <w:r>
            <w:fldChar w:fldCharType="begin"/>
          </w:r>
          <w:r>
            <w:instrText xml:space="preserve"> PAGEREF _Toc20943 \h </w:instrText>
          </w:r>
          <w:r>
            <w:fldChar w:fldCharType="separate"/>
          </w:r>
          <w:r>
            <w:t>22</w:t>
          </w:r>
          <w:r>
            <w:fldChar w:fldCharType="end"/>
          </w:r>
          <w:r>
            <w:fldChar w:fldCharType="end"/>
          </w:r>
        </w:p>
        <w:p w14:paraId="7AC51D86">
          <w:pPr>
            <w:pStyle w:val="9"/>
            <w:tabs>
              <w:tab w:val="right" w:leader="dot" w:pos="9026"/>
            </w:tabs>
          </w:pPr>
          <w:r>
            <w:fldChar w:fldCharType="begin"/>
          </w:r>
          <w:r>
            <w:instrText xml:space="preserve"> HYPERLINK \l _Toc21567 </w:instrText>
          </w:r>
          <w:r>
            <w:fldChar w:fldCharType="separate"/>
          </w:r>
          <w:r>
            <w:t>10.2 模拟定位</w:t>
          </w:r>
          <w:r>
            <w:tab/>
          </w:r>
          <w:r>
            <w:fldChar w:fldCharType="begin"/>
          </w:r>
          <w:r>
            <w:instrText xml:space="preserve"> PAGEREF _Toc21567 \h </w:instrText>
          </w:r>
          <w:r>
            <w:fldChar w:fldCharType="separate"/>
          </w:r>
          <w:r>
            <w:t>22</w:t>
          </w:r>
          <w:r>
            <w:fldChar w:fldCharType="end"/>
          </w:r>
          <w:r>
            <w:fldChar w:fldCharType="end"/>
          </w:r>
        </w:p>
        <w:p w14:paraId="3057ECFC">
          <w:pPr>
            <w:pStyle w:val="9"/>
            <w:tabs>
              <w:tab w:val="right" w:leader="dot" w:pos="9026"/>
            </w:tabs>
          </w:pPr>
          <w:r>
            <w:fldChar w:fldCharType="begin"/>
          </w:r>
          <w:r>
            <w:instrText xml:space="preserve"> HYPERLINK \l _Toc15207 </w:instrText>
          </w:r>
          <w:r>
            <w:fldChar w:fldCharType="separate"/>
          </w:r>
          <w:r>
            <w:t>10.3 靶区勾画</w:t>
          </w:r>
          <w:r>
            <w:tab/>
          </w:r>
          <w:r>
            <w:fldChar w:fldCharType="begin"/>
          </w:r>
          <w:r>
            <w:instrText xml:space="preserve"> PAGEREF _Toc15207 \h </w:instrText>
          </w:r>
          <w:r>
            <w:fldChar w:fldCharType="separate"/>
          </w:r>
          <w:r>
            <w:t>22</w:t>
          </w:r>
          <w:r>
            <w:fldChar w:fldCharType="end"/>
          </w:r>
          <w:r>
            <w:fldChar w:fldCharType="end"/>
          </w:r>
        </w:p>
        <w:p w14:paraId="21BD356C">
          <w:pPr>
            <w:pStyle w:val="9"/>
            <w:tabs>
              <w:tab w:val="right" w:leader="dot" w:pos="9026"/>
            </w:tabs>
          </w:pPr>
          <w:r>
            <w:fldChar w:fldCharType="begin"/>
          </w:r>
          <w:r>
            <w:instrText xml:space="preserve"> HYPERLINK \l _Toc19508 </w:instrText>
          </w:r>
          <w:r>
            <w:fldChar w:fldCharType="separate"/>
          </w:r>
          <w:r>
            <w:t>10.4 计划设计</w:t>
          </w:r>
          <w:r>
            <w:tab/>
          </w:r>
          <w:r>
            <w:fldChar w:fldCharType="begin"/>
          </w:r>
          <w:r>
            <w:instrText xml:space="preserve"> PAGEREF _Toc19508 \h </w:instrText>
          </w:r>
          <w:r>
            <w:fldChar w:fldCharType="separate"/>
          </w:r>
          <w:r>
            <w:t>22</w:t>
          </w:r>
          <w:r>
            <w:fldChar w:fldCharType="end"/>
          </w:r>
          <w:r>
            <w:fldChar w:fldCharType="end"/>
          </w:r>
        </w:p>
        <w:p w14:paraId="35DB98FD">
          <w:pPr>
            <w:pStyle w:val="9"/>
            <w:tabs>
              <w:tab w:val="right" w:leader="dot" w:pos="9026"/>
            </w:tabs>
          </w:pPr>
          <w:r>
            <w:fldChar w:fldCharType="begin"/>
          </w:r>
          <w:r>
            <w:instrText xml:space="preserve"> HYPERLINK \l _Toc20973 </w:instrText>
          </w:r>
          <w:r>
            <w:fldChar w:fldCharType="separate"/>
          </w:r>
          <w:r>
            <w:t>10.5 计划审核</w:t>
          </w:r>
          <w:r>
            <w:tab/>
          </w:r>
          <w:r>
            <w:fldChar w:fldCharType="begin"/>
          </w:r>
          <w:r>
            <w:instrText xml:space="preserve"> PAGEREF _Toc20973 \h </w:instrText>
          </w:r>
          <w:r>
            <w:fldChar w:fldCharType="separate"/>
          </w:r>
          <w:r>
            <w:t>23</w:t>
          </w:r>
          <w:r>
            <w:fldChar w:fldCharType="end"/>
          </w:r>
          <w:r>
            <w:fldChar w:fldCharType="end"/>
          </w:r>
        </w:p>
        <w:p w14:paraId="4D62E6CF">
          <w:pPr>
            <w:pStyle w:val="9"/>
            <w:tabs>
              <w:tab w:val="right" w:leader="dot" w:pos="9026"/>
            </w:tabs>
          </w:pPr>
          <w:r>
            <w:fldChar w:fldCharType="begin"/>
          </w:r>
          <w:r>
            <w:instrText xml:space="preserve"> HYPERLINK \l _Toc14233 </w:instrText>
          </w:r>
          <w:r>
            <w:fldChar w:fldCharType="separate"/>
          </w:r>
          <w:r>
            <w:t>10.6 独立的剂量计算验证</w:t>
          </w:r>
          <w:r>
            <w:tab/>
          </w:r>
          <w:r>
            <w:fldChar w:fldCharType="begin"/>
          </w:r>
          <w:r>
            <w:instrText xml:space="preserve"> PAGEREF _Toc14233 \h </w:instrText>
          </w:r>
          <w:r>
            <w:fldChar w:fldCharType="separate"/>
          </w:r>
          <w:r>
            <w:t>23</w:t>
          </w:r>
          <w:r>
            <w:fldChar w:fldCharType="end"/>
          </w:r>
          <w:r>
            <w:fldChar w:fldCharType="end"/>
          </w:r>
        </w:p>
        <w:p w14:paraId="1E61F44F">
          <w:pPr>
            <w:pStyle w:val="9"/>
            <w:tabs>
              <w:tab w:val="right" w:leader="dot" w:pos="9026"/>
            </w:tabs>
          </w:pPr>
          <w:r>
            <w:fldChar w:fldCharType="begin"/>
          </w:r>
          <w:r>
            <w:instrText xml:space="preserve"> HYPERLINK \l _Toc1155 </w:instrText>
          </w:r>
          <w:r>
            <w:fldChar w:fldCharType="separate"/>
          </w:r>
          <w:r>
            <w:t>10.7 计划传输</w:t>
          </w:r>
          <w:r>
            <w:tab/>
          </w:r>
          <w:r>
            <w:fldChar w:fldCharType="begin"/>
          </w:r>
          <w:r>
            <w:instrText xml:space="preserve"> PAGEREF _Toc1155 \h </w:instrText>
          </w:r>
          <w:r>
            <w:fldChar w:fldCharType="separate"/>
          </w:r>
          <w:r>
            <w:t>23</w:t>
          </w:r>
          <w:r>
            <w:fldChar w:fldCharType="end"/>
          </w:r>
          <w:r>
            <w:fldChar w:fldCharType="end"/>
          </w:r>
        </w:p>
        <w:p w14:paraId="5BF73D79">
          <w:pPr>
            <w:pStyle w:val="9"/>
            <w:tabs>
              <w:tab w:val="right" w:leader="dot" w:pos="9026"/>
            </w:tabs>
          </w:pPr>
          <w:r>
            <w:fldChar w:fldCharType="begin"/>
          </w:r>
          <w:r>
            <w:instrText xml:space="preserve"> HYPERLINK \l _Toc15528 </w:instrText>
          </w:r>
          <w:r>
            <w:fldChar w:fldCharType="separate"/>
          </w:r>
          <w:r>
            <w:t>10.8 首次治疗摆位</w:t>
          </w:r>
          <w:r>
            <w:tab/>
          </w:r>
          <w:r>
            <w:fldChar w:fldCharType="begin"/>
          </w:r>
          <w:r>
            <w:instrText xml:space="preserve"> PAGEREF _Toc15528 \h </w:instrText>
          </w:r>
          <w:r>
            <w:fldChar w:fldCharType="separate"/>
          </w:r>
          <w:r>
            <w:t>23</w:t>
          </w:r>
          <w:r>
            <w:fldChar w:fldCharType="end"/>
          </w:r>
          <w:r>
            <w:fldChar w:fldCharType="end"/>
          </w:r>
        </w:p>
        <w:p w14:paraId="375B285B">
          <w:pPr>
            <w:pStyle w:val="9"/>
            <w:tabs>
              <w:tab w:val="right" w:leader="dot" w:pos="9026"/>
            </w:tabs>
          </w:pPr>
          <w:r>
            <w:fldChar w:fldCharType="begin"/>
          </w:r>
          <w:r>
            <w:instrText xml:space="preserve"> HYPERLINK \l _Toc11643 </w:instrText>
          </w:r>
          <w:r>
            <w:fldChar w:fldCharType="separate"/>
          </w:r>
          <w:r>
            <w:t>10.9 治疗前影像引导</w:t>
          </w:r>
          <w:r>
            <w:tab/>
          </w:r>
          <w:r>
            <w:fldChar w:fldCharType="begin"/>
          </w:r>
          <w:r>
            <w:instrText xml:space="preserve"> PAGEREF _Toc11643 \h </w:instrText>
          </w:r>
          <w:r>
            <w:fldChar w:fldCharType="separate"/>
          </w:r>
          <w:r>
            <w:t>23</w:t>
          </w:r>
          <w:r>
            <w:fldChar w:fldCharType="end"/>
          </w:r>
          <w:r>
            <w:fldChar w:fldCharType="end"/>
          </w:r>
        </w:p>
        <w:p w14:paraId="529CEAB3">
          <w:pPr>
            <w:pStyle w:val="9"/>
            <w:tabs>
              <w:tab w:val="right" w:leader="dot" w:pos="9026"/>
            </w:tabs>
          </w:pPr>
          <w:r>
            <w:fldChar w:fldCharType="begin"/>
          </w:r>
          <w:r>
            <w:instrText xml:space="preserve"> HYPERLINK \l _Toc28013 </w:instrText>
          </w:r>
          <w:r>
            <w:fldChar w:fldCharType="separate"/>
          </w:r>
          <w:r>
            <w:t>10.10 肿瘤位置的监测</w:t>
          </w:r>
          <w:r>
            <w:tab/>
          </w:r>
          <w:r>
            <w:fldChar w:fldCharType="begin"/>
          </w:r>
          <w:r>
            <w:instrText xml:space="preserve"> PAGEREF _Toc28013 \h </w:instrText>
          </w:r>
          <w:r>
            <w:fldChar w:fldCharType="separate"/>
          </w:r>
          <w:r>
            <w:t>23</w:t>
          </w:r>
          <w:r>
            <w:fldChar w:fldCharType="end"/>
          </w:r>
          <w:r>
            <w:fldChar w:fldCharType="end"/>
          </w:r>
        </w:p>
        <w:p w14:paraId="4EA03F1A">
          <w:pPr>
            <w:pStyle w:val="9"/>
            <w:tabs>
              <w:tab w:val="right" w:leader="dot" w:pos="9026"/>
            </w:tabs>
          </w:pPr>
          <w:r>
            <w:fldChar w:fldCharType="begin"/>
          </w:r>
          <w:r>
            <w:instrText xml:space="preserve"> HYPERLINK \l _Toc7112 </w:instrText>
          </w:r>
          <w:r>
            <w:fldChar w:fldCharType="separate"/>
          </w:r>
          <w:r>
            <w:t>10.11 分次内运动管理</w:t>
          </w:r>
          <w:r>
            <w:tab/>
          </w:r>
          <w:r>
            <w:fldChar w:fldCharType="begin"/>
          </w:r>
          <w:r>
            <w:instrText xml:space="preserve"> PAGEREF _Toc7112 \h </w:instrText>
          </w:r>
          <w:r>
            <w:fldChar w:fldCharType="separate"/>
          </w:r>
          <w:r>
            <w:t>24</w:t>
          </w:r>
          <w:r>
            <w:fldChar w:fldCharType="end"/>
          </w:r>
          <w:r>
            <w:fldChar w:fldCharType="end"/>
          </w:r>
        </w:p>
        <w:p w14:paraId="7B91E49A">
          <w:pPr>
            <w:pStyle w:val="9"/>
            <w:tabs>
              <w:tab w:val="right" w:leader="dot" w:pos="9026"/>
            </w:tabs>
          </w:pPr>
          <w:r>
            <w:fldChar w:fldCharType="begin"/>
          </w:r>
          <w:r>
            <w:instrText xml:space="preserve"> HYPERLINK \l _Toc5589 </w:instrText>
          </w:r>
          <w:r>
            <w:fldChar w:fldCharType="separate"/>
          </w:r>
          <w:r>
            <w:t>10.12 安全核对</w:t>
          </w:r>
          <w:r>
            <w:tab/>
          </w:r>
          <w:r>
            <w:fldChar w:fldCharType="begin"/>
          </w:r>
          <w:r>
            <w:instrText xml:space="preserve"> PAGEREF _Toc5589 \h </w:instrText>
          </w:r>
          <w:r>
            <w:fldChar w:fldCharType="separate"/>
          </w:r>
          <w:r>
            <w:t>24</w:t>
          </w:r>
          <w:r>
            <w:fldChar w:fldCharType="end"/>
          </w:r>
          <w:r>
            <w:fldChar w:fldCharType="end"/>
          </w:r>
        </w:p>
        <w:p w14:paraId="6A2FB834">
          <w:pPr>
            <w:pStyle w:val="9"/>
            <w:tabs>
              <w:tab w:val="right" w:leader="dot" w:pos="9026"/>
            </w:tabs>
          </w:pPr>
          <w:r>
            <w:fldChar w:fldCharType="begin"/>
          </w:r>
          <w:r>
            <w:instrText xml:space="preserve"> HYPERLINK \l _Toc26943 </w:instrText>
          </w:r>
          <w:r>
            <w:fldChar w:fldCharType="separate"/>
          </w:r>
          <w:r>
            <w:t>10.13 治疗中验证</w:t>
          </w:r>
          <w:r>
            <w:tab/>
          </w:r>
          <w:r>
            <w:fldChar w:fldCharType="begin"/>
          </w:r>
          <w:r>
            <w:instrText xml:space="preserve"> PAGEREF _Toc26943 \h </w:instrText>
          </w:r>
          <w:r>
            <w:fldChar w:fldCharType="separate"/>
          </w:r>
          <w:r>
            <w:t>24</w:t>
          </w:r>
          <w:r>
            <w:fldChar w:fldCharType="end"/>
          </w:r>
          <w:r>
            <w:fldChar w:fldCharType="end"/>
          </w:r>
        </w:p>
        <w:p w14:paraId="1F389D84">
          <w:pPr>
            <w:pStyle w:val="9"/>
            <w:tabs>
              <w:tab w:val="right" w:leader="dot" w:pos="9026"/>
            </w:tabs>
          </w:pPr>
          <w:r>
            <w:fldChar w:fldCharType="begin"/>
          </w:r>
          <w:r>
            <w:instrText xml:space="preserve"> HYPERLINK \l _Toc30589 </w:instrText>
          </w:r>
          <w:r>
            <w:fldChar w:fldCharType="separate"/>
          </w:r>
          <w:r>
            <w:t>10.14 自适应装置</w:t>
          </w:r>
          <w:r>
            <w:tab/>
          </w:r>
          <w:r>
            <w:fldChar w:fldCharType="begin"/>
          </w:r>
          <w:r>
            <w:instrText xml:space="preserve"> PAGEREF _Toc30589 \h </w:instrText>
          </w:r>
          <w:r>
            <w:fldChar w:fldCharType="separate"/>
          </w:r>
          <w:r>
            <w:t>24</w:t>
          </w:r>
          <w:r>
            <w:fldChar w:fldCharType="end"/>
          </w:r>
          <w:r>
            <w:fldChar w:fldCharType="end"/>
          </w:r>
        </w:p>
        <w:p w14:paraId="46B28C3C">
          <w:pPr>
            <w:pStyle w:val="9"/>
            <w:tabs>
              <w:tab w:val="right" w:leader="dot" w:pos="9026"/>
            </w:tabs>
          </w:pPr>
          <w:r>
            <w:fldChar w:fldCharType="begin"/>
          </w:r>
          <w:r>
            <w:instrText xml:space="preserve"> HYPERLINK \l _Toc3009 </w:instrText>
          </w:r>
          <w:r>
            <w:fldChar w:fldCharType="separate"/>
          </w:r>
          <w:r>
            <w:t>10.15 数据纪录</w:t>
          </w:r>
          <w:r>
            <w:tab/>
          </w:r>
          <w:r>
            <w:fldChar w:fldCharType="begin"/>
          </w:r>
          <w:r>
            <w:instrText xml:space="preserve"> PAGEREF _Toc3009 \h </w:instrText>
          </w:r>
          <w:r>
            <w:fldChar w:fldCharType="separate"/>
          </w:r>
          <w:r>
            <w:t>24</w:t>
          </w:r>
          <w:r>
            <w:fldChar w:fldCharType="end"/>
          </w:r>
          <w:r>
            <w:fldChar w:fldCharType="end"/>
          </w:r>
        </w:p>
        <w:p w14:paraId="2E30A8A3">
          <w:pPr>
            <w:pStyle w:val="9"/>
            <w:tabs>
              <w:tab w:val="right" w:leader="dot" w:pos="9026"/>
            </w:tabs>
          </w:pPr>
          <w:r>
            <w:fldChar w:fldCharType="begin"/>
          </w:r>
          <w:r>
            <w:instrText xml:space="preserve"> HYPERLINK \l _Toc18603 </w:instrText>
          </w:r>
          <w:r>
            <w:fldChar w:fldCharType="separate"/>
          </w:r>
          <w:r>
            <w:t>10.16 疗效评估及随访</w:t>
          </w:r>
          <w:r>
            <w:tab/>
          </w:r>
          <w:r>
            <w:fldChar w:fldCharType="begin"/>
          </w:r>
          <w:r>
            <w:instrText xml:space="preserve"> PAGEREF _Toc18603 \h </w:instrText>
          </w:r>
          <w:r>
            <w:fldChar w:fldCharType="separate"/>
          </w:r>
          <w:r>
            <w:t>24</w:t>
          </w:r>
          <w:r>
            <w:fldChar w:fldCharType="end"/>
          </w:r>
          <w:r>
            <w:fldChar w:fldCharType="end"/>
          </w:r>
        </w:p>
        <w:p w14:paraId="5217BFB4">
          <w:pPr>
            <w:pStyle w:val="13"/>
            <w:tabs>
              <w:tab w:val="right" w:leader="dot" w:pos="9026"/>
            </w:tabs>
          </w:pPr>
          <w:r>
            <w:fldChar w:fldCharType="begin"/>
          </w:r>
          <w:r>
            <w:instrText xml:space="preserve"> HYPERLINK \l _Toc16571 </w:instrText>
          </w:r>
          <w:r>
            <w:fldChar w:fldCharType="separate"/>
          </w:r>
          <w:r>
            <w:t>附录 A 放疗正常组织 / 器官耐受剂量表</w:t>
          </w:r>
          <w:r>
            <w:tab/>
          </w:r>
          <w:r>
            <w:fldChar w:fldCharType="begin"/>
          </w:r>
          <w:r>
            <w:instrText xml:space="preserve"> PAGEREF _Toc16571 \h </w:instrText>
          </w:r>
          <w:r>
            <w:fldChar w:fldCharType="separate"/>
          </w:r>
          <w:r>
            <w:t>25</w:t>
          </w:r>
          <w:r>
            <w:fldChar w:fldCharType="end"/>
          </w:r>
          <w:r>
            <w:fldChar w:fldCharType="end"/>
          </w:r>
        </w:p>
        <w:p w14:paraId="55C1F598">
          <w:pPr>
            <w:pStyle w:val="13"/>
            <w:tabs>
              <w:tab w:val="right" w:leader="dot" w:pos="9026"/>
            </w:tabs>
          </w:pPr>
          <w:r>
            <w:fldChar w:fldCharType="begin"/>
          </w:r>
          <w:r>
            <w:instrText xml:space="preserve"> HYPERLINK \l _Toc14420 </w:instrText>
          </w:r>
          <w:r>
            <w:fldChar w:fldCharType="separate"/>
          </w:r>
          <w:r>
            <w:t>参考文献</w:t>
          </w:r>
          <w:r>
            <w:tab/>
          </w:r>
          <w:r>
            <w:fldChar w:fldCharType="begin"/>
          </w:r>
          <w:r>
            <w:instrText xml:space="preserve"> PAGEREF _Toc14420 \h </w:instrText>
          </w:r>
          <w:r>
            <w:fldChar w:fldCharType="separate"/>
          </w:r>
          <w:r>
            <w:t>28</w:t>
          </w:r>
          <w:r>
            <w:fldChar w:fldCharType="end"/>
          </w:r>
          <w:r>
            <w:fldChar w:fldCharType="end"/>
          </w:r>
        </w:p>
        <w:p w14:paraId="7A028455">
          <w:pPr>
            <w:pStyle w:val="21"/>
            <w:rPr>
              <w:rFonts w:ascii="Arial" w:hAnsi="Arial" w:eastAsia="等线" w:cs="Arial"/>
              <w:sz w:val="22"/>
              <w:szCs w:val="22"/>
            </w:rPr>
          </w:pPr>
          <w:r>
            <w:fldChar w:fldCharType="end"/>
          </w:r>
        </w:p>
      </w:sdtContent>
    </w:sdt>
    <w:p w14:paraId="33A4F478">
      <w:pPr>
        <w:pStyle w:val="21"/>
        <w:rPr>
          <w:rFonts w:ascii="Arial" w:hAnsi="Arial" w:eastAsia="等线" w:cs="Arial"/>
          <w:sz w:val="22"/>
          <w:szCs w:val="22"/>
        </w:rPr>
      </w:pPr>
    </w:p>
    <w:p w14:paraId="539B1E6B">
      <w:pPr>
        <w:pStyle w:val="3"/>
      </w:pPr>
    </w:p>
    <w:p w14:paraId="7DFD6997">
      <w:pPr>
        <w:pStyle w:val="3"/>
      </w:pPr>
    </w:p>
    <w:p w14:paraId="034125D3">
      <w:pPr>
        <w:pStyle w:val="3"/>
      </w:pPr>
    </w:p>
    <w:p w14:paraId="1B08999B">
      <w:pPr>
        <w:pStyle w:val="3"/>
      </w:pPr>
    </w:p>
    <w:p w14:paraId="5DE57DCF">
      <w:pPr>
        <w:pStyle w:val="3"/>
        <w:jc w:val="both"/>
      </w:pPr>
    </w:p>
    <w:p w14:paraId="607BD579">
      <w:pPr>
        <w:pStyle w:val="3"/>
        <w:jc w:val="center"/>
        <w:rPr>
          <w:rFonts w:hint="eastAsia"/>
          <w:lang w:eastAsia="zh-CN"/>
        </w:rPr>
      </w:pPr>
      <w:bookmarkStart w:id="0" w:name="_Toc31086"/>
      <w:r>
        <w:rPr>
          <w:rFonts w:hint="eastAsia"/>
          <w:lang w:eastAsia="zh-CN"/>
        </w:rPr>
        <w:t>、</w:t>
      </w:r>
    </w:p>
    <w:p w14:paraId="02EFC5AB">
      <w:pPr>
        <w:pStyle w:val="3"/>
        <w:jc w:val="center"/>
        <w:rPr>
          <w:rFonts w:hint="eastAsia"/>
          <w:lang w:eastAsia="zh-CN"/>
        </w:rPr>
      </w:pPr>
    </w:p>
    <w:p w14:paraId="6A9CE95C">
      <w:pPr>
        <w:pStyle w:val="3"/>
        <w:jc w:val="center"/>
        <w:rPr>
          <w:rFonts w:hint="eastAsia"/>
          <w:lang w:eastAsia="zh-CN"/>
        </w:rPr>
      </w:pPr>
    </w:p>
    <w:p w14:paraId="05C98BE0">
      <w:pPr>
        <w:pStyle w:val="3"/>
        <w:jc w:val="center"/>
        <w:rPr>
          <w:rFonts w:hint="eastAsia"/>
          <w:lang w:eastAsia="zh-CN"/>
        </w:rPr>
      </w:pPr>
    </w:p>
    <w:p w14:paraId="336F5B82">
      <w:pPr>
        <w:pStyle w:val="3"/>
        <w:jc w:val="center"/>
        <w:rPr>
          <w:rFonts w:hint="eastAsia"/>
          <w:lang w:eastAsia="zh-CN"/>
        </w:rPr>
      </w:pPr>
    </w:p>
    <w:p w14:paraId="56A945F7">
      <w:pPr>
        <w:pStyle w:val="3"/>
        <w:jc w:val="center"/>
        <w:rPr>
          <w:rFonts w:hint="eastAsia"/>
          <w:lang w:eastAsia="zh-CN"/>
        </w:rPr>
      </w:pPr>
    </w:p>
    <w:p w14:paraId="726977D6">
      <w:pPr>
        <w:pStyle w:val="3"/>
        <w:jc w:val="center"/>
        <w:rPr>
          <w:rFonts w:hint="eastAsia"/>
          <w:lang w:eastAsia="zh-CN"/>
        </w:rPr>
      </w:pPr>
    </w:p>
    <w:p w14:paraId="040AE71D">
      <w:pPr>
        <w:pStyle w:val="3"/>
        <w:jc w:val="center"/>
        <w:rPr>
          <w:rFonts w:hint="eastAsia"/>
          <w:lang w:eastAsia="zh-CN"/>
        </w:rPr>
      </w:pPr>
    </w:p>
    <w:p w14:paraId="70651B09">
      <w:pPr>
        <w:pStyle w:val="3"/>
        <w:jc w:val="center"/>
      </w:pPr>
      <w:r>
        <w:t>前言</w:t>
      </w:r>
      <w:bookmarkEnd w:id="0"/>
    </w:p>
    <w:p w14:paraId="5BDD748A">
      <w:pPr>
        <w:pStyle w:val="21"/>
      </w:pPr>
      <w:r>
        <w:t>本文件按照 GB/T 1.1-2020《标准化工作导则 第 1 部分：标准化文件的结构和起草规则》的规定起草。</w:t>
      </w:r>
    </w:p>
    <w:p w14:paraId="1450F7F0">
      <w:pPr>
        <w:pStyle w:val="21"/>
      </w:pPr>
      <w:r>
        <w:t>请注意本文件的某些内容可能涉及专利。本文件的发布机构不承担识别专利的责任。</w:t>
      </w:r>
    </w:p>
    <w:p w14:paraId="0120A6BB">
      <w:pPr>
        <w:pStyle w:val="21"/>
      </w:pPr>
      <w:r>
        <w:t>本文件参考《国家标准管理办法》《计量法》制定。</w:t>
      </w:r>
    </w:p>
    <w:p w14:paraId="30A084DF">
      <w:pPr>
        <w:pStyle w:val="21"/>
      </w:pPr>
      <w:r>
        <w:t>本文件由中国民族卫生协会肿瘤放射外科技术专家组提出，由中国民族卫生协会归口。</w:t>
      </w:r>
    </w:p>
    <w:p w14:paraId="1DCF8C93">
      <w:pPr>
        <w:pStyle w:val="21"/>
      </w:pPr>
      <w:r>
        <w:t>本文件联合国际立体定向放射治疗学会（ISRS）、中华医学会、中国医师协会放射肿瘤治疗医师分会等国内外权威机构，组织亚洲和北美的放疗科、影像科及肿瘤内科专家共同编写。编写过程严格遵循 GRADE 系统证据分级标准，并参考 ASTRO、ESTRO 等国际指南的最新循证医学证据。</w:t>
      </w:r>
    </w:p>
    <w:p w14:paraId="1DEBBEC4">
      <w:pPr>
        <w:pStyle w:val="21"/>
      </w:pPr>
      <w:r>
        <w:t>本文件主要起草单位：武汉市放疗质控中心（武汉市第五医院）、山东省肿瘤医院、天津肿瘤医院、复旦大学上海中山医院、广州医科大学附属肿瘤医院、上海长海医院、首都医科大学天坛医院、北京医院、中国人民解放军联勤保障部队第九四〇医院、温州医科大学附属一院、青岛市肿瘤医院、开封市肿瘤医院。</w:t>
      </w:r>
    </w:p>
    <w:p w14:paraId="6C95D4A9">
      <w:pPr>
        <w:pStyle w:val="21"/>
      </w:pPr>
      <w:r>
        <w:t>参加起草单位：北京大学第三医院、中山大学肿瘤医院、四川省肿瘤医院、复旦大学肿瘤医院、北京大学第一医院、重庆大学肿瘤医院、福建省肿瘤医院、兰州大学、武汉大学人民医院、河南省肿瘤医院、四川大学华西医院、郑州大学第一附属医院、枣庄市肿瘤医院、南方医科大学中西结合医院、暨南大学华侨医院、中山大学第一医院、华中科技大学同济医学院同济医院、广西医科大学肿瘤医院、大连市中心医院等。</w:t>
      </w:r>
    </w:p>
    <w:p w14:paraId="7E4D2BA6">
      <w:pPr>
        <w:pStyle w:val="21"/>
      </w:pPr>
      <w:r>
        <w:t>指导专家：于金明、马骏、徐国镇、胡逸民、申文江、李晔雄、郎锦义、王俊杰、李宝生、张福泉、高献书、吴永忠、王平、王连元、杨道科、陈传本、潘力。</w:t>
      </w:r>
    </w:p>
    <w:p w14:paraId="1A646103">
      <w:pPr>
        <w:pStyle w:val="21"/>
      </w:pPr>
      <w:r>
        <w:t>本文件起草人：龙志雄、邢力刚、孔凤鸣、袁智勇、王颖、夏玉兵、李建成、魏夏平及中国医师协会放疗分会、中华医学会放疗分会、中国民族卫生协会肿瘤放射外科技术专家组成员。</w:t>
      </w:r>
    </w:p>
    <w:p w14:paraId="5C2FE20E">
      <w:pPr>
        <w:pStyle w:val="21"/>
      </w:pPr>
      <w:r>
        <w:t>在此，特别感谢编写组专家提供的技术支持，以及所有参与团体标准论证的临床中心。本规范旨在为肺癌放射外科医师、物理师和技术人员提供权威、实用的临床决策依据，最终惠及广大 NSCLC 患者。</w:t>
      </w:r>
    </w:p>
    <w:p w14:paraId="5406C1E8">
      <w:pPr>
        <w:pStyle w:val="21"/>
      </w:pPr>
    </w:p>
    <w:p w14:paraId="40EF6DA4">
      <w:pPr>
        <w:pStyle w:val="3"/>
      </w:pPr>
    </w:p>
    <w:p w14:paraId="3438D8EC">
      <w:pPr>
        <w:pStyle w:val="3"/>
      </w:pPr>
    </w:p>
    <w:p w14:paraId="49CA2966">
      <w:pPr>
        <w:pStyle w:val="3"/>
      </w:pPr>
    </w:p>
    <w:p w14:paraId="1209F89C">
      <w:pPr>
        <w:pStyle w:val="3"/>
        <w:jc w:val="center"/>
      </w:pPr>
      <w:bookmarkStart w:id="1" w:name="_Toc20478"/>
      <w:r>
        <w:t>引言</w:t>
      </w:r>
      <w:bookmarkEnd w:id="1"/>
    </w:p>
    <w:p w14:paraId="55C06BC7">
      <w:pPr>
        <w:pStyle w:val="21"/>
      </w:pPr>
      <w:r>
        <w:t>非小细胞肺癌（NSCLC）约占全部肺癌病例的 85%[1]。随着影像引导技术与放射生物学研究的进展，立体定向放射治疗（SBRT）已成为早期不可手术或拒绝手术 NSCLC 患者的首选根治性治疗手段，局部控制率可达 90% 以上 [2]，中晚期 SBRT 局控也取得良好数据。多项国际多中心研究为 SBRT 的临床应用提供了坚实证据。</w:t>
      </w:r>
    </w:p>
    <w:p w14:paraId="045F8FCF">
      <w:pPr>
        <w:pStyle w:val="21"/>
      </w:pPr>
      <w:r>
        <w:t>其他胸部肿瘤如乳腺癌、纵隔肿瘤、肺转移癌等，参考非小细胞肺癌治疗原则，在安全前提下尽量提升放疗剂量以保证疗效。</w:t>
      </w:r>
    </w:p>
    <w:p w14:paraId="78F9762B">
      <w:pPr>
        <w:pStyle w:val="21"/>
      </w:pPr>
      <w:r>
        <w:t>随着放射治疗技术的迅猛发展，SBRT 已成为 NSCLC 治疗领域的重要突破。影像引导技术、呼吸门控系统和剂量计算算法的革新，使其在精准度和疗效方面显著提升。但伴随技术迭代和设备更新，临床实践中出现适应证把握不一、技术参数差异较大、疗效评估标准不统一等问题，亟需建立规范化诊疗标准。近年来，基于直线加速器与射波刀的剂量投递精度提升，SBRT 在中央型肺癌和寡转移病灶中的安全性得到进一步验证 [3,4]。</w:t>
      </w:r>
    </w:p>
    <w:p w14:paraId="10841046">
      <w:pPr>
        <w:pStyle w:val="21"/>
      </w:pPr>
      <w:r>
        <w:t>本标准参考国际权威文献及我国研究证据，为临床医师提供 SBRT 技术规范、适应证选择及剂量分割方案建议，最终实现 NSCLC 及胸部肿瘤患者生存获益最大化。</w:t>
      </w:r>
    </w:p>
    <w:p w14:paraId="5D1BE234">
      <w:pPr>
        <w:pStyle w:val="21"/>
      </w:pPr>
      <w:r>
        <w:t>本要求旨在建立覆盖肺癌及胸部肿瘤立体定向放疗全流程的标准化体系，明确技术参数、操作规范与评价标准，推动技术规范化与同质化，降低治疗风险，为临床治疗和研究提供可靠数据支撑。其意义不仅在于提升医疗质量、减少放疗安全隐患，更有助于推动放疗学科发展，促进产学研医深度融合，增强我国在临床放疗领域的国际话语权。</w:t>
      </w:r>
    </w:p>
    <w:p w14:paraId="0A464F8A">
      <w:pPr>
        <w:pStyle w:val="21"/>
      </w:pPr>
      <w:r>
        <w:t>本通用要求编制遵循 “科学性、实用性、前瞻性” 原则，联合临床医疗机构、科研院所及企业专家，结合国内外最新研究成果与行业实践，系统梳理共性问题与技术瓶颈。通过文献调研、专家论证及多中心验证，综合考虑不同医院特点与适用场景，形成涵盖全流程的完整框架。同时充分借鉴国际标准及相关指南，确保与国际接轨，满足我国临床本土化需求。</w:t>
      </w:r>
    </w:p>
    <w:p w14:paraId="1977FA8D">
      <w:pPr>
        <w:pStyle w:val="21"/>
      </w:pPr>
      <w:r>
        <w:t>本要求适用于各级医疗机构肿瘤科、放疗科，可指导放疗中心临床工作，助力精准医疗与临床转化，最终实现肺癌及胸部肿瘤最优化立体定向放射治疗方案、保障患者放疗安全的目标。</w:t>
      </w:r>
    </w:p>
    <w:p w14:paraId="15885C43">
      <w:pPr>
        <w:pStyle w:val="21"/>
      </w:pPr>
    </w:p>
    <w:p w14:paraId="13AAA2BD">
      <w:pPr>
        <w:pStyle w:val="3"/>
      </w:pPr>
    </w:p>
    <w:p w14:paraId="332AC1AE">
      <w:pPr>
        <w:pStyle w:val="3"/>
      </w:pPr>
    </w:p>
    <w:p w14:paraId="6727EFFB">
      <w:pPr>
        <w:pStyle w:val="3"/>
      </w:pPr>
    </w:p>
    <w:p w14:paraId="4EBE5AB9">
      <w:pPr>
        <w:pStyle w:val="3"/>
      </w:pPr>
    </w:p>
    <w:p w14:paraId="0E0267C2">
      <w:pPr>
        <w:pStyle w:val="3"/>
      </w:pPr>
      <w:bookmarkStart w:id="2" w:name="_Toc13945"/>
    </w:p>
    <w:p w14:paraId="672642AE">
      <w:pPr>
        <w:pStyle w:val="3"/>
      </w:pPr>
      <w:r>
        <w:t>1 范围</w:t>
      </w:r>
      <w:bookmarkEnd w:id="2"/>
    </w:p>
    <w:p w14:paraId="73B1648A">
      <w:pPr>
        <w:pStyle w:val="21"/>
      </w:pPr>
      <w:r>
        <w:t>本标准规定了肺癌及胸部肿瘤的立体定向放疗治疗规范，适用于开展肺癌立体定向放射治疗的医疗机构，包括放疗科医生、物理师、剂量师、技师及相关管理人员。</w:t>
      </w:r>
    </w:p>
    <w:p w14:paraId="2A21061E">
      <w:pPr>
        <w:pStyle w:val="21"/>
      </w:pPr>
      <w:r>
        <w:t>本规范的目的是让从</w:t>
      </w:r>
      <w:bookmarkStart w:id="56" w:name="_GoBack"/>
      <w:bookmarkEnd w:id="56"/>
      <w:r>
        <w:t>胞肺癌及胸部肿瘤诊治的临床医生（尤其是肿瘤和肿瘤放射治疗专业医生），了解放疗在综合治疗中的作用，正确开展立体定向放射治疗；同时让放疗相关医务人员明确适应症及放疗实施中的具体问题，使更多患者从立体定向放疗及综合治疗中获益。</w:t>
      </w:r>
    </w:p>
    <w:p w14:paraId="6B4A0246">
      <w:pPr>
        <w:pBdr>
          <w:bottom w:val="single" w:color="auto" w:sz="6" w:space="1"/>
        </w:pBdr>
      </w:pPr>
    </w:p>
    <w:p w14:paraId="4A1095ED">
      <w:pPr>
        <w:pStyle w:val="21"/>
      </w:pPr>
    </w:p>
    <w:p w14:paraId="642D3192">
      <w:pPr>
        <w:pStyle w:val="3"/>
      </w:pPr>
      <w:bookmarkStart w:id="3" w:name="_Toc15795"/>
      <w:r>
        <w:t>2 规范性引用文件</w:t>
      </w:r>
      <w:bookmarkEnd w:id="3"/>
    </w:p>
    <w:p w14:paraId="4387E564">
      <w:pPr>
        <w:pStyle w:val="21"/>
      </w:pPr>
      <w:r>
        <w:t>下列文件对本标准的应用是必不可少的。凡是注日期的引用文件，仅注日期的版本适用于本文件；凡是不注日期的引用文件，其最新版本（包括所有修改单）适用于本文件。</w:t>
      </w:r>
    </w:p>
    <w:p w14:paraId="4057FF8F">
      <w:pPr>
        <w:pStyle w:val="21"/>
        <w:numPr>
          <w:ilvl w:val="0"/>
          <w:numId w:val="1"/>
        </w:numPr>
      </w:pPr>
      <w:r>
        <w:t>《早期非小细胞肺癌立体定向放射治疗指南》（2022 版）</w:t>
      </w:r>
    </w:p>
    <w:p w14:paraId="28726490">
      <w:pPr>
        <w:pStyle w:val="21"/>
        <w:numPr>
          <w:ilvl w:val="0"/>
          <w:numId w:val="1"/>
        </w:numPr>
      </w:pPr>
      <w:r>
        <w:t>《早期非小细胞肺癌体部立体定向放射治疗呼吸门控技术运动管理团体标准》（T/SBIAORG 0001-2024）</w:t>
      </w:r>
    </w:p>
    <w:p w14:paraId="37CBFA50">
      <w:pPr>
        <w:pStyle w:val="21"/>
        <w:numPr>
          <w:ilvl w:val="0"/>
          <w:numId w:val="1"/>
        </w:numPr>
      </w:pPr>
      <w:r>
        <w:t>NCC/T-RT 009-2023 肿瘤放射治疗质量安全评价标准指南</w:t>
      </w:r>
    </w:p>
    <w:p w14:paraId="299733EA">
      <w:pPr>
        <w:pStyle w:val="21"/>
        <w:numPr>
          <w:ilvl w:val="0"/>
          <w:numId w:val="1"/>
        </w:numPr>
      </w:pPr>
      <w:r>
        <w:t>AAPM TG40 放射肿瘤学全面质量保证（Comprehensive Quality Assurance for Radiation Oncology）</w:t>
      </w:r>
    </w:p>
    <w:p w14:paraId="0B992D5B">
      <w:pPr>
        <w:pStyle w:val="21"/>
        <w:numPr>
          <w:ilvl w:val="0"/>
          <w:numId w:val="1"/>
        </w:numPr>
      </w:pPr>
      <w:r>
        <w:t>AAPM TG76 放射肿瘤学中呼吸运动管理（The Management of Respiratory Motion in Radiation Oncology）</w:t>
      </w:r>
    </w:p>
    <w:p w14:paraId="6C2FB8FD">
      <w:pPr>
        <w:pStyle w:val="21"/>
        <w:numPr>
          <w:ilvl w:val="0"/>
          <w:numId w:val="1"/>
        </w:numPr>
      </w:pPr>
      <w:r>
        <w:t>ICRU 第 50 号报告 光子束治疗的处方、记录和报告（Prescribing, Recording, and Reporting Photon Beam Therapy）</w:t>
      </w:r>
    </w:p>
    <w:p w14:paraId="48387D41">
      <w:pPr>
        <w:pStyle w:val="21"/>
        <w:numPr>
          <w:ilvl w:val="0"/>
          <w:numId w:val="1"/>
        </w:numPr>
      </w:pPr>
      <w:r>
        <w:t>ICRU 第 62 号报告 光子束治疗的处方、记录和报告 ——ICRU 第 50 号报告补充（Prescribing, Recording, and Reporting Photon Beam Therapy (Supplement to ICRU Report 50）</w:t>
      </w:r>
    </w:p>
    <w:p w14:paraId="44AB1CA6">
      <w:pPr>
        <w:pStyle w:val="21"/>
        <w:numPr>
          <w:ilvl w:val="0"/>
          <w:numId w:val="1"/>
        </w:numPr>
      </w:pPr>
      <w:r>
        <w:t>ICRU 第 83 号报告 调强放射治疗的处方、记录和报告（Prescribing, Recording, and Reporting of Intensity-Modulated Radiotherapy）</w:t>
      </w:r>
    </w:p>
    <w:p w14:paraId="26EAC407">
      <w:pPr>
        <w:pStyle w:val="21"/>
        <w:numPr>
          <w:ilvl w:val="0"/>
          <w:numId w:val="1"/>
        </w:numPr>
      </w:pPr>
      <w:r>
        <w:t>《International Journal of Radiation Oncology Biology Physics》发表的 HYPER-RT 研究</w:t>
      </w:r>
    </w:p>
    <w:p w14:paraId="2A3AF746">
      <w:pPr>
        <w:pStyle w:val="21"/>
      </w:pPr>
      <w:r>
        <w:t>文献查找：本规范引用文献通过 pubmed 搜索引擎，以 “Non-Small Cell Lung Cancer (NSCLC)”“Stereotactic Body Radiotherapy”“Stereotactic Body Radiation Therapy”“radiation therapy” 或 “radiotherapy” 为关键词，查阅至 2025 年 4 月的发表论文（包括在线发表）。</w:t>
      </w:r>
    </w:p>
    <w:p w14:paraId="69BA223A">
      <w:pPr>
        <w:pStyle w:val="21"/>
      </w:pPr>
      <w:r>
        <w:t>循证级别：本规范采用循证医学等级（见表 1），将证据级别和推荐强度相结合。证据级别可信度从高到低分为 A、B、C，推荐强度从强到弱分为 1 和 2。推荐强度主要考虑证据质量、患者对治疗效果的关注程度、治疗方法的利弊和简便程度、治疗价格和资源获取等 [5]。</w:t>
      </w:r>
    </w:p>
    <w:p w14:paraId="0CBA1F83">
      <w:pPr>
        <w:pStyle w:val="21"/>
      </w:pPr>
      <w:r>
        <w:t>表 1 循证级别和推荐强度</w:t>
      </w:r>
    </w:p>
    <w:p w14:paraId="339F4D6F">
      <w:pPr>
        <w:pStyle w:val="21"/>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0222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2965A1">
            <w:pPr>
              <w:pStyle w:val="21"/>
            </w:pPr>
            <w:r>
              <w:t>证据类别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3740A9">
            <w:pPr>
              <w:pStyle w:val="21"/>
            </w:pPr>
            <w:r>
              <w:t>证据类型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EF8266">
            <w:pPr>
              <w:pStyle w:val="21"/>
            </w:pPr>
            <w:r>
              <w:t>共识要求</w:t>
            </w:r>
          </w:p>
        </w:tc>
      </w:tr>
      <w:tr w14:paraId="3855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E17FD0">
            <w:pPr>
              <w:pStyle w:val="21"/>
            </w:pPr>
            <w:r>
              <w:t>1A 类证据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203362">
            <w:pPr>
              <w:pStyle w:val="21"/>
            </w:pPr>
            <w:r>
              <w:t>严谨的 Meta 分析、大型随机对照临床研究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0EA942">
            <w:pPr>
              <w:pStyle w:val="21"/>
            </w:pPr>
            <w:r>
              <w:t>一致共识（支持意见≥80%）</w:t>
            </w:r>
          </w:p>
        </w:tc>
      </w:tr>
      <w:tr w14:paraId="6C87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FE5354">
            <w:pPr>
              <w:pStyle w:val="21"/>
            </w:pPr>
            <w:r>
              <w:t>1B 类证据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560930">
            <w:pPr>
              <w:pStyle w:val="21"/>
            </w:pPr>
            <w:r>
              <w:t>严谨的 Meta 分析、大型随机对照临床研究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AA69E7">
            <w:pPr>
              <w:pStyle w:val="21"/>
            </w:pPr>
            <w:r>
              <w:t>基本一致共识，争议小（支持意见 60％～80％）</w:t>
            </w:r>
          </w:p>
        </w:tc>
      </w:tr>
      <w:tr w14:paraId="5625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1313B0">
            <w:pPr>
              <w:pStyle w:val="21"/>
            </w:pPr>
            <w:r>
              <w:t>2A 类证据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62E9E0">
            <w:pPr>
              <w:pStyle w:val="21"/>
            </w:pPr>
            <w:r>
              <w:t>一般质量的 Meta 分析、小型随机对照研究、设计良好的大型回顾性研究、病例 - 对照研究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0C732C">
            <w:pPr>
              <w:pStyle w:val="21"/>
            </w:pPr>
            <w:r>
              <w:t>一致共识（支持意见≥80％）</w:t>
            </w:r>
          </w:p>
        </w:tc>
      </w:tr>
      <w:tr w14:paraId="1DAF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D069EF">
            <w:pPr>
              <w:pStyle w:val="21"/>
            </w:pPr>
            <w:r>
              <w:t>2B 类证据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E16324">
            <w:pPr>
              <w:pStyle w:val="21"/>
            </w:pPr>
            <w:r>
              <w:t>一般质量的 Meta 分析、小型随机对照研究、设计良好的大型回顾性研究、病例 - 对照研究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B77EAB">
            <w:pPr>
              <w:pStyle w:val="21"/>
            </w:pPr>
            <w:r>
              <w:t>基本一致共识，争议小（支持意见 60％～80％）</w:t>
            </w:r>
          </w:p>
        </w:tc>
      </w:tr>
      <w:tr w14:paraId="79D0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EB96B9">
            <w:pPr>
              <w:pStyle w:val="21"/>
            </w:pPr>
            <w:r>
              <w:t>3 类证据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8C4C46">
            <w:pPr>
              <w:pStyle w:val="21"/>
            </w:pPr>
            <w:r>
              <w:t>非对照的单臂临床研究、病例报告、专家观点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8B73E1">
            <w:pPr>
              <w:pStyle w:val="21"/>
            </w:pPr>
            <w:r>
              <w:t>支持意见＜60％</w:t>
            </w:r>
          </w:p>
        </w:tc>
      </w:tr>
    </w:tbl>
    <w:p w14:paraId="7B9A9887">
      <w:pPr>
        <w:pStyle w:val="21"/>
      </w:pPr>
      <w:r>
        <w:t>资金来源：本规范编写过程中，未接受任何团体或公司的资助。</w:t>
      </w:r>
    </w:p>
    <w:p w14:paraId="019BB32A">
      <w:pPr>
        <w:pStyle w:val="21"/>
      </w:pPr>
    </w:p>
    <w:p w14:paraId="35458788">
      <w:pPr>
        <w:pBdr>
          <w:bottom w:val="single" w:color="auto" w:sz="6" w:space="1"/>
        </w:pBdr>
      </w:pPr>
    </w:p>
    <w:p w14:paraId="4EFAE095">
      <w:pPr>
        <w:pStyle w:val="3"/>
      </w:pPr>
      <w:bookmarkStart w:id="4" w:name="_Toc19572"/>
      <w:r>
        <w:t>3 术语和定义</w:t>
      </w:r>
      <w:bookmarkEnd w:id="4"/>
    </w:p>
    <w:p w14:paraId="32A0C91A">
      <w:pPr>
        <w:pStyle w:val="21"/>
      </w:pPr>
      <w:r>
        <w:t>下列术语和定义适用于本文件 [6]。</w:t>
      </w:r>
    </w:p>
    <w:p w14:paraId="513EF57D">
      <w:pPr>
        <w:pStyle w:val="4"/>
      </w:pPr>
      <w:bookmarkStart w:id="5" w:name="_Toc30095"/>
      <w:r>
        <w:t>3.1 立体定向放射治疗（Stereotactic Radiotherapy, SRT）</w:t>
      </w:r>
      <w:bookmarkEnd w:id="5"/>
    </w:p>
    <w:p w14:paraId="600F9DFD">
      <w:pPr>
        <w:pStyle w:val="21"/>
      </w:pPr>
      <w:r>
        <w:t>利用影像设备采集肿瘤及周围正常组织的图像，在治疗计划系统配合下，采用立体定向框架或图像引导系统摆位，将放射线聚集于肿瘤靶区，给予较大剂量照射。实施少分次数（通常不超过 5 次）、大分割剂量（一般不小于 5Gy），使肿瘤产生局灶性破坏，同时将正常组织损伤降至最低的精确放射治疗。包括立体定向放射外科治疗（Stereotactic Radiosurgery，SRS）和体部立体定向放射治疗（Stereotactic Body Radiation Therapy，SBRT）。</w:t>
      </w:r>
    </w:p>
    <w:p w14:paraId="08E78C3D">
      <w:pPr>
        <w:pStyle w:val="4"/>
      </w:pPr>
      <w:bookmarkStart w:id="6" w:name="_Toc29207"/>
      <w:r>
        <w:t>3.2 呼吸运动管理（Respiratory Motion Management）</w:t>
      </w:r>
      <w:bookmarkEnd w:id="6"/>
    </w:p>
    <w:p w14:paraId="7E7F9AC6">
      <w:pPr>
        <w:pStyle w:val="21"/>
      </w:pPr>
      <w:r>
        <w:t>通过各种技术和设备监测和控制患者呼吸时肿瘤和器官的移动，以提高治疗准确性和效果。目的是在确保放射线精确治疗肿瘤的同时，减少对周围正常组织的辐射损伤。常用技术包括呼吸门控、深吸气屏气法（DIBH）、腹部压迫和体表成像等。</w:t>
      </w:r>
    </w:p>
    <w:p w14:paraId="3248B9DD">
      <w:pPr>
        <w:pStyle w:val="4"/>
      </w:pPr>
      <w:bookmarkStart w:id="7" w:name="_Toc27941"/>
      <w:r>
        <w:t>3.3 影像引导放疗（Image-guided Radiotherapy, IGRT）</w:t>
      </w:r>
      <w:bookmarkEnd w:id="7"/>
    </w:p>
    <w:p w14:paraId="5060545B">
      <w:pPr>
        <w:pStyle w:val="21"/>
      </w:pPr>
      <w:r>
        <w:t>狭义上指利用影像系统修正摆位和器官运动等所致靶区移位，充分考虑器官和靶区分次内和分次间运动。利用先进影像设备对肿瘤和关键器官进行监控，并能根据器官和靶区位置、形状变化调整治疗条件，使照射野紧紧 “追随” 靶区，实现肿瘤意义上的 “适形” 放疗。</w:t>
      </w:r>
    </w:p>
    <w:p w14:paraId="28770741">
      <w:pPr>
        <w:pStyle w:val="4"/>
      </w:pPr>
      <w:bookmarkStart w:id="8" w:name="_Toc24950"/>
      <w:r>
        <w:t>3.4 呼吸门控（Respiratory Gating）</w:t>
      </w:r>
      <w:bookmarkEnd w:id="8"/>
    </w:p>
    <w:p w14:paraId="3E44716E">
      <w:pPr>
        <w:pStyle w:val="21"/>
      </w:pPr>
      <w:r>
        <w:t>利用患者呼吸周期提高治疗精确性的技术，允许在患者特定呼吸时相或幅度进行放射治疗。目的是减少呼吸引起的肿瘤运动，提高治疗精度。</w:t>
      </w:r>
    </w:p>
    <w:p w14:paraId="6D78FD56">
      <w:pPr>
        <w:pStyle w:val="4"/>
      </w:pPr>
      <w:bookmarkStart w:id="9" w:name="_Toc28099"/>
      <w:r>
        <w:t>3.5 四维计算机断层扫描（4D Computed Tomography, 4D CT）</w:t>
      </w:r>
      <w:bookmarkEnd w:id="9"/>
    </w:p>
    <w:p w14:paraId="589FE90C">
      <w:pPr>
        <w:pStyle w:val="21"/>
      </w:pPr>
      <w:r>
        <w:t>沿患者头脚方向对每个感兴趣位置进行时间采样，获取 CT 图像后回顾排序，创建多个对应特定呼吸相位的 CT 组。主要目的是在完整呼吸周期中创建一系列时间分辨率的 3D 解剖图像，通过将解剖图像获取与外部设备跟踪的呼吸信号同步实现。</w:t>
      </w:r>
    </w:p>
    <w:p w14:paraId="5B46F10F">
      <w:pPr>
        <w:pStyle w:val="21"/>
      </w:pPr>
    </w:p>
    <w:p w14:paraId="5F6E7D3D">
      <w:pPr>
        <w:pBdr>
          <w:bottom w:val="single" w:color="auto" w:sz="6" w:space="1"/>
        </w:pBdr>
      </w:pPr>
    </w:p>
    <w:p w14:paraId="196EAAA1">
      <w:pPr>
        <w:pStyle w:val="3"/>
      </w:pPr>
      <w:bookmarkStart w:id="10" w:name="_Toc12"/>
      <w:r>
        <w:t>4 缩略词</w:t>
      </w:r>
      <w:bookmarkEnd w:id="10"/>
    </w:p>
    <w:p w14:paraId="35208EBF">
      <w:pPr>
        <w:pStyle w:val="21"/>
        <w:numPr>
          <w:ilvl w:val="0"/>
          <w:numId w:val="2"/>
        </w:numPr>
      </w:pPr>
      <w:r>
        <w:t>放疗医生（Radiation Oncologist）</w:t>
      </w:r>
    </w:p>
    <w:p w14:paraId="5026E2DF">
      <w:pPr>
        <w:pStyle w:val="21"/>
        <w:numPr>
          <w:ilvl w:val="0"/>
          <w:numId w:val="2"/>
        </w:numPr>
      </w:pPr>
      <w:r>
        <w:t>医学物理师（Medical Physicist）</w:t>
      </w:r>
    </w:p>
    <w:p w14:paraId="3A92A7B1">
      <w:pPr>
        <w:pStyle w:val="21"/>
        <w:numPr>
          <w:ilvl w:val="0"/>
          <w:numId w:val="2"/>
        </w:numPr>
      </w:pPr>
      <w:r>
        <w:t>放疗技师（Radiation Therapist）</w:t>
      </w:r>
    </w:p>
    <w:p w14:paraId="62DA53C3">
      <w:pPr>
        <w:pStyle w:val="21"/>
        <w:numPr>
          <w:ilvl w:val="0"/>
          <w:numId w:val="2"/>
        </w:numPr>
      </w:pPr>
      <w:r>
        <w:t>影像引导放疗（Image-guided Radiotherapy, IGRT）</w:t>
      </w:r>
    </w:p>
    <w:p w14:paraId="39A92840">
      <w:pPr>
        <w:pStyle w:val="21"/>
        <w:numPr>
          <w:ilvl w:val="0"/>
          <w:numId w:val="2"/>
        </w:numPr>
      </w:pPr>
      <w:r>
        <w:t>立体定向放射治疗（Stereotactic Radiotherapy, SRT）</w:t>
      </w:r>
    </w:p>
    <w:p w14:paraId="4C0B258B">
      <w:pPr>
        <w:pStyle w:val="21"/>
        <w:numPr>
          <w:ilvl w:val="0"/>
          <w:numId w:val="2"/>
        </w:numPr>
      </w:pPr>
      <w:r>
        <w:t>立体定向放射外科治疗（Stereotactic Radiosurgery，SRS）</w:t>
      </w:r>
    </w:p>
    <w:p w14:paraId="4B0F9DF4">
      <w:pPr>
        <w:pStyle w:val="21"/>
        <w:numPr>
          <w:ilvl w:val="0"/>
          <w:numId w:val="2"/>
        </w:numPr>
      </w:pPr>
      <w:r>
        <w:t>体部立体定向放射治疗（Stereotactic Body Radiation Therapy，SBRT）</w:t>
      </w:r>
    </w:p>
    <w:p w14:paraId="5CB0F3F0">
      <w:pPr>
        <w:pStyle w:val="21"/>
        <w:numPr>
          <w:ilvl w:val="0"/>
          <w:numId w:val="2"/>
        </w:numPr>
      </w:pPr>
      <w:r>
        <w:t>呼吸运动管理（Respiratory Motion Management）</w:t>
      </w:r>
    </w:p>
    <w:p w14:paraId="1D600812">
      <w:pPr>
        <w:pStyle w:val="21"/>
        <w:numPr>
          <w:ilvl w:val="0"/>
          <w:numId w:val="2"/>
        </w:numPr>
      </w:pPr>
      <w:r>
        <w:t>呼吸门控（Respiratory Gating）</w:t>
      </w:r>
    </w:p>
    <w:p w14:paraId="15AD4720">
      <w:pPr>
        <w:pStyle w:val="21"/>
        <w:numPr>
          <w:ilvl w:val="0"/>
          <w:numId w:val="2"/>
        </w:numPr>
      </w:pPr>
      <w:r>
        <w:t>四维计算机断层扫描（4D Computed Tomography, 4D CT）</w:t>
      </w:r>
    </w:p>
    <w:p w14:paraId="2DFFC540">
      <w:pPr>
        <w:pStyle w:val="21"/>
        <w:numPr>
          <w:ilvl w:val="0"/>
          <w:numId w:val="2"/>
        </w:numPr>
      </w:pPr>
      <w:r>
        <w:t>肿瘤追踪（Real-time Tumor Tracking）</w:t>
      </w:r>
    </w:p>
    <w:p w14:paraId="344FF927">
      <w:pPr>
        <w:pStyle w:val="21"/>
        <w:numPr>
          <w:ilvl w:val="0"/>
          <w:numId w:val="2"/>
        </w:numPr>
      </w:pPr>
      <w:r>
        <w:t>X 线影像引导（如 CyberKnife）</w:t>
      </w:r>
    </w:p>
    <w:p w14:paraId="7D82C958">
      <w:pPr>
        <w:pStyle w:val="21"/>
        <w:numPr>
          <w:ilvl w:val="0"/>
          <w:numId w:val="2"/>
        </w:numPr>
      </w:pPr>
      <w:r>
        <w:t>赛博刀（Cyber knife）</w:t>
      </w:r>
    </w:p>
    <w:p w14:paraId="3CDE2166">
      <w:pPr>
        <w:pStyle w:val="21"/>
        <w:numPr>
          <w:ilvl w:val="0"/>
          <w:numId w:val="2"/>
        </w:numPr>
      </w:pPr>
      <w:r>
        <w:t>直线加速器容积旋转调强放疗（volumetric modulated arc therapy，VMAT）</w:t>
      </w:r>
    </w:p>
    <w:p w14:paraId="28623C44">
      <w:pPr>
        <w:pStyle w:val="21"/>
        <w:numPr>
          <w:ilvl w:val="0"/>
          <w:numId w:val="2"/>
        </w:numPr>
      </w:pPr>
      <w:r>
        <w:t>适形调强放疗（intensity modulated radiation therapy，IMRT）</w:t>
      </w:r>
    </w:p>
    <w:p w14:paraId="43CB779F">
      <w:pPr>
        <w:pStyle w:val="21"/>
      </w:pPr>
    </w:p>
    <w:p w14:paraId="1854FB07">
      <w:pPr>
        <w:pBdr>
          <w:bottom w:val="single" w:color="auto" w:sz="6" w:space="1"/>
        </w:pBdr>
      </w:pPr>
    </w:p>
    <w:p w14:paraId="79344977">
      <w:pPr>
        <w:pStyle w:val="3"/>
      </w:pPr>
      <w:bookmarkStart w:id="11" w:name="_Toc2770"/>
      <w:r>
        <w:t>5 基本要求</w:t>
      </w:r>
      <w:bookmarkEnd w:id="11"/>
    </w:p>
    <w:p w14:paraId="32E6B694">
      <w:pPr>
        <w:pStyle w:val="4"/>
      </w:pPr>
      <w:bookmarkStart w:id="12" w:name="_Toc12306"/>
      <w:r>
        <w:t>5.1 医疗机构基本要求</w:t>
      </w:r>
      <w:bookmarkEnd w:id="12"/>
    </w:p>
    <w:p w14:paraId="50527F6E">
      <w:pPr>
        <w:pStyle w:val="21"/>
        <w:numPr>
          <w:ilvl w:val="0"/>
          <w:numId w:val="3"/>
        </w:numPr>
      </w:pPr>
      <w:r>
        <w:t>开展立体定向放射治疗技术应当与其功能、任务和技术能力相适应。</w:t>
      </w:r>
    </w:p>
    <w:p w14:paraId="4AE79F38">
      <w:pPr>
        <w:pStyle w:val="21"/>
        <w:numPr>
          <w:ilvl w:val="0"/>
          <w:numId w:val="3"/>
        </w:numPr>
      </w:pPr>
      <w:r>
        <w:t>具有卫生健康行政部门核准登记的外科、肿瘤内科、放射治疗科、病理科及医学影像科等相关诊疗科目，具备肿瘤综合诊治能力。</w:t>
      </w:r>
    </w:p>
    <w:p w14:paraId="05F14E51">
      <w:pPr>
        <w:pStyle w:val="21"/>
        <w:numPr>
          <w:ilvl w:val="0"/>
          <w:numId w:val="3"/>
        </w:numPr>
      </w:pPr>
      <w:r>
        <w:t>放射治疗科应具有 3 年以上调强放射治疗技术（IMRT）治疗肿瘤的经验，以及 3 年以上多模态影像引导放射治疗经验；配备 4DCT 模拟定位机、带多叶光栅的图像引导直线加速器、逆向放射治疗计划系统、配套完整的质量保证和质量控制设备等，按国家卫生健康行政部门相关要求规范配备立体定向放射治疗系统设备。</w:t>
      </w:r>
    </w:p>
    <w:p w14:paraId="1C6F56DF">
      <w:pPr>
        <w:pStyle w:val="21"/>
        <w:numPr>
          <w:ilvl w:val="0"/>
          <w:numId w:val="3"/>
        </w:numPr>
      </w:pPr>
      <w:r>
        <w:t>新建医疗机构开展立体定向放射治疗的，应为集医疗、教育、科研为一体的综合医疗机构或肿瘤专科医疗机构，并符合相应人员和设备要求。</w:t>
      </w:r>
    </w:p>
    <w:p w14:paraId="77E87749">
      <w:pPr>
        <w:pStyle w:val="21"/>
        <w:numPr>
          <w:ilvl w:val="0"/>
          <w:numId w:val="3"/>
        </w:numPr>
      </w:pPr>
      <w:r>
        <w:t>常规开展质量保证和质量控制工作。</w:t>
      </w:r>
    </w:p>
    <w:p w14:paraId="3450EA3A">
      <w:pPr>
        <w:pStyle w:val="21"/>
        <w:numPr>
          <w:ilvl w:val="0"/>
          <w:numId w:val="3"/>
        </w:numPr>
      </w:pPr>
      <w:r>
        <w:t>具有《放射诊疗许可证》《辐射安全许可证》等相关资质证明文件，《辐射安全许可证》申办按生态环境部《建设项目环境影响评价分类管理名录》要求执行。</w:t>
      </w:r>
    </w:p>
    <w:p w14:paraId="57A83FAC">
      <w:pPr>
        <w:pStyle w:val="21"/>
        <w:numPr>
          <w:ilvl w:val="0"/>
          <w:numId w:val="3"/>
        </w:numPr>
      </w:pPr>
      <w:r>
        <w:t>具备先进网络系统，支持 5G 及以上先进通讯信息技术在立体定向放射治疗中的应用。</w:t>
      </w:r>
    </w:p>
    <w:p w14:paraId="7C8027F2">
      <w:pPr>
        <w:pStyle w:val="4"/>
      </w:pPr>
      <w:bookmarkStart w:id="13" w:name="_Toc4176"/>
      <w:r>
        <w:t>5.2 设备要求</w:t>
      </w:r>
      <w:bookmarkEnd w:id="13"/>
    </w:p>
    <w:p w14:paraId="24E72DA3">
      <w:pPr>
        <w:pStyle w:val="21"/>
        <w:numPr>
          <w:ilvl w:val="0"/>
          <w:numId w:val="4"/>
        </w:numPr>
      </w:pPr>
      <w:r>
        <w:t>CT 模拟定位系统：具备无阻隔平板床面和大孔径扫描功能，最薄扫描层厚度≤2mm；射波刀放疗技术定位扫描时，扫描层厚可设置为 1-2mm，重建层厚可要求至 1mm。具备 4D-CT 功能（3C），可了解肿瘤动态轨迹。配备图像质量检测模体和电子密度转换模体等相应质控工具 [35,36]。网络兼容性方面，优选能无缝集成到现有放疗信息系统的扫描设备，同时保持对未来技术进步的开放性。</w:t>
      </w:r>
    </w:p>
    <w:p w14:paraId="4F6235C5">
      <w:pPr>
        <w:pStyle w:val="21"/>
        <w:numPr>
          <w:ilvl w:val="0"/>
          <w:numId w:val="4"/>
        </w:numPr>
      </w:pPr>
      <w:r>
        <w:t>治疗计划系统：须遵循美国医学物理师学会（TG53）、国际原子能机构（TRS430）及我国相关行业标准（如 YY/T 0789-2010、YY 0832.2-2015 和 YY0832.1-2011），核心功能包括（3C）：</w:t>
      </w:r>
    </w:p>
    <w:p w14:paraId="0984E8B4">
      <w:pPr>
        <w:pStyle w:val="21"/>
        <w:numPr>
          <w:ilvl w:val="1"/>
          <w:numId w:val="1"/>
        </w:numPr>
      </w:pPr>
      <w:r>
        <w:t>多模态影像融合（4D-CT/MRI/PET-CT）；</w:t>
      </w:r>
    </w:p>
    <w:p w14:paraId="6A99D894">
      <w:pPr>
        <w:pStyle w:val="21"/>
        <w:numPr>
          <w:ilvl w:val="1"/>
          <w:numId w:val="1"/>
        </w:numPr>
      </w:pPr>
      <w:r>
        <w:t>高清晰度、高精度三维重建能力，保证长度、面积、体积和空间坐标位置等测量的准确性；</w:t>
      </w:r>
    </w:p>
    <w:p w14:paraId="70292953">
      <w:pPr>
        <w:pStyle w:val="21"/>
        <w:numPr>
          <w:ilvl w:val="1"/>
          <w:numId w:val="1"/>
        </w:numPr>
      </w:pPr>
      <w:r>
        <w:t>精确计算小射野剂量分布的能力；</w:t>
      </w:r>
    </w:p>
    <w:p w14:paraId="311E012B">
      <w:pPr>
        <w:pStyle w:val="21"/>
        <w:numPr>
          <w:ilvl w:val="1"/>
          <w:numId w:val="1"/>
        </w:numPr>
      </w:pPr>
      <w:r>
        <w:t>内置高精度组织不均一性校正算法，准确反映体内射线剂量衰减和散射效应，优化剂量分布；</w:t>
      </w:r>
    </w:p>
    <w:p w14:paraId="2B06313B">
      <w:pPr>
        <w:pStyle w:val="21"/>
        <w:numPr>
          <w:ilvl w:val="1"/>
          <w:numId w:val="1"/>
        </w:numPr>
      </w:pPr>
      <w:r>
        <w:t>采用细密剂量计算网格，提升剂量计算精度及可靠性，尤其涉及复杂剂量梯度时，是确保 SBRT 疗效的重要保障。</w:t>
      </w:r>
    </w:p>
    <w:p w14:paraId="510BC7A9">
      <w:pPr>
        <w:pStyle w:val="21"/>
        <w:numPr>
          <w:ilvl w:val="0"/>
          <w:numId w:val="5"/>
        </w:numPr>
      </w:pPr>
      <w:r>
        <w:t>放射治疗设备（1A）：</w:t>
      </w:r>
    </w:p>
    <w:p w14:paraId="6C16E565">
      <w:pPr>
        <w:pStyle w:val="21"/>
        <w:numPr>
          <w:ilvl w:val="1"/>
          <w:numId w:val="1"/>
        </w:numPr>
      </w:pPr>
      <w:r>
        <w:t>具备亚毫米级的等中心定位精度和多叶光栅系统（MLC）定位精度；</w:t>
      </w:r>
    </w:p>
    <w:p w14:paraId="54CE033A">
      <w:pPr>
        <w:pStyle w:val="21"/>
        <w:numPr>
          <w:ilvl w:val="1"/>
          <w:numId w:val="1"/>
        </w:numPr>
      </w:pPr>
      <w:r>
        <w:t>配备高分辨率 MLC，叶片宽度≤5mm，提高剂量塑造能力；</w:t>
      </w:r>
    </w:p>
    <w:p w14:paraId="22ED4305">
      <w:pPr>
        <w:pStyle w:val="21"/>
        <w:numPr>
          <w:ilvl w:val="1"/>
          <w:numId w:val="1"/>
        </w:numPr>
      </w:pPr>
      <w:r>
        <w:t>集成图像引导与运动管理技术，含实时影像监控与自动跟踪装置，有效补偿呼吸等运动引起的靶区移动，确保剂量准确投递。</w:t>
      </w:r>
    </w:p>
    <w:p w14:paraId="22B23E6B">
      <w:pPr>
        <w:pStyle w:val="21"/>
        <w:numPr>
          <w:ilvl w:val="0"/>
          <w:numId w:val="6"/>
        </w:numPr>
      </w:pPr>
      <w:r>
        <w:t>辅助设备要求：放疗设备必须配备 CBCT 或 EPID 图像引导技术；胸部肿瘤呼吸运动影响较大，尽量配备呼吸控制技术，有条件单位宜开展 4D 技术；无 4D 和呼吸控制设备的单位，必须使用腹压板或气囊压迫，减少呼吸动度。</w:t>
      </w:r>
    </w:p>
    <w:p w14:paraId="60DE1E83">
      <w:pPr>
        <w:pStyle w:val="4"/>
      </w:pPr>
      <w:bookmarkStart w:id="14" w:name="_Toc23945"/>
      <w:r>
        <w:t>5.3 配套设施要求</w:t>
      </w:r>
      <w:bookmarkEnd w:id="14"/>
    </w:p>
    <w:p w14:paraId="5FA8404B">
      <w:pPr>
        <w:pStyle w:val="21"/>
        <w:numPr>
          <w:ilvl w:val="0"/>
          <w:numId w:val="7"/>
        </w:numPr>
      </w:pPr>
      <w:r>
        <w:t>配备放疗专用 CT 模拟定位机；</w:t>
      </w:r>
    </w:p>
    <w:p w14:paraId="22CE540C">
      <w:pPr>
        <w:pStyle w:val="21"/>
        <w:numPr>
          <w:ilvl w:val="0"/>
          <w:numId w:val="7"/>
        </w:numPr>
      </w:pPr>
      <w:r>
        <w:t>配备 CT、MR、PET/CT 等影像诊断设备；</w:t>
      </w:r>
    </w:p>
    <w:p w14:paraId="5B533004">
      <w:pPr>
        <w:pStyle w:val="21"/>
        <w:numPr>
          <w:ilvl w:val="0"/>
          <w:numId w:val="7"/>
        </w:numPr>
      </w:pPr>
      <w:r>
        <w:t>配备立体定向放射外科（SRS）/ 体部立体定向放射治疗（SBRT）的直线加速器；</w:t>
      </w:r>
    </w:p>
    <w:p w14:paraId="43939616">
      <w:pPr>
        <w:pStyle w:val="21"/>
        <w:numPr>
          <w:ilvl w:val="0"/>
          <w:numId w:val="7"/>
        </w:numPr>
      </w:pPr>
      <w:r>
        <w:t>配备立体定向放疗相应的物理质控设备；</w:t>
      </w:r>
    </w:p>
    <w:p w14:paraId="7293E0FD">
      <w:pPr>
        <w:pStyle w:val="21"/>
        <w:numPr>
          <w:ilvl w:val="0"/>
          <w:numId w:val="7"/>
        </w:numPr>
      </w:pPr>
      <w:r>
        <w:t>具有相应的放疗计划系统和信息管理系统；</w:t>
      </w:r>
    </w:p>
    <w:p w14:paraId="61EA0A8A">
      <w:pPr>
        <w:pStyle w:val="21"/>
        <w:numPr>
          <w:ilvl w:val="0"/>
          <w:numId w:val="7"/>
        </w:numPr>
      </w:pPr>
      <w:r>
        <w:t>符合卫生健康和生态环境部门要求，具备电磁与辐射防护设施场地。</w:t>
      </w:r>
    </w:p>
    <w:p w14:paraId="0450A43E">
      <w:pPr>
        <w:pStyle w:val="4"/>
      </w:pPr>
      <w:bookmarkStart w:id="15" w:name="_Toc21044"/>
      <w:r>
        <w:t>5.4 人员要求</w:t>
      </w:r>
      <w:bookmarkEnd w:id="15"/>
    </w:p>
    <w:p w14:paraId="53D32669">
      <w:pPr>
        <w:pStyle w:val="21"/>
      </w:pPr>
      <w:r>
        <w:t>放射治疗人员资质和培训要求按照《加速器放射治疗技术临床应用管理规范（2022 年版）》规定执行：</w:t>
      </w:r>
    </w:p>
    <w:p w14:paraId="1D346D21">
      <w:pPr>
        <w:pStyle w:val="21"/>
        <w:numPr>
          <w:ilvl w:val="0"/>
          <w:numId w:val="8"/>
        </w:numPr>
      </w:pPr>
      <w:r>
        <w:t>放射治疗医师：取得《医师执业证书》，执业范围为医学影像和放射治疗专业。至少有 3 名以上具有 3 年以上 IMRT 工作经验且具备副主任医师及以上专业技术职务任职资格者（头颈部、胸部、腹部、盆腔等各专业至少 1 人）。需在境外专门培训机构或国内省级卫生健康行政部门备案的培训机构完成立体定向放射治疗技术相关专业系统培训，具备开展该技术的能力。</w:t>
      </w:r>
    </w:p>
    <w:p w14:paraId="446E4317">
      <w:pPr>
        <w:pStyle w:val="21"/>
        <w:numPr>
          <w:ilvl w:val="0"/>
          <w:numId w:val="8"/>
        </w:numPr>
      </w:pPr>
      <w:r>
        <w:t>医学物理师：取得《全国医用设备使用人员业务能力考评成绩合格证明》（LA、X 刀、γ 刀方向）。至少有 2 名 10 年以上工作经验的医学物理师，且至少 3 人具有副高（或相当职称）及以上专业技术职务任职资格。需在境外专门培训机构或国内省级卫生健康行政部门备案的培训机构完成立体定向放射治疗物理技术相关专业系统培训，满足临床应用所需条件。</w:t>
      </w:r>
    </w:p>
    <w:p w14:paraId="51A85B01">
      <w:pPr>
        <w:pStyle w:val="21"/>
        <w:numPr>
          <w:ilvl w:val="0"/>
          <w:numId w:val="8"/>
        </w:numPr>
      </w:pPr>
      <w:r>
        <w:t>放射治疗技师：经国内省级卫生健康行政部门备案的培训机构进行立体定向放射治疗技术相关专业系统培训，满足临床应用所需条件。</w:t>
      </w:r>
    </w:p>
    <w:p w14:paraId="6F40A93A">
      <w:pPr>
        <w:pStyle w:val="21"/>
        <w:numPr>
          <w:ilvl w:val="0"/>
          <w:numId w:val="8"/>
        </w:numPr>
      </w:pPr>
      <w:r>
        <w:t>护士：数量与开展服务相匹配。</w:t>
      </w:r>
    </w:p>
    <w:p w14:paraId="1D7879D3">
      <w:pPr>
        <w:pStyle w:val="21"/>
        <w:numPr>
          <w:ilvl w:val="0"/>
          <w:numId w:val="8"/>
        </w:numPr>
      </w:pPr>
      <w:r>
        <w:t>医学工程师：具备相应技术实力的设备维护、辐射防护工程师保障人员，其中配置立体定向放疗设备的不少于 1 名。</w:t>
      </w:r>
    </w:p>
    <w:p w14:paraId="723242EA">
      <w:pPr>
        <w:pStyle w:val="21"/>
        <w:numPr>
          <w:ilvl w:val="0"/>
          <w:numId w:val="8"/>
        </w:numPr>
      </w:pPr>
      <w:r>
        <w:t>核安全工程师：依据生态环境部《放射性同位素与射线装置安全许可管理办法》，为辐射安全关键岗位，可由获得相应资质的其他岗位人员兼任。</w:t>
      </w:r>
    </w:p>
    <w:p w14:paraId="71755F05">
      <w:pPr>
        <w:pStyle w:val="4"/>
      </w:pPr>
      <w:bookmarkStart w:id="16" w:name="_Toc11428"/>
      <w:r>
        <w:t>5.5 人员职责</w:t>
      </w:r>
      <w:bookmarkEnd w:id="16"/>
    </w:p>
    <w:p w14:paraId="2636FF66">
      <w:pPr>
        <w:pStyle w:val="21"/>
      </w:pPr>
      <w:r>
        <w:t>严格遵守立体定向放射治疗技术操作规范和诊疗指南，严格掌握适应证和禁忌证，开展多学科综合治疗和以循证医学为基础的肿瘤诊断和治疗。依据美国放射肿瘤学会（ASTRO）要求，医务人员总体职责包括但不限于：</w:t>
      </w:r>
    </w:p>
    <w:p w14:paraId="0452CBDE">
      <w:pPr>
        <w:pStyle w:val="21"/>
        <w:numPr>
          <w:ilvl w:val="0"/>
          <w:numId w:val="9"/>
        </w:numPr>
      </w:pPr>
      <w:r>
        <w:t>放疗医师职责：负责患者整体治疗方案制定，监督治疗过程，与其他团队成员紧密合作确保治疗计划顺利实施；参与质量保证流程（如审批立体定向放射治疗评估报告）；评估治疗效果，处理患者并发症，开展治疗后随访监测。</w:t>
      </w:r>
    </w:p>
    <w:p w14:paraId="78694CEE">
      <w:pPr>
        <w:pStyle w:val="21"/>
        <w:numPr>
          <w:ilvl w:val="0"/>
          <w:numId w:val="9"/>
        </w:numPr>
      </w:pPr>
      <w:r>
        <w:t>医学物理师职责：负责设备验收测试、质量保证和质量控制，以及治疗计划的设计和优化；确保放射治疗剂量分布的准确性和安全性，协助放疗医师制定治疗方案。</w:t>
      </w:r>
    </w:p>
    <w:p w14:paraId="604AB0A1">
      <w:pPr>
        <w:pStyle w:val="21"/>
        <w:numPr>
          <w:ilvl w:val="0"/>
          <w:numId w:val="9"/>
        </w:numPr>
      </w:pPr>
      <w:r>
        <w:t>医学剂量师职责：确保放射治疗计划系统中患者三维影像数据的正确方位校准；在放疗医师和医学物理师指导下，设计并生成治疗计划，编制实施立体定向放疗治疗计划所需的所有技术文档；参与首次治疗，必要时协助后续治疗的验证工作。</w:t>
      </w:r>
    </w:p>
    <w:p w14:paraId="05F98E3B">
      <w:pPr>
        <w:pStyle w:val="21"/>
        <w:numPr>
          <w:ilvl w:val="0"/>
          <w:numId w:val="9"/>
        </w:numPr>
      </w:pPr>
      <w:r>
        <w:t>放疗技师职责：负责放射治疗实施，协助患者定位和固定；实施立体定向放疗治疗计划，定期获取验证图像供放疗医生审查；定期评估固定装置的稳定性及重复性，发现不一致情况立即向放疗医师和医学物理师报告，保证治疗精确性。</w:t>
      </w:r>
    </w:p>
    <w:p w14:paraId="0CD0F01F">
      <w:pPr>
        <w:pStyle w:val="21"/>
        <w:numPr>
          <w:ilvl w:val="0"/>
          <w:numId w:val="9"/>
        </w:numPr>
      </w:pPr>
      <w:r>
        <w:t>放疗护士职责：负责患者护理工作，包括治疗前后的准备和护理；监测患者身体状况，提供必要的心理支持和健康教育。</w:t>
      </w:r>
    </w:p>
    <w:p w14:paraId="3194AB08">
      <w:pPr>
        <w:pStyle w:val="21"/>
        <w:numPr>
          <w:ilvl w:val="0"/>
          <w:numId w:val="9"/>
        </w:numPr>
      </w:pPr>
      <w:r>
        <w:t>放疗工程师职责：负责放疗设备的维护、维修。</w:t>
      </w:r>
    </w:p>
    <w:p w14:paraId="1058CF42">
      <w:pPr>
        <w:pStyle w:val="4"/>
      </w:pPr>
      <w:bookmarkStart w:id="17" w:name="_Toc19372"/>
      <w:r>
        <w:t>5.6 人员培训要求</w:t>
      </w:r>
      <w:bookmarkEnd w:id="17"/>
    </w:p>
    <w:p w14:paraId="2D83E0F7">
      <w:pPr>
        <w:pStyle w:val="5"/>
      </w:pPr>
      <w:r>
        <w:t>5.6.1 医师培训要求</w:t>
      </w:r>
    </w:p>
    <w:p w14:paraId="6B2925F9">
      <w:pPr>
        <w:pStyle w:val="21"/>
      </w:pPr>
      <w:r>
        <w:t>包括但不限于：</w:t>
      </w:r>
    </w:p>
    <w:p w14:paraId="2FDB0ECF">
      <w:pPr>
        <w:pStyle w:val="21"/>
        <w:numPr>
          <w:ilvl w:val="0"/>
          <w:numId w:val="10"/>
        </w:numPr>
      </w:pPr>
      <w:r>
        <w:t>具有执业范围为医学影像和放射治疗专业的《医师执业证书》，且具备主治医师及以上专业技术职务任职资格；</w:t>
      </w:r>
    </w:p>
    <w:p w14:paraId="7C025AD3">
      <w:pPr>
        <w:pStyle w:val="21"/>
        <w:numPr>
          <w:ilvl w:val="0"/>
          <w:numId w:val="10"/>
        </w:numPr>
      </w:pPr>
      <w:r>
        <w:t>接受系统培训并考核合格；</w:t>
      </w:r>
    </w:p>
    <w:p w14:paraId="642303E5">
      <w:pPr>
        <w:pStyle w:val="21"/>
        <w:numPr>
          <w:ilvl w:val="0"/>
          <w:numId w:val="10"/>
        </w:numPr>
      </w:pPr>
      <w:r>
        <w:t>经省级卫生健康行政部门备案的培训基地考核合格后，可视为达到规定培训要求；</w:t>
      </w:r>
    </w:p>
    <w:p w14:paraId="63D81591">
      <w:pPr>
        <w:pStyle w:val="21"/>
        <w:numPr>
          <w:ilvl w:val="0"/>
          <w:numId w:val="10"/>
        </w:numPr>
      </w:pPr>
      <w:r>
        <w:t>从事临床工作满 15 年，具有主任医师专业技术职务任职资格，开展立体定向放射治疗技术临床应用不少于 1000 例，且未发生严重不良事件的，可免于培训。</w:t>
      </w:r>
    </w:p>
    <w:p w14:paraId="381C97FD">
      <w:pPr>
        <w:pStyle w:val="5"/>
      </w:pPr>
      <w:r>
        <w:t>5.6.2 医学物理师培训要求</w:t>
      </w:r>
    </w:p>
    <w:p w14:paraId="32FE512D">
      <w:pPr>
        <w:pStyle w:val="21"/>
      </w:pPr>
      <w:r>
        <w:t>包括但不限于：</w:t>
      </w:r>
    </w:p>
    <w:p w14:paraId="63D7099D">
      <w:pPr>
        <w:pStyle w:val="21"/>
        <w:numPr>
          <w:ilvl w:val="0"/>
          <w:numId w:val="11"/>
        </w:numPr>
      </w:pPr>
      <w:r>
        <w:t>取得《直线加速器物理师上岗证》；</w:t>
      </w:r>
    </w:p>
    <w:p w14:paraId="60E45529">
      <w:pPr>
        <w:pStyle w:val="21"/>
        <w:numPr>
          <w:ilvl w:val="0"/>
          <w:numId w:val="11"/>
        </w:numPr>
      </w:pPr>
      <w:r>
        <w:t>接受系统培训并考核合格；</w:t>
      </w:r>
    </w:p>
    <w:p w14:paraId="2007CDDC">
      <w:pPr>
        <w:pStyle w:val="21"/>
        <w:numPr>
          <w:ilvl w:val="0"/>
          <w:numId w:val="11"/>
        </w:numPr>
      </w:pPr>
      <w:r>
        <w:t>经省级卫生健康行政部门备案的培训基地考核合格后，可视为达到规定培训要求；</w:t>
      </w:r>
    </w:p>
    <w:p w14:paraId="73ACFF3D">
      <w:pPr>
        <w:pStyle w:val="21"/>
        <w:numPr>
          <w:ilvl w:val="0"/>
          <w:numId w:val="11"/>
        </w:numPr>
      </w:pPr>
      <w:r>
        <w:t>从事医学物理师工作满 5 年，具有高级专业技术职务任职资格，近 5 年独立制定立体定向放射治疗计划不少于 100 例的，可免于培训。</w:t>
      </w:r>
    </w:p>
    <w:p w14:paraId="0FB575B3">
      <w:pPr>
        <w:pStyle w:val="21"/>
      </w:pPr>
    </w:p>
    <w:p w14:paraId="2D200B57">
      <w:pPr>
        <w:pBdr>
          <w:bottom w:val="single" w:color="auto" w:sz="6" w:space="1"/>
        </w:pBdr>
      </w:pPr>
    </w:p>
    <w:p w14:paraId="67C1D9F3">
      <w:pPr>
        <w:pStyle w:val="3"/>
      </w:pPr>
      <w:bookmarkStart w:id="18" w:name="_Toc7287"/>
      <w:r>
        <w:t>6 适应症及禁忌症</w:t>
      </w:r>
      <w:bookmarkEnd w:id="18"/>
    </w:p>
    <w:p w14:paraId="2A5D2281">
      <w:pPr>
        <w:pStyle w:val="4"/>
      </w:pPr>
      <w:bookmarkStart w:id="19" w:name="_Toc13724"/>
      <w:r>
        <w:t>6.1 适应症</w:t>
      </w:r>
      <w:bookmarkEnd w:id="19"/>
    </w:p>
    <w:p w14:paraId="1D29FD7C">
      <w:pPr>
        <w:pStyle w:val="21"/>
      </w:pPr>
      <w:r>
        <w:t>表 2 NSCLC SBRT 适应证推荐级别</w:t>
      </w:r>
    </w:p>
    <w:p w14:paraId="561572E1">
      <w:pPr>
        <w:pStyle w:val="21"/>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59DA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206788">
            <w:pPr>
              <w:pStyle w:val="21"/>
            </w:pPr>
            <w:r>
              <w:t>期别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65D75D">
            <w:pPr>
              <w:pStyle w:val="21"/>
            </w:pPr>
            <w:r>
              <w:t>适应证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A66452">
            <w:pPr>
              <w:pStyle w:val="21"/>
            </w:pPr>
            <w:r>
              <w:t>推荐级别</w:t>
            </w:r>
          </w:p>
        </w:tc>
      </w:tr>
      <w:tr w14:paraId="742C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6CB77F">
            <w:pPr>
              <w:pStyle w:val="21"/>
            </w:pPr>
            <w:r>
              <w:t>早期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75CAD0">
            <w:pPr>
              <w:pStyle w:val="21"/>
            </w:pPr>
            <w:r>
              <w:t>不可手术的早期非小细胞肺癌患者，包括高龄、严重的内科疾病等；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58F7C0">
            <w:pPr>
              <w:pStyle w:val="21"/>
            </w:pPr>
            <w:r>
              <w:t>1 类证据</w:t>
            </w:r>
          </w:p>
        </w:tc>
      </w:tr>
      <w:tr w14:paraId="3407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45FFE0">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189AF9">
            <w:pPr>
              <w:pStyle w:val="21"/>
            </w:pPr>
            <w:r>
              <w:t>可手术但拒绝手术的早期 NSCLC 患者；</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B3DE57">
            <w:pPr>
              <w:pStyle w:val="21"/>
            </w:pPr>
            <w:r>
              <w:t>1 类证据</w:t>
            </w:r>
          </w:p>
        </w:tc>
      </w:tr>
      <w:tr w14:paraId="77B2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29D1C4">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735088">
            <w:pPr>
              <w:pStyle w:val="21"/>
            </w:pPr>
            <w:r>
              <w:t>明确的影像学诊断病灶在长期随访 (&gt;2 年) 过程中进行性增大，或磨玻璃影的密度增高、比例增大，或伴有血管穿行及边缘毛刺样改变等恶性特征；至少两种影像检查 (如胸部增强 + 1~3mm 薄层 CT 和全身 PET/CT) 提示恶性；经肺癌多学科会诊 MDT 讨论确定；患者及家属充分知情同意（以上三条均符合）；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CA81BD">
            <w:pPr>
              <w:pStyle w:val="21"/>
            </w:pPr>
            <w:r>
              <w:t>2A 类证据</w:t>
            </w:r>
          </w:p>
        </w:tc>
      </w:tr>
      <w:tr w14:paraId="77F2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C24DC8">
            <w:pPr>
              <w:pStyle w:val="21"/>
            </w:pPr>
            <w:r>
              <w:t>中晚期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5FFD90">
            <w:pPr>
              <w:pStyle w:val="21"/>
            </w:pPr>
            <w:r>
              <w:t>T3 直接侵犯壁层胸膜、胸壁（包括肺上沟瘤）、膈神经或壁层心包且肿瘤最大径≤5cm，无区域淋巴结及远处转移证据；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CBB1CD">
            <w:pPr>
              <w:pStyle w:val="21"/>
            </w:pPr>
            <w:r>
              <w:t>2A 类证据</w:t>
            </w:r>
          </w:p>
        </w:tc>
      </w:tr>
      <w:tr w14:paraId="6F95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966CDD">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4E3117">
            <w:pPr>
              <w:pStyle w:val="21"/>
            </w:pPr>
            <w:r>
              <w:t>术后局部复发病灶、放疗后残留病灶；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83CAC7">
            <w:pPr>
              <w:pStyle w:val="21"/>
            </w:pPr>
            <w:r>
              <w:t>2B 类证据</w:t>
            </w:r>
          </w:p>
        </w:tc>
      </w:tr>
      <w:tr w14:paraId="60A2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77F085">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607E79">
            <w:pPr>
              <w:pStyle w:val="21"/>
            </w:pPr>
            <w:r>
              <w:t>多原发肺癌需保留肺功能者；</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A7C371">
            <w:pPr>
              <w:pStyle w:val="21"/>
            </w:pPr>
            <w:r>
              <w:t>2A 类证据</w:t>
            </w:r>
          </w:p>
        </w:tc>
      </w:tr>
      <w:tr w14:paraId="6A3B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3B3CCA">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DBFCB0">
            <w:pPr>
              <w:pStyle w:val="21"/>
            </w:pPr>
            <w:r>
              <w:t>寡转移灶，如骨、脑、肺、肝等转移瘤的局部治疗；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3B2E78">
            <w:pPr>
              <w:pStyle w:val="21"/>
            </w:pPr>
            <w:r>
              <w:t>骨转移 2A 类证据肝 / 脑转移 2A 类证据</w:t>
            </w:r>
          </w:p>
        </w:tc>
      </w:tr>
    </w:tbl>
    <w:p w14:paraId="24D9E3A1">
      <w:pPr>
        <w:pStyle w:val="21"/>
      </w:pPr>
      <w:r>
        <w:t>具体适应症包括：</w:t>
      </w:r>
    </w:p>
    <w:p w14:paraId="0F0B0329">
      <w:pPr>
        <w:pStyle w:val="21"/>
        <w:numPr>
          <w:ilvl w:val="0"/>
          <w:numId w:val="12"/>
        </w:numPr>
      </w:pPr>
      <w:r>
        <w:t>不可手术的早期非小细胞肺癌患者，包括高龄、严重的内科疾病等 [7]；</w:t>
      </w:r>
    </w:p>
    <w:p w14:paraId="03C641F6">
      <w:pPr>
        <w:pStyle w:val="21"/>
        <w:numPr>
          <w:ilvl w:val="0"/>
          <w:numId w:val="12"/>
        </w:numPr>
      </w:pPr>
      <w:r>
        <w:t>可手术但拒绝手术的早期 NSCLC 患者 [8，11]；</w:t>
      </w:r>
    </w:p>
    <w:p w14:paraId="40753444">
      <w:pPr>
        <w:pStyle w:val="21"/>
        <w:numPr>
          <w:ilvl w:val="0"/>
          <w:numId w:val="12"/>
        </w:numPr>
      </w:pPr>
      <w:r>
        <w:t>T3 直接侵犯壁层胸膜、胸壁（包括肺上沟瘤）、膈神经或壁层心包且肿瘤最大径≤5cm，无区域淋巴结及远处转移证据；</w:t>
      </w:r>
    </w:p>
    <w:p w14:paraId="38DB401B">
      <w:pPr>
        <w:pStyle w:val="21"/>
        <w:numPr>
          <w:ilvl w:val="0"/>
          <w:numId w:val="12"/>
        </w:numPr>
      </w:pPr>
      <w:r>
        <w:t>术后局部复发病灶、放疗后残留病灶；</w:t>
      </w:r>
    </w:p>
    <w:p w14:paraId="65CCA3DB">
      <w:pPr>
        <w:pStyle w:val="21"/>
        <w:numPr>
          <w:ilvl w:val="0"/>
          <w:numId w:val="12"/>
        </w:numPr>
      </w:pPr>
      <w:r>
        <w:t>明确的影像学诊断病灶（需同时满足：长期随访 (&gt;2 年) 过程中进行性增大，或磨玻璃影的密度增高、比例增大，或伴有血管穿行及边缘毛刺样改变等恶性特征；至少两种影像检查提示恶性；经肺癌多学科会诊 MDT 讨论确定；患者及家属充分知情同意）；</w:t>
      </w:r>
    </w:p>
    <w:p w14:paraId="13F8A96B">
      <w:pPr>
        <w:pStyle w:val="21"/>
        <w:numPr>
          <w:ilvl w:val="0"/>
          <w:numId w:val="12"/>
        </w:numPr>
      </w:pPr>
      <w:r>
        <w:t>多原发肺癌需保留肺功能者；</w:t>
      </w:r>
    </w:p>
    <w:p w14:paraId="0DDC3E8B">
      <w:pPr>
        <w:pStyle w:val="21"/>
        <w:numPr>
          <w:ilvl w:val="0"/>
          <w:numId w:val="12"/>
        </w:numPr>
      </w:pPr>
      <w:r>
        <w:t>寡转移灶，如骨、脑、肺、肝等转移瘤的局部治疗；</w:t>
      </w:r>
    </w:p>
    <w:p w14:paraId="31AF13F1">
      <w:pPr>
        <w:pStyle w:val="21"/>
        <w:numPr>
          <w:ilvl w:val="0"/>
          <w:numId w:val="12"/>
        </w:numPr>
      </w:pPr>
      <w:r>
        <w:t>胸部其它肿瘤，如胸腺瘤、复发性乳腺癌、纵隔肿瘤、心脏肉瘤、肺转移癌等。</w:t>
      </w:r>
    </w:p>
    <w:p w14:paraId="51887983">
      <w:pPr>
        <w:pStyle w:val="4"/>
      </w:pPr>
      <w:bookmarkStart w:id="20" w:name="_Toc18447"/>
      <w:r>
        <w:t>6.2 禁忌症</w:t>
      </w:r>
      <w:bookmarkEnd w:id="20"/>
    </w:p>
    <w:p w14:paraId="3BA152FD">
      <w:pPr>
        <w:pStyle w:val="21"/>
        <w:numPr>
          <w:ilvl w:val="0"/>
          <w:numId w:val="13"/>
        </w:numPr>
      </w:pPr>
      <w:r>
        <w:t>肿瘤侵犯或紧邻关键危及器官（OARs）且无法满足剂量限制；</w:t>
      </w:r>
    </w:p>
    <w:p w14:paraId="420E786B">
      <w:pPr>
        <w:pStyle w:val="21"/>
        <w:numPr>
          <w:ilvl w:val="0"/>
          <w:numId w:val="13"/>
        </w:numPr>
      </w:pPr>
      <w:r>
        <w:t>肿瘤侵犯脏层胸膜伴恶性胸腔积液或心包积液；</w:t>
      </w:r>
    </w:p>
    <w:p w14:paraId="26043C23">
      <w:pPr>
        <w:pStyle w:val="21"/>
        <w:numPr>
          <w:ilvl w:val="0"/>
          <w:numId w:val="13"/>
        </w:numPr>
      </w:pPr>
      <w:r>
        <w:t>活动性结缔组织病或纤维化疾病；</w:t>
      </w:r>
    </w:p>
    <w:p w14:paraId="75C34806">
      <w:pPr>
        <w:pStyle w:val="21"/>
        <w:numPr>
          <w:ilvl w:val="0"/>
          <w:numId w:val="13"/>
        </w:numPr>
      </w:pPr>
      <w:r>
        <w:t>肺功能严重受损；</w:t>
      </w:r>
    </w:p>
    <w:p w14:paraId="4FF11F70">
      <w:pPr>
        <w:pStyle w:val="21"/>
        <w:numPr>
          <w:ilvl w:val="0"/>
          <w:numId w:val="13"/>
        </w:numPr>
      </w:pPr>
      <w:r>
        <w:t>无法耐受固定或配合呼吸控制者；</w:t>
      </w:r>
    </w:p>
    <w:p w14:paraId="197920E0">
      <w:pPr>
        <w:pStyle w:val="21"/>
        <w:numPr>
          <w:ilvl w:val="0"/>
          <w:numId w:val="13"/>
        </w:numPr>
      </w:pPr>
      <w:r>
        <w:t>食道癌是串联型器官，晚期损伤风险极大，原则上不推荐做大分割立体定向放疗。</w:t>
      </w:r>
    </w:p>
    <w:p w14:paraId="682F05DC">
      <w:pPr>
        <w:pStyle w:val="21"/>
      </w:pPr>
    </w:p>
    <w:p w14:paraId="486C953F">
      <w:pPr>
        <w:pBdr>
          <w:bottom w:val="single" w:color="auto" w:sz="6" w:space="1"/>
        </w:pBdr>
      </w:pPr>
    </w:p>
    <w:p w14:paraId="7BCCDB2B">
      <w:pPr>
        <w:pStyle w:val="3"/>
      </w:pPr>
      <w:bookmarkStart w:id="21" w:name="_Toc13766"/>
      <w:r>
        <w:t>7 治疗技术</w:t>
      </w:r>
      <w:bookmarkEnd w:id="21"/>
    </w:p>
    <w:p w14:paraId="62284774">
      <w:pPr>
        <w:pStyle w:val="4"/>
      </w:pPr>
      <w:bookmarkStart w:id="22" w:name="_Toc353"/>
      <w:r>
        <w:t>7.1 放疗方式选择</w:t>
      </w:r>
      <w:bookmarkEnd w:id="22"/>
    </w:p>
    <w:p w14:paraId="665D4107">
      <w:pPr>
        <w:pStyle w:val="21"/>
      </w:pPr>
      <w:r>
        <w:t>可选择赛博刀（Cyber knife）、直线加速器容积旋转调强放疗（VMAT）、适形调强放疗（IMRT）等方式进行肺部 SBRT 治疗。建议使用直线加速器的非均整（FFF）模式，以缩短治疗时间，降低患者内部器官运动导致的误差风险 [14]。</w:t>
      </w:r>
    </w:p>
    <w:p w14:paraId="2CB667A0">
      <w:pPr>
        <w:pStyle w:val="4"/>
      </w:pPr>
      <w:bookmarkStart w:id="23" w:name="_Toc5249"/>
      <w:r>
        <w:t>7.2 图像引导技术</w:t>
      </w:r>
      <w:bookmarkEnd w:id="23"/>
    </w:p>
    <w:p w14:paraId="1C47A8CB">
      <w:pPr>
        <w:pStyle w:val="21"/>
      </w:pPr>
      <w:r>
        <w:t>所有 SBRT 治疗必须采用图像引导技术（IGRT）进行在线成像和位置实时评估，确保靶区定位误差≤3mm（外周型）或≤2mm（中央型）[15]。常用位置评估方法有锥形束 CT（CBCT）、4D-CBCT、兆伏级 CT（MVCT）、电磁引导等。</w:t>
      </w:r>
    </w:p>
    <w:p w14:paraId="310B4190">
      <w:pPr>
        <w:pStyle w:val="4"/>
      </w:pPr>
      <w:bookmarkStart w:id="24" w:name="_Toc7354"/>
      <w:r>
        <w:t>7.3 呼吸运动管理技术</w:t>
      </w:r>
      <w:bookmarkEnd w:id="24"/>
    </w:p>
    <w:p w14:paraId="4675E3F5">
      <w:pPr>
        <w:pStyle w:val="21"/>
      </w:pPr>
      <w:r>
        <w:t>肺癌及胸部肿瘤的立体定向体部放疗（SBRT/SABR）对呼吸运动管理要求极高 [9]。呼吸训练是减少肿瘤移动、提高治疗精准度、优化患者舒适度和依从性的有效手段。呼吸模式选择需结合肿瘤位置、患者呼吸功能、设备技术等因素综合考虑，常用技术分为以下四类 [10]：</w:t>
      </w:r>
    </w:p>
    <w:p w14:paraId="1313743D">
      <w:pPr>
        <w:pStyle w:val="5"/>
      </w:pPr>
      <w:r>
        <w:t>7.3.1 呼吸门控技术（Respiratory Gating）</w:t>
      </w:r>
    </w:p>
    <w:p w14:paraId="3DC1410F">
      <w:pPr>
        <w:pStyle w:val="21"/>
        <w:numPr>
          <w:ilvl w:val="0"/>
          <w:numId w:val="14"/>
        </w:numPr>
      </w:pPr>
      <w:r>
        <w:t>基于时相的呼吸门控：通过体表标记（如红外反射挡块）监测呼吸周期，仅在特定时相（如呼气末）触发照射。根据患者呼吸模式制定个性化策略，利用 4D CT 扫描技术评估呼吸模式和肿瘤位置变化。通过分析呼吸波形、4D CT 播放观察、勾画的不同时相靶区质心位置变化等，筛选呼吸相对稳定的时相（一般基于 30%、40%、50%、60% 时相），建议将肿瘤残余运动在各方向控制在 5mm 内。</w:t>
      </w:r>
    </w:p>
    <w:p w14:paraId="796F1704">
      <w:pPr>
        <w:pStyle w:val="21"/>
        <w:numPr>
          <w:ilvl w:val="0"/>
          <w:numId w:val="14"/>
        </w:numPr>
      </w:pPr>
      <w:r>
        <w:t>基于位移幅度呼吸门控：通过体表标记（如红外反射挡块）监测呼吸曲线，仅在特定位移幅度区域（如呼气末 / 吸气末）触发照射。</w:t>
      </w:r>
    </w:p>
    <w:p w14:paraId="62D896AD">
      <w:pPr>
        <w:pStyle w:val="5"/>
      </w:pPr>
      <w:r>
        <w:t>7.3.2 自主屏气技术</w:t>
      </w:r>
    </w:p>
    <w:p w14:paraId="6D7333F8">
      <w:pPr>
        <w:pStyle w:val="21"/>
        <w:numPr>
          <w:ilvl w:val="0"/>
          <w:numId w:val="15"/>
        </w:numPr>
      </w:pPr>
      <w:r>
        <w:t>深吸气屏气（DIBH）：患者深吸气后屏气，固定肺部位置以减少肿瘤移动。训练患者在 CT 模拟定位时进行深吸气屏气（通常需屏住 25 秒以上），观察呼吸曲线幅度位置，将该幅度位置 ±1.5mm 设置为 RGSC/RPM 系统幅度控制阈值，控制患者在阈值内完成 CT 扫描并记录呼吸曲线，治疗时利用直线加速器门控系统限制患者在该幅度阈值内完成治疗。</w:t>
      </w:r>
    </w:p>
    <w:p w14:paraId="654D7AA0">
      <w:pPr>
        <w:pStyle w:val="21"/>
        <w:numPr>
          <w:ilvl w:val="0"/>
          <w:numId w:val="15"/>
        </w:numPr>
      </w:pPr>
      <w:r>
        <w:t>主动呼吸协调器（ABC）：通过阀门控制患者吸气后屏气，固定肺部位置，适合配合度高的患者，通常不能自动控制直线加速器出束治疗。</w:t>
      </w:r>
    </w:p>
    <w:p w14:paraId="60271284">
      <w:pPr>
        <w:pStyle w:val="21"/>
        <w:numPr>
          <w:ilvl w:val="0"/>
          <w:numId w:val="15"/>
        </w:numPr>
      </w:pPr>
      <w:r>
        <w:t>光学体表屏气治疗：利用光学体表技术追踪患者体表轮廓，设置深吸气屏气时的体表轮廓为参考轮廓，治疗时患者深吸气屏气，通过光学体表装置摄像头捕捉体表轮廓并与参考轮廓配准。</w:t>
      </w:r>
    </w:p>
    <w:p w14:paraId="51079166">
      <w:pPr>
        <w:pStyle w:val="5"/>
      </w:pPr>
      <w:r>
        <w:t>7.3.3 物理限制技术</w:t>
      </w:r>
    </w:p>
    <w:p w14:paraId="6C34BE0E">
      <w:pPr>
        <w:pStyle w:val="21"/>
      </w:pPr>
      <w:r>
        <w:t>腹部加压（Abdominal Compression）：通过腹带或腹压板限制膈肌运动，减少肺叶移动幅度，适用于肺下叶肿瘤。</w:t>
      </w:r>
    </w:p>
    <w:p w14:paraId="09495B6B">
      <w:pPr>
        <w:pStyle w:val="5"/>
      </w:pPr>
      <w:r>
        <w:t>7.3.4 实时追踪技术（Real-time Tumor Tracking）</w:t>
      </w:r>
    </w:p>
    <w:p w14:paraId="4752E4E1">
      <w:pPr>
        <w:pStyle w:val="21"/>
      </w:pPr>
      <w:r>
        <w:t>X 线影像引导（如 CyberKnife）：通过正交 X 线或 CT 实时成像追踪肿瘤（或植入标记）进行治疗。</w:t>
      </w:r>
    </w:p>
    <w:p w14:paraId="2F1FBB74">
      <w:pPr>
        <w:pStyle w:val="5"/>
      </w:pPr>
      <w:r>
        <w:t>7.3.5 4D-CT</w:t>
      </w:r>
    </w:p>
    <w:p w14:paraId="34A88A88">
      <w:pPr>
        <w:pStyle w:val="21"/>
      </w:pPr>
      <w:r>
        <w:t>对于呼吸不规律、呼吸功能较差或肿瘤随呼吸运动变化较小的患者，可利用 4D-CT 扫描技术，将肿瘤在各个时相的运动轨迹全部纳入照射范围，避免漏靶，同时避免不必要的靶区随机外扩。</w:t>
      </w:r>
    </w:p>
    <w:p w14:paraId="5C1CFF9B">
      <w:pPr>
        <w:pStyle w:val="21"/>
      </w:pPr>
    </w:p>
    <w:p w14:paraId="26678FCF">
      <w:pPr>
        <w:pBdr>
          <w:bottom w:val="single" w:color="auto" w:sz="6" w:space="1"/>
        </w:pBdr>
      </w:pPr>
    </w:p>
    <w:p w14:paraId="6545AAA9">
      <w:pPr>
        <w:pStyle w:val="3"/>
      </w:pPr>
      <w:bookmarkStart w:id="25" w:name="_Toc5363"/>
      <w:r>
        <w:t>8 治疗流程</w:t>
      </w:r>
      <w:bookmarkEnd w:id="25"/>
    </w:p>
    <w:p w14:paraId="79D8F1D9">
      <w:pPr>
        <w:pStyle w:val="4"/>
      </w:pPr>
      <w:bookmarkStart w:id="26" w:name="_Toc14478"/>
      <w:r>
        <w:t>8.1 体位固定</w:t>
      </w:r>
      <w:bookmarkEnd w:id="26"/>
    </w:p>
    <w:p w14:paraId="46583D31">
      <w:pPr>
        <w:pStyle w:val="21"/>
      </w:pPr>
      <w:r>
        <w:t>采用双手上举姿势，头颈部使用个性化枕垫固定，膝关节处放置支撑垫以减少体位移动。患者需使用真空负压袋或体膜进行严格固定，每次固定后需评估其重复性。</w:t>
      </w:r>
    </w:p>
    <w:p w14:paraId="6B75214F">
      <w:pPr>
        <w:pStyle w:val="4"/>
      </w:pPr>
      <w:bookmarkStart w:id="27" w:name="_Toc11288"/>
      <w:r>
        <w:t>8.2 模具固定</w:t>
      </w:r>
      <w:bookmarkEnd w:id="27"/>
    </w:p>
    <w:p w14:paraId="187AE86B">
      <w:pPr>
        <w:pStyle w:val="21"/>
      </w:pPr>
      <w:r>
        <w:t>建议采用真空垫联合热塑体膜联合固定。</w:t>
      </w:r>
    </w:p>
    <w:p w14:paraId="752A9634">
      <w:pPr>
        <w:pStyle w:val="4"/>
      </w:pPr>
      <w:bookmarkStart w:id="28" w:name="_Toc27864"/>
      <w:r>
        <w:t>8.3 体位</w:t>
      </w:r>
      <w:bookmarkEnd w:id="28"/>
    </w:p>
    <w:p w14:paraId="7F41D83F">
      <w:pPr>
        <w:pStyle w:val="21"/>
      </w:pPr>
      <w:r>
        <w:t>同 8.1 体位固定要求。</w:t>
      </w:r>
    </w:p>
    <w:p w14:paraId="54B8D19A">
      <w:pPr>
        <w:pStyle w:val="4"/>
      </w:pPr>
      <w:bookmarkStart w:id="29" w:name="_Toc29995"/>
      <w:r>
        <w:t>8.4 模拟定位</w:t>
      </w:r>
      <w:bookmarkEnd w:id="29"/>
    </w:p>
    <w:p w14:paraId="68A64600">
      <w:pPr>
        <w:pStyle w:val="21"/>
      </w:pPr>
      <w:r>
        <w:t>常规采用 CT 扫描，推荐扫描范围为环状软骨上缘至腰 2 椎体上缘，至少超过靶区上下界 10cm 以上，层厚一般≤3mm，扫描范围必须覆盖所有可能的危及器官（OAR）。强烈推荐 4D-CT，采用 1-3mm 层厚扫描，扫描时间覆盖≥2 个完整呼吸周期，同步记录呼吸信号曲线。</w:t>
      </w:r>
    </w:p>
    <w:p w14:paraId="14C7319B">
      <w:pPr>
        <w:pStyle w:val="4"/>
      </w:pPr>
      <w:bookmarkStart w:id="30" w:name="_Toc26221"/>
      <w:r>
        <w:t>8.5 靶区勾画、剂量分割等专项要求</w:t>
      </w:r>
      <w:bookmarkEnd w:id="30"/>
    </w:p>
    <w:p w14:paraId="7556125D">
      <w:pPr>
        <w:pStyle w:val="21"/>
      </w:pPr>
      <w:r>
        <w:t>靶区勾画、剂量分割、剂量限制、呼吸运动管控、计划设计、质量控制等内容单独在第 9 章、第 10 章详细描述。</w:t>
      </w:r>
    </w:p>
    <w:p w14:paraId="29222B6C">
      <w:pPr>
        <w:pStyle w:val="21"/>
      </w:pPr>
    </w:p>
    <w:p w14:paraId="2BAF80BB">
      <w:pPr>
        <w:pBdr>
          <w:bottom w:val="single" w:color="auto" w:sz="6" w:space="1"/>
        </w:pBdr>
      </w:pPr>
    </w:p>
    <w:p w14:paraId="527CD4F9">
      <w:pPr>
        <w:pStyle w:val="3"/>
      </w:pPr>
      <w:bookmarkStart w:id="31" w:name="_Toc30246"/>
      <w:r>
        <w:t>9 靶区勾画及剂量分割</w:t>
      </w:r>
      <w:bookmarkEnd w:id="31"/>
    </w:p>
    <w:p w14:paraId="7870DDBD">
      <w:pPr>
        <w:pStyle w:val="4"/>
      </w:pPr>
      <w:bookmarkStart w:id="32" w:name="_Toc21997"/>
      <w:r>
        <w:t>9.1 肿瘤靶区勾画</w:t>
      </w:r>
      <w:bookmarkEnd w:id="32"/>
    </w:p>
    <w:p w14:paraId="3B0138C8">
      <w:pPr>
        <w:pStyle w:val="21"/>
      </w:pPr>
      <w:r>
        <w:t>大体肿瘤靶体积（GTV）定义为肺部影像学可见的肿瘤，需利用所有分期检查（包括 PET-CT）信息，在肺窗（窗宽 800～1600HU、窗位 - 600～-750HU）进行勾画（PET-CT 需在计划扫描的 4 周内获得）。邻近纵隔的病变需在 CT 纵隔窗图像（窗宽 350~400HU、窗位 20~40HU）仔细观察对纵隔及周围器官的侵犯情况并修改靶区。</w:t>
      </w:r>
    </w:p>
    <w:p w14:paraId="3696C1DE">
      <w:pPr>
        <w:pStyle w:val="21"/>
      </w:pPr>
      <w:r>
        <w:t>肿瘤靶区应包括原发灶周围短毛刺根部和胸膜侵犯区域。若 MIP 上可清晰生成并判断靶区范围，可先在 MIP 上勾画 ITV，再将其投影于生成该 MIP 的各个时相 CT 上，确认 ITV 能包含这些相位 CT 上显示的靶区范围 [11,12]；若 MIP 上无法清晰生成或判断靶区范围，可先分别勾画所选定时相 CT 上的 GTV 范围，再在 MIP 上合并成 ITV。确定 ITV 后转移至 AVG 图像，在 ITV 基础上外放 5mm 生成 PTV。</w:t>
      </w:r>
    </w:p>
    <w:p w14:paraId="3E428B3A">
      <w:pPr>
        <w:pStyle w:val="4"/>
      </w:pPr>
      <w:bookmarkStart w:id="33" w:name="_Toc7541"/>
      <w:r>
        <w:t>9.2 正常组织勾画</w:t>
      </w:r>
      <w:bookmarkEnd w:id="33"/>
    </w:p>
    <w:p w14:paraId="3CC51695">
      <w:pPr>
        <w:pStyle w:val="21"/>
      </w:pPr>
      <w:r>
        <w:t>在 AVG 图像上进行正常组织勾画，具体包括：</w:t>
      </w:r>
    </w:p>
    <w:p w14:paraId="0541ED60">
      <w:pPr>
        <w:pStyle w:val="21"/>
        <w:numPr>
          <w:ilvl w:val="0"/>
          <w:numId w:val="16"/>
        </w:numPr>
      </w:pPr>
      <w:r>
        <w:t>脊髓：按脊髓腔的骨性界限勾画，从环状软骨下开始（肺尖肿瘤从颅底开始）至 L2 下缘，逐层勾画，不包括神经孔；</w:t>
      </w:r>
    </w:p>
    <w:p w14:paraId="68FB46C0">
      <w:pPr>
        <w:pStyle w:val="21"/>
        <w:numPr>
          <w:ilvl w:val="0"/>
          <w:numId w:val="16"/>
        </w:numPr>
      </w:pPr>
      <w:r>
        <w:t>双肺：在肺窗勾画，包含所有炎症、纤维化和不张的肺组织，伸展到肺门区外的直径小于 1cm 的小血管也需包括；肺内 GTV、肺门和气管 / 主支气管不纳入全肺结构；</w:t>
      </w:r>
    </w:p>
    <w:p w14:paraId="7282B1FE">
      <w:pPr>
        <w:pStyle w:val="21"/>
        <w:numPr>
          <w:ilvl w:val="0"/>
          <w:numId w:val="16"/>
        </w:numPr>
      </w:pPr>
      <w:r>
        <w:t>心脏：沿着心包囊勾画，上方从肺动脉经过中线层面开始，向下延伸至心尖部；</w:t>
      </w:r>
    </w:p>
    <w:p w14:paraId="20ABFE46">
      <w:pPr>
        <w:pStyle w:val="21"/>
        <w:numPr>
          <w:ilvl w:val="0"/>
          <w:numId w:val="16"/>
        </w:numPr>
      </w:pPr>
      <w:r>
        <w:t>食管：从环状软骨下的起始部开始勾画至食管胃连接部；</w:t>
      </w:r>
    </w:p>
    <w:p w14:paraId="258B58D0">
      <w:pPr>
        <w:pStyle w:val="21"/>
        <w:numPr>
          <w:ilvl w:val="0"/>
          <w:numId w:val="16"/>
        </w:numPr>
      </w:pPr>
      <w:r>
        <w:t>臂丛神经：仅上叶肿瘤患者需勾画，且仅勾画同侧臂丛神经，包括从 C4/5（C5 神经根）到 T1/2（T1 神经根）通过神经孔的脊神经；</w:t>
      </w:r>
    </w:p>
    <w:p w14:paraId="2A95ECA8">
      <w:pPr>
        <w:pStyle w:val="21"/>
        <w:numPr>
          <w:ilvl w:val="0"/>
          <w:numId w:val="16"/>
        </w:numPr>
      </w:pPr>
      <w:r>
        <w:t>气管与主支气管：包括气管远端 2cm、隆突、双侧主支气管、双侧肺上叶支气管、中间支气管、右中叶支气管、舌段支气管和双侧下叶支气管，叶支气管勾画至段支气管分叉出现为止；</w:t>
      </w:r>
    </w:p>
    <w:p w14:paraId="34F57116">
      <w:pPr>
        <w:pStyle w:val="21"/>
        <w:numPr>
          <w:ilvl w:val="0"/>
          <w:numId w:val="16"/>
        </w:numPr>
      </w:pPr>
      <w:r>
        <w:t>肋骨 / 胸壁：胸壁可通过同侧肺在外侧、后侧及前方各自动外扩 2cm 生成，前内侧至胸骨边缘终止，后内侧至椎体并包括脊神经根出现部位；胸壁 2cm 范围包括肋间肌、神经，不包括椎体、胸骨和皮肤；也可限制肋轮廓至 PTV 外 3cm 范围内的相关组织；</w:t>
      </w:r>
    </w:p>
    <w:p w14:paraId="26AE0021">
      <w:pPr>
        <w:pStyle w:val="21"/>
        <w:numPr>
          <w:ilvl w:val="0"/>
          <w:numId w:val="16"/>
        </w:numPr>
      </w:pPr>
      <w:r>
        <w:t>大血管（主动脉、肺动脉和腔静脉）：在纵隔窗逐层勾画，包括血管壁、肌层及脂肪外膜（增强的血管壁外扩 5mm），勾画范围需覆盖 PTV 上下 3cm。</w:t>
      </w:r>
    </w:p>
    <w:p w14:paraId="00211F6B">
      <w:pPr>
        <w:pStyle w:val="4"/>
      </w:pPr>
      <w:bookmarkStart w:id="34" w:name="_Toc5943"/>
      <w:r>
        <w:t>9.3 靶区剂量要求</w:t>
      </w:r>
      <w:bookmarkEnd w:id="34"/>
    </w:p>
    <w:p w14:paraId="3D8F527C">
      <w:pPr>
        <w:pStyle w:val="21"/>
        <w:numPr>
          <w:ilvl w:val="0"/>
          <w:numId w:val="17"/>
        </w:numPr>
      </w:pPr>
      <w:r>
        <w:t>热点剂量在 111%～167% 处方剂量之间（处方剂量归一至 60%～90%），且仅允许出现在 ITV 内；</w:t>
      </w:r>
    </w:p>
    <w:p w14:paraId="43D924CF">
      <w:pPr>
        <w:pStyle w:val="21"/>
        <w:numPr>
          <w:ilvl w:val="0"/>
          <w:numId w:val="17"/>
        </w:numPr>
      </w:pPr>
      <w:r>
        <w:t>100% 的处方剂量必须包绕 95% 及以上的 PTV 体积；</w:t>
      </w:r>
    </w:p>
    <w:p w14:paraId="680E35D3">
      <w:pPr>
        <w:pStyle w:val="21"/>
        <w:numPr>
          <w:ilvl w:val="0"/>
          <w:numId w:val="17"/>
        </w:numPr>
      </w:pPr>
      <w:r>
        <w:t>90% 的处方剂量必须包绕 99% 及以上的 PTV 体积；</w:t>
      </w:r>
    </w:p>
    <w:p w14:paraId="768F33B9">
      <w:pPr>
        <w:pStyle w:val="21"/>
        <w:numPr>
          <w:ilvl w:val="0"/>
          <w:numId w:val="17"/>
        </w:numPr>
      </w:pPr>
      <w:r>
        <w:t>100% 的处方剂量应包绕 99% 及以上的 ITV 体积；</w:t>
      </w:r>
    </w:p>
    <w:p w14:paraId="263AFAC0">
      <w:pPr>
        <w:pStyle w:val="21"/>
        <w:numPr>
          <w:ilvl w:val="0"/>
          <w:numId w:val="17"/>
        </w:numPr>
      </w:pPr>
      <w:r>
        <w:t>大于 105% 的处方等剂量线须在 PTV 内，不得出现在 PTV 外的任何正常组织上；处方等剂量体积与 PTV 的比值建议＜1.2（肿瘤 GTV 直径小于 1.5cm 的小靶区除外）。</w:t>
      </w:r>
    </w:p>
    <w:p w14:paraId="381E2B3D">
      <w:pPr>
        <w:pStyle w:val="4"/>
      </w:pPr>
      <w:bookmarkStart w:id="35" w:name="_Toc27155"/>
      <w:r>
        <w:t>9.4 剂量分割建议</w:t>
      </w:r>
      <w:bookmarkEnd w:id="35"/>
    </w:p>
    <w:p w14:paraId="05ABB7AF">
      <w:pPr>
        <w:pStyle w:val="21"/>
      </w:pPr>
      <w:r>
        <w:t>表 3 剂量分割建议</w:t>
      </w:r>
    </w:p>
    <w:p w14:paraId="24C12381">
      <w:pPr>
        <w:pStyle w:val="21"/>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02EE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BF706D">
            <w:pPr>
              <w:pStyle w:val="21"/>
            </w:pPr>
            <w:r>
              <w:t>期别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D638E4">
            <w:pPr>
              <w:pStyle w:val="21"/>
            </w:pPr>
            <w:r>
              <w:t>剂量分割建议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7D29C7">
            <w:pPr>
              <w:pStyle w:val="21"/>
            </w:pPr>
            <w:r>
              <w:t>推荐级别</w:t>
            </w:r>
          </w:p>
        </w:tc>
      </w:tr>
      <w:tr w14:paraId="26CB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389BDA">
            <w:pPr>
              <w:pStyle w:val="21"/>
            </w:pPr>
            <w:r>
              <w:t>早期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FD251C">
            <w:pPr>
              <w:pStyle w:val="21"/>
            </w:pPr>
            <w:r>
              <w:t>外周型肿瘤（距支气管树≥2cm）：54Gy/3 次（BED=151Gy）、50Gy/4 次（BED=112.5Gy）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577374">
            <w:pPr>
              <w:pStyle w:val="21"/>
            </w:pPr>
            <w:r>
              <w:t>1 类证据</w:t>
            </w:r>
          </w:p>
        </w:tc>
      </w:tr>
      <w:tr w14:paraId="7A28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EB6233">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432393">
            <w:pPr>
              <w:pStyle w:val="21"/>
            </w:pPr>
            <w:r>
              <w:t>中央型肿瘤（距支气管树 &lt; 2cm）：60Gy/8 次（BED=105Gy）、50Gy/5 次（BED=100Gy）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615CBF">
            <w:pPr>
              <w:pStyle w:val="21"/>
            </w:pPr>
            <w:r>
              <w:t>1 类证据</w:t>
            </w:r>
          </w:p>
        </w:tc>
      </w:tr>
      <w:tr w14:paraId="0E81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AB2299">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82E8B8">
            <w:pPr>
              <w:pStyle w:val="21"/>
            </w:pPr>
            <w:r>
              <w:t>超中央型肿瘤（紧贴气管 / 食管）：48Gy/4 次或 60Gy/8 次（更保守）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6CC6DB">
            <w:pPr>
              <w:pStyle w:val="21"/>
            </w:pPr>
            <w:r>
              <w:t>2A 类证据</w:t>
            </w:r>
          </w:p>
        </w:tc>
      </w:tr>
      <w:tr w14:paraId="41B6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AAE031">
            <w:pPr>
              <w:pStyle w:val="21"/>
            </w:pPr>
            <w:r>
              <w:t>中晚期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48FE12">
            <w:pPr>
              <w:pStyle w:val="21"/>
            </w:pPr>
            <w:r>
              <w:t>纵膈淋巴结转移：48Gy/8-10 次或 60Gy/10-15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A64877">
            <w:pPr>
              <w:pStyle w:val="21"/>
            </w:pPr>
            <w:r>
              <w:t>3B 类证据</w:t>
            </w:r>
          </w:p>
        </w:tc>
      </w:tr>
      <w:tr w14:paraId="1350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4ADDA0">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91043B">
            <w:pPr>
              <w:pStyle w:val="21"/>
            </w:pPr>
            <w:r>
              <w:t>肾上腺等寡转移：48Gy/8-10 次或 60Gy/10-12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5A292B">
            <w:pPr>
              <w:pStyle w:val="21"/>
            </w:pPr>
            <w:r>
              <w:t>3B 类证据</w:t>
            </w:r>
          </w:p>
        </w:tc>
      </w:tr>
      <w:tr w14:paraId="48FC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8111F2">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8FB701">
            <w:pPr>
              <w:pStyle w:val="21"/>
            </w:pPr>
            <w:r>
              <w:t>肝、骨、脑等寡转移：48Gy/8-10 次或 60Gy/10-12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6210E1">
            <w:pPr>
              <w:pStyle w:val="21"/>
            </w:pPr>
            <w:r>
              <w:t>骨转移 2A 类证据肝 / 脑转移 2A 类证据</w:t>
            </w:r>
          </w:p>
        </w:tc>
      </w:tr>
    </w:tbl>
    <w:p w14:paraId="60342114">
      <w:pPr>
        <w:pStyle w:val="5"/>
      </w:pPr>
      <w:r>
        <w:t>9.4.1 可手术的早期 NSCLC</w:t>
      </w:r>
    </w:p>
    <w:p w14:paraId="6E70AC4F">
      <w:pPr>
        <w:pStyle w:val="21"/>
      </w:pPr>
      <w:r>
        <w:t>通常指临床分期为 Ⅰ 期，肿瘤可根治性完整切除，且患者心、肺、脑等主要脏器功能和身体整体素质经评估可耐受手术、无较高相关并发症风险的患者。标准推荐治疗为根治性手术切除，小样本前瞻性临床研究证实 SBRT 与根治性手术疗效相当 [27-29]。拒绝手术或不能手术的早期肺癌患者可选择立体定向放疗作为无创根治治疗手段，建议剂量如下：</w:t>
      </w:r>
    </w:p>
    <w:p w14:paraId="36DF2712">
      <w:pPr>
        <w:pStyle w:val="21"/>
        <w:numPr>
          <w:ilvl w:val="0"/>
          <w:numId w:val="18"/>
        </w:numPr>
      </w:pPr>
      <w:r>
        <w:t>外周型肿瘤（距支气管树≥2cm）[16-18]：54Gy/3 次（BED=151Gy）、50Gy/4 次（BED=112.5Gy）；</w:t>
      </w:r>
    </w:p>
    <w:p w14:paraId="283E447F">
      <w:pPr>
        <w:pStyle w:val="21"/>
        <w:numPr>
          <w:ilvl w:val="0"/>
          <w:numId w:val="18"/>
        </w:numPr>
      </w:pPr>
      <w:r>
        <w:t>中央型肿瘤（距支气管树 &lt;2cm）[19-23]：60Gy/8 次（BED=105Gy）、50Gy/5 次（BED=100Gy）；</w:t>
      </w:r>
    </w:p>
    <w:p w14:paraId="6688A70D">
      <w:pPr>
        <w:pStyle w:val="21"/>
        <w:numPr>
          <w:ilvl w:val="0"/>
          <w:numId w:val="18"/>
        </w:numPr>
      </w:pPr>
      <w:r>
        <w:t>超中央型肿瘤（紧贴气管 / 食管）[24]：48Gy/4 次或 60Gy/8 次（更保守）；特殊限值：气管 / 食管 Dmax≤20Gy（单次≤4Gy），避免瘘风险；大血管 Dmax&lt;40Gy（单次≤8Gy）；全肺 V20Gy&lt;5%。</w:t>
      </w:r>
    </w:p>
    <w:p w14:paraId="4F851363">
      <w:pPr>
        <w:pStyle w:val="5"/>
      </w:pPr>
      <w:r>
        <w:t>9.4.2 晚期肺癌立体定向放疗</w:t>
      </w:r>
    </w:p>
    <w:p w14:paraId="50DEEE58">
      <w:pPr>
        <w:pStyle w:val="21"/>
      </w:pPr>
      <w:r>
        <w:t>晚期肺癌患者大多身体状况无法耐受手术，对于寡转移或寡进展病灶，放射治疗尤其是 SBRT 是可行选择。NCCN 指南指出，PS 评分好且接受胸内病灶根治性治疗的 NSCLC 患者，对孤立或局限转移灶（寡转移）的根治性局部治疗可延长生存。理论上，若放疗副反应可控，局部根治性立体定向放疗不局限于转移灶个数；肺功能可耐受时，参照单发病灶剂量尽量给到 BED100Gy；若病灶多、体积大，肺功能无法耐受则酌情减量，确保安全。</w:t>
      </w:r>
    </w:p>
    <w:p w14:paraId="4B7070FB">
      <w:pPr>
        <w:pStyle w:val="5"/>
      </w:pPr>
      <w:r>
        <w:t>9.4.3 胸部其他肿瘤</w:t>
      </w:r>
    </w:p>
    <w:p w14:paraId="3DCD6EF1">
      <w:pPr>
        <w:pStyle w:val="21"/>
      </w:pPr>
      <w:r>
        <w:t>胸部其它肿瘤如胸腺瘤、纵隔肿瘤、复发性乳腺癌、肺转移癌、心脏肉瘤等的立体定向放疗剂量，在安全前提下尽量提高。图像引导及呼吸控制参照肺癌要求执行，具体剂量根据病理情况调整：</w:t>
      </w:r>
    </w:p>
    <w:p w14:paraId="6FE791F7">
      <w:pPr>
        <w:pStyle w:val="21"/>
        <w:numPr>
          <w:ilvl w:val="0"/>
          <w:numId w:val="19"/>
        </w:numPr>
      </w:pPr>
      <w:r>
        <w:t>肺转移癌：参考非小细胞肺癌剂量或原发病灶放疗敏感性决定，非放疗敏感肿瘤剂量需达到 BED100GY；适用于全身系统治疗后肿瘤局部减症治疗或坚决拒绝全身治疗患者的姑息放疗；</w:t>
      </w:r>
    </w:p>
    <w:p w14:paraId="113E1F86">
      <w:pPr>
        <w:pStyle w:val="21"/>
        <w:numPr>
          <w:ilvl w:val="0"/>
          <w:numId w:val="19"/>
        </w:numPr>
      </w:pPr>
      <w:r>
        <w:t>心脏肉瘤：手术残留或拒绝手术者可行立体定向放疗，为安全减速灭瘤进度，分次剂量宜小于 3GY，总剂量达到 BED70GY；</w:t>
      </w:r>
    </w:p>
    <w:p w14:paraId="42B1A5B5">
      <w:pPr>
        <w:pStyle w:val="21"/>
        <w:numPr>
          <w:ilvl w:val="0"/>
          <w:numId w:val="19"/>
        </w:numPr>
      </w:pPr>
      <w:r>
        <w:t>拒绝手术或不能手术的乳腺癌及复发性乳腺癌：用于术后复发或放疗后复发，在安全情况下给予更高剂量，提高肿瘤控制率；</w:t>
      </w:r>
    </w:p>
    <w:p w14:paraId="3DCD2929">
      <w:pPr>
        <w:pStyle w:val="21"/>
        <w:numPr>
          <w:ilvl w:val="0"/>
          <w:numId w:val="19"/>
        </w:numPr>
      </w:pPr>
      <w:r>
        <w:t>纵隔肿瘤（上皮来源胸腺瘤、软组织肉瘤、转移瘤）：参考中央型肺癌给量，注意保护心脏、大血管、气管；</w:t>
      </w:r>
    </w:p>
    <w:p w14:paraId="44349993">
      <w:pPr>
        <w:pStyle w:val="21"/>
        <w:numPr>
          <w:ilvl w:val="0"/>
          <w:numId w:val="19"/>
        </w:numPr>
      </w:pPr>
      <w:r>
        <w:t>纵隔淋巴瘤：放疗敏感，化疗后残存可行立体定向放疗，分次剂量和总剂量可降低，BED 达到 50GY 即可；</w:t>
      </w:r>
    </w:p>
    <w:p w14:paraId="39808514">
      <w:pPr>
        <w:pStyle w:val="21"/>
        <w:numPr>
          <w:ilvl w:val="0"/>
          <w:numId w:val="19"/>
        </w:numPr>
      </w:pPr>
      <w:r>
        <w:t>小细胞肺癌：放疗敏感，化疗后残存可行立体定向放疗，分次剂量和总剂量可适当减低，BED 不低于 60GY，安全情况下适当提高肿瘤剂量；含非小细胞肺癌成分时按非小细胞肺癌给量，达到 BED100GY；</w:t>
      </w:r>
    </w:p>
    <w:p w14:paraId="058F7E87">
      <w:pPr>
        <w:pStyle w:val="21"/>
        <w:numPr>
          <w:ilvl w:val="0"/>
          <w:numId w:val="19"/>
        </w:numPr>
      </w:pPr>
      <w:r>
        <w:t>食道癌：原则上不建议做大分割立体定向放疗（食道为晚反应组织，大剂量对食道损伤大于肿瘤组织）。</w:t>
      </w:r>
    </w:p>
    <w:p w14:paraId="3181192A">
      <w:pPr>
        <w:pStyle w:val="4"/>
      </w:pPr>
      <w:bookmarkStart w:id="36" w:name="_Toc23949"/>
      <w:r>
        <w:t>9.5 危及器官限量（OAR）</w:t>
      </w:r>
      <w:bookmarkEnd w:id="36"/>
    </w:p>
    <w:p w14:paraId="0CA90FC5">
      <w:pPr>
        <w:pStyle w:val="21"/>
      </w:pPr>
      <w:r>
        <w:t>国内开展 SBRT 技术的单位技术基础及实践经验差异较大，出于安全性考虑，以下剂量限制参考多个临床试验方案（RTOG-0915、RTOG-0813、NRG-BR001）及多项研究中相对一致且保守的标准 [8, 18, 21, 22]（附表 2）。需注意，这些剂量限制多数来源于不良反应观察、理论推算及专家经验，未经过严格验证。3-5 次分割不适用于靠近近端支气管树的中央型或超中央型病灶的 SBRT 治疗；8 次分割中食管、大血管、脊髓、胸壁、肋骨及胃的剂量限制数据来源于国内中央型早期 NSCLC SBRT 治疗经验较多的中心，可供参考。中央型或超中央型病灶 SBRT 治疗风险较高，不良反应数据较匮乏，建议增加分次数至 10 次以上，减少分次剂量至小于 7GY。</w:t>
      </w:r>
    </w:p>
    <w:p w14:paraId="4A9F7685">
      <w:pPr>
        <w:pStyle w:val="21"/>
      </w:pPr>
      <w:r>
        <w:t>表 4 外周型肺癌 OARs 剂量限值</w:t>
      </w:r>
    </w:p>
    <w:p w14:paraId="4F0A525F">
      <w:pPr>
        <w:pStyle w:val="21"/>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tblGrid>
      <w:tr w14:paraId="0B47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B63FDA">
            <w:pPr>
              <w:pStyle w:val="21"/>
            </w:pPr>
            <w:r>
              <w:t>危及器官</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64AAAA">
            <w:pPr>
              <w:pStyle w:val="21"/>
            </w:pPr>
            <w:r>
              <w:t>剂量限值</w:t>
            </w:r>
          </w:p>
        </w:tc>
      </w:tr>
      <w:tr w14:paraId="2ED1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0A626A">
            <w:pPr>
              <w:pStyle w:val="21"/>
            </w:pPr>
            <w:r>
              <w:t>脊髓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71B3D0">
            <w:pPr>
              <w:pStyle w:val="21"/>
            </w:pPr>
            <w:r>
              <w:t>最大剂量（Dmax）&lt;18Gy（单次≤6Gy）</w:t>
            </w:r>
          </w:p>
        </w:tc>
      </w:tr>
      <w:tr w14:paraId="7D28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3B04BC">
            <w:pPr>
              <w:pStyle w:val="21"/>
            </w:pPr>
            <w:r>
              <w:t>食管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8AF3AF">
            <w:pPr>
              <w:pStyle w:val="21"/>
            </w:pPr>
            <w:r>
              <w:t>Dmax&lt;27Gy（单次≤9Gy）；V15Gy&lt;5mL</w:t>
            </w:r>
          </w:p>
        </w:tc>
      </w:tr>
      <w:tr w14:paraId="7E5A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8742C8">
            <w:pPr>
              <w:pStyle w:val="21"/>
            </w:pPr>
            <w:r>
              <w:t>气管 / 主支气管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F20DF4">
            <w:pPr>
              <w:pStyle w:val="21"/>
            </w:pPr>
            <w:r>
              <w:t>Dmax&lt;30Gy（单次≤10Gy）；V20Gy&lt;4mL</w:t>
            </w:r>
          </w:p>
        </w:tc>
      </w:tr>
      <w:tr w14:paraId="348F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3F3F6B">
            <w:pPr>
              <w:pStyle w:val="21"/>
            </w:pPr>
            <w:r>
              <w:t>心脏 / 心包</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C62687">
            <w:pPr>
              <w:pStyle w:val="21"/>
            </w:pPr>
            <w:r>
              <w:t>Dmax&lt;30Gy（单次≤10Gy）；V15Gy&lt;15mL</w:t>
            </w:r>
          </w:p>
        </w:tc>
      </w:tr>
      <w:tr w14:paraId="328B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F0E2DE">
            <w:pPr>
              <w:pStyle w:val="21"/>
            </w:pPr>
            <w:r>
              <w:t>臂丛神经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63A3D9">
            <w:pPr>
              <w:pStyle w:val="21"/>
            </w:pPr>
            <w:r>
              <w:t>Dmax&lt;24Gy（单次≤8Gy）</w:t>
            </w:r>
          </w:p>
        </w:tc>
      </w:tr>
      <w:tr w14:paraId="5B35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B57CFD">
            <w:pPr>
              <w:pStyle w:val="21"/>
            </w:pPr>
            <w:r>
              <w:t>肋骨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A6EBFC">
            <w:pPr>
              <w:pStyle w:val="21"/>
            </w:pPr>
            <w:r>
              <w:t>Dmax&lt;30Gy（单次≤10Gy）；V30Gy&lt;1mL（避免骨折）</w:t>
            </w:r>
          </w:p>
        </w:tc>
      </w:tr>
      <w:tr w14:paraId="368F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4CB0D0">
            <w:pPr>
              <w:pStyle w:val="21"/>
            </w:pPr>
            <w:r>
              <w:t>皮肤</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8AD997">
            <w:pPr>
              <w:pStyle w:val="21"/>
            </w:pPr>
            <w:r>
              <w:t>Dmax&lt;30Gy（单次≤10Gy）</w:t>
            </w:r>
          </w:p>
        </w:tc>
      </w:tr>
    </w:tbl>
    <w:p w14:paraId="3ED39C48">
      <w:pPr>
        <w:pStyle w:val="21"/>
      </w:pPr>
      <w:r>
        <w:t>表 5 中央型肺癌 OARs 剂量限值</w:t>
      </w:r>
    </w:p>
    <w:p w14:paraId="1D960ADC">
      <w:pPr>
        <w:pStyle w:val="21"/>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tblGrid>
      <w:tr w14:paraId="785D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B1BA7C">
            <w:pPr>
              <w:pStyle w:val="21"/>
            </w:pPr>
            <w:r>
              <w:t>危及器官</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09160C">
            <w:pPr>
              <w:pStyle w:val="21"/>
            </w:pPr>
            <w:r>
              <w:t>剂量限值</w:t>
            </w:r>
          </w:p>
        </w:tc>
      </w:tr>
      <w:tr w14:paraId="78CE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081746">
            <w:pPr>
              <w:pStyle w:val="21"/>
            </w:pPr>
            <w:r>
              <w:t>支气管树</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886B02">
            <w:pPr>
              <w:pStyle w:val="21"/>
            </w:pPr>
            <w:r>
              <w:t>Dmax&lt;30Gy（单次≤4Gy）；V20Gy&lt;4mL</w:t>
            </w:r>
          </w:p>
        </w:tc>
      </w:tr>
      <w:tr w14:paraId="52FF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A8B01E">
            <w:pPr>
              <w:pStyle w:val="21"/>
            </w:pPr>
            <w:r>
              <w:t>食管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CCF348">
            <w:pPr>
              <w:pStyle w:val="21"/>
            </w:pPr>
            <w:r>
              <w:t>Dmax&lt;27Gy（单次≤5.4Gy）；V15Gy&lt;5mL</w:t>
            </w:r>
          </w:p>
        </w:tc>
      </w:tr>
      <w:tr w14:paraId="3B4C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F3AAAD">
            <w:pPr>
              <w:pStyle w:val="21"/>
            </w:pPr>
            <w:r>
              <w:t>心脏大血管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96CF9F">
            <w:pPr>
              <w:pStyle w:val="21"/>
            </w:pPr>
            <w:r>
              <w:t>Dmax&lt;35Gy（单次≤7Gy）</w:t>
            </w:r>
          </w:p>
        </w:tc>
      </w:tr>
      <w:tr w14:paraId="6751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1C466B">
            <w:pPr>
              <w:pStyle w:val="21"/>
            </w:pPr>
            <w:r>
              <w:t>肺（全肺）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A2E95B">
            <w:pPr>
              <w:pStyle w:val="21"/>
            </w:pPr>
            <w:r>
              <w:t>V20Gy&lt;10%；V12.5Gy&lt;15%（避免放射性肺炎）</w:t>
            </w:r>
          </w:p>
        </w:tc>
      </w:tr>
      <w:tr w14:paraId="0D1A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697AE8">
            <w:pPr>
              <w:pStyle w:val="21"/>
            </w:pPr>
            <w:r>
              <w:t>脊髓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88375B">
            <w:pPr>
              <w:pStyle w:val="21"/>
            </w:pPr>
            <w:r>
              <w:t>Dmax&lt;18Gy（单次≤3.6Gy）</w:t>
            </w:r>
          </w:p>
        </w:tc>
      </w:tr>
    </w:tbl>
    <w:p w14:paraId="36CA8AE7">
      <w:pPr>
        <w:pStyle w:val="21"/>
      </w:pPr>
      <w:r>
        <w:t>其它胸部肿瘤剂量限制参考肺癌执行。</w:t>
      </w:r>
    </w:p>
    <w:p w14:paraId="22302C76">
      <w:pPr>
        <w:pStyle w:val="5"/>
      </w:pPr>
      <w:r>
        <w:t>9.5.1 放射性肺损伤</w:t>
      </w:r>
    </w:p>
    <w:p w14:paraId="24D6E53A">
      <w:pPr>
        <w:pStyle w:val="21"/>
      </w:pPr>
      <w:r>
        <w:t>放射性肺损伤是肺癌 SBRT 放疗最常见的不良反应。研究报道 3-4 级毒性（肺炎、呼吸困难、胸痛）发生率为 2.7%-27%，多为自限性，周围型肺癌治疗中 5 级肺毒性少见 [23]。间质性肺病患者 SBRT 肺毒性风险增加 [24, 25]。放射性肺损伤包括放射性肺炎及放射性肺纤维化，放射性肺炎通常发生在放疗后 3 个月内，3 个月后逐渐形成肺纤维化。根据不良事件通用术语标准（CTCAE）5.0 分为 5 级，不同分级有相应治疗原则。</w:t>
      </w:r>
    </w:p>
    <w:p w14:paraId="5E875A3C">
      <w:pPr>
        <w:pStyle w:val="5"/>
      </w:pPr>
      <w:r>
        <w:t>9.5.2 胸壁毒性</w:t>
      </w:r>
    </w:p>
    <w:p w14:paraId="73496B9C">
      <w:pPr>
        <w:pStyle w:val="21"/>
      </w:pPr>
      <w:r>
        <w:t>SBRT 引起的胸壁毒性可能包括肋骨骨折或疼痛，约 10% 的患者出现胸壁疼痛，3 级毒性发生率约为 2.0%，治疗后中位发病时间≥6 个月 [23]。</w:t>
      </w:r>
    </w:p>
    <w:p w14:paraId="76D6B72A">
      <w:pPr>
        <w:pStyle w:val="5"/>
      </w:pPr>
      <w:r>
        <w:t>9.5.3 臂丛神经损伤</w:t>
      </w:r>
    </w:p>
    <w:p w14:paraId="074EA566">
      <w:pPr>
        <w:pStyle w:val="21"/>
      </w:pPr>
      <w:r>
        <w:t>放射性臂丛神经损伤的剂量学研究较少，临床以营养神经及康复治疗为主。</w:t>
      </w:r>
    </w:p>
    <w:p w14:paraId="62D79978">
      <w:pPr>
        <w:pStyle w:val="5"/>
      </w:pPr>
      <w:r>
        <w:t>9.5.4 中央大气道损伤</w:t>
      </w:r>
    </w:p>
    <w:p w14:paraId="25116858">
      <w:pPr>
        <w:pStyle w:val="21"/>
      </w:pPr>
      <w:r>
        <w:t>大气道损伤主要表现为气管狭窄、肺不张、气道坏死、气管支气管瘘，发生后患者预后较差。</w:t>
      </w:r>
    </w:p>
    <w:p w14:paraId="6E78A3BC">
      <w:pPr>
        <w:pStyle w:val="5"/>
      </w:pPr>
      <w:r>
        <w:t>9.5.5 食管损伤</w:t>
      </w:r>
    </w:p>
    <w:p w14:paraId="16FE2781">
      <w:pPr>
        <w:pStyle w:val="21"/>
      </w:pPr>
      <w:r>
        <w:t>食管损伤多发生在中央型肺癌患者中，可表现为食管炎、上消化道出血、食管狭窄、穿孔及食管气管瘘等，需根据损伤严重程度予以护胃、激素、内镜及外科治疗。</w:t>
      </w:r>
    </w:p>
    <w:p w14:paraId="39637194">
      <w:pPr>
        <w:pStyle w:val="5"/>
      </w:pPr>
      <w:r>
        <w:t>9.5.6 大血管损伤</w:t>
      </w:r>
    </w:p>
    <w:p w14:paraId="609228A6">
      <w:pPr>
        <w:pStyle w:val="21"/>
      </w:pPr>
      <w:r>
        <w:t>大血管损伤主要表现为咯血，可能导致主动脉破裂大出血、主动脉瘤等，多见于中央型肺癌患者。此类患者预后差，应避免对毗邻大血管的肺癌进行高剂量 SBRT 放疗。</w:t>
      </w:r>
    </w:p>
    <w:p w14:paraId="1C5EB174">
      <w:pPr>
        <w:pStyle w:val="21"/>
      </w:pPr>
    </w:p>
    <w:p w14:paraId="7C75F640">
      <w:pPr>
        <w:pBdr>
          <w:bottom w:val="single" w:color="auto" w:sz="6" w:space="1"/>
        </w:pBdr>
      </w:pPr>
    </w:p>
    <w:p w14:paraId="5C18B6B7">
      <w:pPr>
        <w:pStyle w:val="3"/>
      </w:pPr>
      <w:bookmarkStart w:id="37" w:name="_Toc31136"/>
      <w:r>
        <w:t>10 质量控制</w:t>
      </w:r>
      <w:bookmarkEnd w:id="37"/>
    </w:p>
    <w:p w14:paraId="5F661E72">
      <w:pPr>
        <w:pStyle w:val="21"/>
      </w:pPr>
      <w:r>
        <w:t>立体定向放射外科治疗（SBRT）治疗流程中必须嵌入多重 “冗余” 核查机制，确保任何环节的单点错误都能被及时发现，保障呼吸控制及影像引导下的精准治疗。</w:t>
      </w:r>
    </w:p>
    <w:p w14:paraId="12B2BEE8">
      <w:pPr>
        <w:pStyle w:val="4"/>
      </w:pPr>
      <w:bookmarkStart w:id="38" w:name="_Toc20943"/>
      <w:r>
        <w:t>10.1 体位固定</w:t>
      </w:r>
      <w:bookmarkEnd w:id="38"/>
    </w:p>
    <w:p w14:paraId="7AF40657">
      <w:pPr>
        <w:pStyle w:val="21"/>
      </w:pPr>
      <w:r>
        <w:t>可使用体膜或负压真空垫，有条件单位使用呼吸控制技术或 4D 技术；无条件单位使用真空负压袋或体膜严格固定，配合腹压板或气囊腹部压迫减少呼吸运动影响。每次固定后需评估重复性和舒适性。</w:t>
      </w:r>
    </w:p>
    <w:p w14:paraId="72C8845A">
      <w:pPr>
        <w:pStyle w:val="4"/>
      </w:pPr>
      <w:bookmarkStart w:id="39" w:name="_Toc21567"/>
      <w:r>
        <w:t>10.2 模拟定位</w:t>
      </w:r>
      <w:bookmarkEnd w:id="39"/>
    </w:p>
    <w:p w14:paraId="31C8C388">
      <w:pPr>
        <w:pStyle w:val="21"/>
      </w:pPr>
      <w:r>
        <w:t>患者需确认扫描范围，采用 2 毫米（必要时 1 毫米）薄层扫描。常规采用 CT 扫描，推荐扫描范围为环状软骨上缘至腰 2 椎体上缘，至少超过靶区上下界 5cm 以上，层厚一般≤3mm，扫描范围必须覆盖所有可能的危及器官（OAR）。强烈推荐呼吸控制或 4D-CT；无呼吸控制设备单位需使用腹压板或气囊减少腹式呼吸，采用 1-3mm 层厚扫描，扫描时间覆盖≥2 个完整呼吸周期，同步记录呼吸信号曲线。</w:t>
      </w:r>
    </w:p>
    <w:p w14:paraId="0248E171">
      <w:pPr>
        <w:pStyle w:val="4"/>
      </w:pPr>
      <w:bookmarkStart w:id="40" w:name="_Toc15207"/>
      <w:r>
        <w:t>10.3 靶区勾画</w:t>
      </w:r>
      <w:bookmarkEnd w:id="40"/>
    </w:p>
    <w:p w14:paraId="6E67E77A">
      <w:pPr>
        <w:pStyle w:val="21"/>
        <w:numPr>
          <w:ilvl w:val="0"/>
          <w:numId w:val="20"/>
        </w:numPr>
      </w:pPr>
      <w:r>
        <w:t>采用多模态影像融合技术：参考融合 CT、MRI、PET-CT 等影像，PET-CT 不同 SUV 值对应的范围差异较大，GTV 以 CT 或 MRI 图像为准。由资深医生精细勾画靶区和危及器官，勾画后需经有丰富经验的上级医生审核，确保肿瘤靶区准确。</w:t>
      </w:r>
    </w:p>
    <w:p w14:paraId="4D382953">
      <w:pPr>
        <w:pStyle w:val="21"/>
        <w:numPr>
          <w:ilvl w:val="0"/>
          <w:numId w:val="20"/>
        </w:numPr>
      </w:pPr>
      <w:r>
        <w:t>剂量处方制定：资深医生根据病情兼顾疗效与安全，给定靶区剂量及危及器官限制的剂量处方。PTV 需考虑器官位移、脏器移动和不同放疗技术的差别。</w:t>
      </w:r>
    </w:p>
    <w:p w14:paraId="5051766A">
      <w:pPr>
        <w:pStyle w:val="4"/>
      </w:pPr>
      <w:bookmarkStart w:id="41" w:name="_Toc19508"/>
      <w:r>
        <w:t>10.4 计划设计</w:t>
      </w:r>
      <w:bookmarkEnd w:id="41"/>
    </w:p>
    <w:p w14:paraId="3F9E3520">
      <w:pPr>
        <w:pStyle w:val="21"/>
      </w:pPr>
      <w:r>
        <w:t>物理师根据医师处方优化立体定向放疗计划，达到剂量雕刻要求，在确保正常组织安全的前提下尽量提高肿瘤剂量。核心要求包括：</w:t>
      </w:r>
    </w:p>
    <w:p w14:paraId="4D289A62">
      <w:pPr>
        <w:pStyle w:val="21"/>
        <w:numPr>
          <w:ilvl w:val="0"/>
          <w:numId w:val="21"/>
        </w:numPr>
      </w:pPr>
      <w:r>
        <w:t>剂量梯度优化：通过≤2 mm³ 剂量网格实现 “刀锋” 般的剂量分布，即高度聚集的剂量峰和急剧递减的衰减区，确保 PTV 覆盖度 [48]（3C）；</w:t>
      </w:r>
    </w:p>
    <w:p w14:paraId="23584788">
      <w:pPr>
        <w:pStyle w:val="21"/>
        <w:numPr>
          <w:ilvl w:val="0"/>
          <w:numId w:val="21"/>
        </w:numPr>
      </w:pPr>
      <w:r>
        <w:t>射束参数规范：推荐 5-9 个非共面射野或容积旋转调强技术（VMAT）（3C），同时使用限光筒等技术，提升剂量适形度和梯度 [49]；</w:t>
      </w:r>
    </w:p>
    <w:p w14:paraId="41D9A8CE">
      <w:pPr>
        <w:pStyle w:val="21"/>
        <w:numPr>
          <w:ilvl w:val="0"/>
          <w:numId w:val="21"/>
        </w:numPr>
      </w:pPr>
      <w:r>
        <w:t>组织异质性校正：剂量计算需考虑组织不均匀性（3C），尤其胃肠区域等敏感部位附近，以提高计划准确性，遵循 RTOG1112 等指南；</w:t>
      </w:r>
    </w:p>
    <w:p w14:paraId="157FF525">
      <w:pPr>
        <w:pStyle w:val="21"/>
        <w:numPr>
          <w:ilvl w:val="0"/>
          <w:numId w:val="21"/>
        </w:numPr>
      </w:pPr>
      <w:r>
        <w:t>计划验证评估：通过剂量覆盖率、适形指数（CI）、梯度指数（GI）、R50%、D2cm 等评估计划有效性和安全性 [50]（3C）。要求≥95% PTV 接收处方剂量（3C），≥99% PTV 接收 90% 处方剂量（3C）；靶区内允许 110%-150% 处方剂量的 “热点”（3C），但仅限于 ITV 内且不导致不可逆损伤。</w:t>
      </w:r>
    </w:p>
    <w:p w14:paraId="4535830C">
      <w:pPr>
        <w:pStyle w:val="21"/>
      </w:pPr>
      <w:r>
        <w:t>放疗计划必须在科室内部进行强制性同行评议，由多位医生和物理师共同审核 DVH 图、剂量分布和危及器官限量。确保计划从 TPS 准确无误传输到治疗记录与验证系统（R&amp;V）和治疗机。</w:t>
      </w:r>
    </w:p>
    <w:p w14:paraId="2F44A33D">
      <w:pPr>
        <w:pStyle w:val="4"/>
      </w:pPr>
      <w:bookmarkStart w:id="42" w:name="_Toc20973"/>
      <w:r>
        <w:t>10.5 计划审核</w:t>
      </w:r>
      <w:bookmarkEnd w:id="42"/>
    </w:p>
    <w:p w14:paraId="640DEB34">
      <w:pPr>
        <w:pStyle w:val="21"/>
      </w:pPr>
      <w:r>
        <w:t>放疗计划必须在科室内部进行强制性同行评议，由多位医生和物理师共同审核 DVH 图、剂量分布和危及器官限量，确保符合要求。</w:t>
      </w:r>
    </w:p>
    <w:p w14:paraId="37A51ADC">
      <w:pPr>
        <w:pStyle w:val="4"/>
      </w:pPr>
      <w:bookmarkStart w:id="43" w:name="_Toc14233"/>
      <w:r>
        <w:t>10.6 独立的剂量计算验证</w:t>
      </w:r>
      <w:bookmarkEnd w:id="43"/>
    </w:p>
    <w:p w14:paraId="5F0A7621">
      <w:pPr>
        <w:pStyle w:val="21"/>
        <w:numPr>
          <w:ilvl w:val="0"/>
          <w:numId w:val="22"/>
        </w:numPr>
      </w:pPr>
      <w:r>
        <w:t>治疗前剂量验证：必须使用第二套经过独立验证的计算软件或方法（如基于 Clarkson 积分算法的专用验证软件），对 TPS 计算的每个射野 / 弧的机器跳数（MU）进行独立复核，两者差异应在 ±3% 以内。</w:t>
      </w:r>
    </w:p>
    <w:p w14:paraId="5728F535">
      <w:pPr>
        <w:pStyle w:val="21"/>
        <w:numPr>
          <w:ilvl w:val="0"/>
          <w:numId w:val="22"/>
        </w:numPr>
      </w:pPr>
      <w:r>
        <w:t>模体测量：必须在非患者特异性模体上完整执行整个治疗计划。</w:t>
      </w:r>
    </w:p>
    <w:p w14:paraId="498E24E4">
      <w:pPr>
        <w:pStyle w:val="21"/>
        <w:numPr>
          <w:ilvl w:val="0"/>
          <w:numId w:val="22"/>
        </w:numPr>
      </w:pPr>
      <w:r>
        <w:t>测量内容：包括绝对点剂量（如用微型电离室测量）和相对剂量分布（如用二维探测器矩阵测量 Gamma 通过率）。</w:t>
      </w:r>
    </w:p>
    <w:p w14:paraId="6C304E52">
      <w:pPr>
        <w:pStyle w:val="21"/>
        <w:numPr>
          <w:ilvl w:val="0"/>
          <w:numId w:val="22"/>
        </w:numPr>
      </w:pPr>
      <w:r>
        <w:t>通过标准：Gamma 分析（如 2%/2mm, 10% 阈值）的通过率通常要求 &gt; 90-95%；点剂量差异必须 &lt; 3%。</w:t>
      </w:r>
    </w:p>
    <w:p w14:paraId="53E5EC59">
      <w:pPr>
        <w:pStyle w:val="4"/>
      </w:pPr>
      <w:bookmarkStart w:id="44" w:name="_Toc1155"/>
      <w:r>
        <w:t>10.7 计划传输</w:t>
      </w:r>
      <w:bookmarkEnd w:id="44"/>
    </w:p>
    <w:p w14:paraId="4611B179">
      <w:pPr>
        <w:pStyle w:val="21"/>
      </w:pPr>
      <w:r>
        <w:t>确保计划从 TPS 准确无误地传输到治疗记录与验证系统（R&amp;V）和治疗机，传输后需核对关键参数，避免传输错误。</w:t>
      </w:r>
    </w:p>
    <w:p w14:paraId="511955BD">
      <w:pPr>
        <w:pStyle w:val="4"/>
      </w:pPr>
      <w:bookmarkStart w:id="45" w:name="_Toc15528"/>
      <w:r>
        <w:t>10.8 首次治疗摆位</w:t>
      </w:r>
      <w:bookmarkEnd w:id="45"/>
    </w:p>
    <w:p w14:paraId="0F876523">
      <w:pPr>
        <w:pStyle w:val="21"/>
      </w:pPr>
      <w:r>
        <w:t>医生、物理师、技术员必须共同参与，采用六维床进行基于骨性标志和 / 或软组织匹配的精细校正（6 个自由度：3 平移 + 3 旋转）。校正后必须再次拍摄验证片或 CBCT，确认误差已修正到可接受范围（通常 &lt; 1mm）。</w:t>
      </w:r>
    </w:p>
    <w:p w14:paraId="34124669">
      <w:pPr>
        <w:pStyle w:val="4"/>
      </w:pPr>
      <w:bookmarkStart w:id="46" w:name="_Toc11643"/>
      <w:r>
        <w:t>10.9 治疗前影像引导</w:t>
      </w:r>
      <w:bookmarkEnd w:id="46"/>
    </w:p>
    <w:p w14:paraId="5ED09BDE">
      <w:pPr>
        <w:pStyle w:val="21"/>
      </w:pPr>
      <w:r>
        <w:t>SBRT 每次治疗前都必须进行影像引导（如 CBCT），通过图像匹配确认靶区位置准确性，及时修正摆位误差。</w:t>
      </w:r>
    </w:p>
    <w:p w14:paraId="180DA2D5">
      <w:pPr>
        <w:pStyle w:val="4"/>
      </w:pPr>
      <w:bookmarkStart w:id="47" w:name="_Toc28013"/>
      <w:r>
        <w:t>10.10 肿瘤位置的监测</w:t>
      </w:r>
      <w:bookmarkEnd w:id="47"/>
    </w:p>
    <w:p w14:paraId="4AD9411D">
      <w:pPr>
        <w:pStyle w:val="21"/>
      </w:pPr>
      <w:r>
        <w:t>对于受呼吸运动影响的肿瘤（如肺、肝、腹膜后等），须采用四维 CT（4DCT）进行模拟定位，并在治疗时尽量使用呼吸门控（Gating）或实时肿瘤追踪（如 Synchrony）技术。无呼吸控制设备需采用腹压板等物理限制技术，尽量减少腹式呼吸运动范围。</w:t>
      </w:r>
    </w:p>
    <w:p w14:paraId="60FB335F">
      <w:pPr>
        <w:pStyle w:val="4"/>
      </w:pPr>
      <w:bookmarkStart w:id="48" w:name="_Toc7112"/>
      <w:r>
        <w:t>10.11 分次内运动管理</w:t>
      </w:r>
      <w:bookmarkEnd w:id="48"/>
    </w:p>
    <w:p w14:paraId="11AD3BBA">
      <w:pPr>
        <w:pStyle w:val="21"/>
      </w:pPr>
      <w:r>
        <w:t>治疗中可能需要进行中期 CBCT 扫描，监测患者可能发生的移动（如咳嗽、肠蠕动），若发现位移超出允许范围，及时暂停治疗并校正位置。</w:t>
      </w:r>
    </w:p>
    <w:p w14:paraId="3BE2CC02">
      <w:pPr>
        <w:pStyle w:val="4"/>
      </w:pPr>
      <w:bookmarkStart w:id="49" w:name="_Toc5589"/>
      <w:r>
        <w:t>10.12 安全核对</w:t>
      </w:r>
      <w:bookmarkEnd w:id="49"/>
    </w:p>
    <w:p w14:paraId="27CF0A01">
      <w:pPr>
        <w:pStyle w:val="21"/>
      </w:pPr>
      <w:r>
        <w:t>照射开始前，执行强制性 “时间暂停” 流程。治疗团队（至少两名人员）共同口头核对患者身份、治疗部位、计划名称、预设跳数、能量、门控参数等所有关键信息，确认无误后方可开始照射。</w:t>
      </w:r>
    </w:p>
    <w:p w14:paraId="5D2488D2">
      <w:pPr>
        <w:pStyle w:val="4"/>
      </w:pPr>
      <w:bookmarkStart w:id="50" w:name="_Toc26943"/>
      <w:r>
        <w:t>10.13 治疗中验证</w:t>
      </w:r>
      <w:bookmarkEnd w:id="50"/>
    </w:p>
    <w:p w14:paraId="39FFB536">
      <w:pPr>
        <w:pStyle w:val="21"/>
        <w:numPr>
          <w:ilvl w:val="0"/>
          <w:numId w:val="23"/>
        </w:numPr>
      </w:pPr>
      <w:r>
        <w:t>治疗中图像引导放疗（IGRT）：治疗中器官位移时需拍摄 KV-CBCT 或 MV-CT 等图像，与计划 CT 匹配，实时校正摆位误差；</w:t>
      </w:r>
    </w:p>
    <w:p w14:paraId="60A7F39C">
      <w:pPr>
        <w:pStyle w:val="21"/>
        <w:numPr>
          <w:ilvl w:val="0"/>
          <w:numId w:val="23"/>
        </w:numPr>
      </w:pPr>
      <w:r>
        <w:t>实时监控：持续监控 MLC 位置、机器跳数和呼吸运动轨迹等参数，确保与计划一致，发现异常立即暂停治疗。</w:t>
      </w:r>
    </w:p>
    <w:p w14:paraId="1EB422EB">
      <w:pPr>
        <w:pStyle w:val="4"/>
      </w:pPr>
      <w:bookmarkStart w:id="51" w:name="_Toc30589"/>
      <w:r>
        <w:t>10.14 自适应装置</w:t>
      </w:r>
      <w:bookmarkEnd w:id="51"/>
    </w:p>
    <w:p w14:paraId="65AC2CCA">
      <w:pPr>
        <w:pStyle w:val="21"/>
      </w:pPr>
      <w:r>
        <w:t>有条件且配备自适应放疗装备的单位，当靶区及体态变化较大时，可实施自适应放疗，每次治疗前重新修订治疗计划，最大程度确保治疗精准，减少治疗失误。</w:t>
      </w:r>
    </w:p>
    <w:p w14:paraId="3F320F3A">
      <w:pPr>
        <w:pStyle w:val="4"/>
      </w:pPr>
      <w:bookmarkStart w:id="52" w:name="_Toc3009"/>
      <w:r>
        <w:t>10.15 数据纪录</w:t>
      </w:r>
      <w:bookmarkEnd w:id="52"/>
    </w:p>
    <w:p w14:paraId="3B0831C2">
      <w:pPr>
        <w:pStyle w:val="21"/>
      </w:pPr>
      <w:r>
        <w:t>如实记录机器信息、治疗技术、治疗部位、参数及剂量等放疗数据，由医生、物理师、技术员签字确认，确保数据完整、准确，保存完好并进行电子化存档。</w:t>
      </w:r>
    </w:p>
    <w:p w14:paraId="72DAEC2D">
      <w:pPr>
        <w:pStyle w:val="4"/>
      </w:pPr>
      <w:bookmarkStart w:id="53" w:name="_Toc18603"/>
      <w:r>
        <w:t>10.16 疗效评估及随访</w:t>
      </w:r>
      <w:bookmarkEnd w:id="53"/>
    </w:p>
    <w:p w14:paraId="29D50477">
      <w:pPr>
        <w:pStyle w:val="21"/>
        <w:numPr>
          <w:ilvl w:val="0"/>
          <w:numId w:val="24"/>
        </w:numPr>
      </w:pPr>
      <w:r>
        <w:t>近期疗效评估：患者治疗结束后 2-3 月复查影像，使用 RESIST1.1 标准评价近期疗效，CTCAE5.0 评估放疗期间和放疗后的毒性反应 [25]；</w:t>
      </w:r>
    </w:p>
    <w:p w14:paraId="3D6DB763">
      <w:pPr>
        <w:pStyle w:val="21"/>
        <w:numPr>
          <w:ilvl w:val="0"/>
          <w:numId w:val="24"/>
        </w:numPr>
      </w:pPr>
      <w:r>
        <w:t>随访频率：肺癌 SBRT 后第 1 次随访在放疗后 4~6 周，评估急性毒性；第 1 年每 3 个月 1 次，第 2 年每 3—6 个月 1 次，以后每年每 6 个月 1 次，至少随访 5 年，5 年后可每年复查 1 次 [26-29]；</w:t>
      </w:r>
    </w:p>
    <w:p w14:paraId="68D4C053">
      <w:pPr>
        <w:pStyle w:val="21"/>
        <w:numPr>
          <w:ilvl w:val="0"/>
          <w:numId w:val="24"/>
        </w:numPr>
      </w:pPr>
      <w:r>
        <w:t>复查项目：用实体瘤临床疗效评价标准 RECIST1.1 评估肿瘤情况，复查项目通常包括体格检查、肿瘤标志物、必要的影像学检查（如胸腹 CT、脑 MRI 等）及肺功能检查等。</w:t>
      </w:r>
    </w:p>
    <w:p w14:paraId="710757FB">
      <w:pPr>
        <w:pStyle w:val="21"/>
      </w:pPr>
    </w:p>
    <w:p w14:paraId="67E5802B">
      <w:pPr>
        <w:pBdr>
          <w:bottom w:val="single" w:color="auto" w:sz="6" w:space="1"/>
        </w:pBdr>
      </w:pPr>
    </w:p>
    <w:p w14:paraId="05968052">
      <w:pPr>
        <w:pStyle w:val="3"/>
      </w:pPr>
      <w:bookmarkStart w:id="54" w:name="_Toc16571"/>
      <w:r>
        <w:t>附录 A 放疗正常组织 / 器官耐受剂量表</w:t>
      </w:r>
      <w:bookmarkEnd w:id="54"/>
    </w:p>
    <w:p w14:paraId="3DAEDA61">
      <w:pPr>
        <w:pStyle w:val="21"/>
      </w:pPr>
      <w:r>
        <w:t>表 A.1 胸部大分割放疗正常组织 / 器官耐受剂量表（单位：Gy）</w:t>
      </w:r>
    </w:p>
    <w:p w14:paraId="6A80C0B5">
      <w:pPr>
        <w:pStyle w:val="21"/>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86"/>
        <w:gridCol w:w="922"/>
        <w:gridCol w:w="539"/>
        <w:gridCol w:w="539"/>
        <w:gridCol w:w="539"/>
        <w:gridCol w:w="539"/>
        <w:gridCol w:w="539"/>
        <w:gridCol w:w="539"/>
        <w:gridCol w:w="539"/>
        <w:gridCol w:w="539"/>
        <w:gridCol w:w="539"/>
        <w:gridCol w:w="539"/>
        <w:gridCol w:w="539"/>
        <w:gridCol w:w="411"/>
        <w:gridCol w:w="412"/>
        <w:gridCol w:w="412"/>
        <w:gridCol w:w="394"/>
      </w:tblGrid>
      <w:tr w14:paraId="0269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CD229E">
            <w:pPr>
              <w:pStyle w:val="21"/>
            </w:pPr>
            <w:r>
              <w:t>胸部组织 / 器官名称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9D4F79">
            <w:pPr>
              <w:pStyle w:val="21"/>
            </w:pPr>
            <w:r>
              <w:t>体积阈值</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DB2EF4">
            <w:pPr>
              <w:pStyle w:val="21"/>
            </w:pPr>
            <w:r>
              <w:t>1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930B06">
            <w:pPr>
              <w:pStyle w:val="21"/>
            </w:pPr>
            <w:r>
              <w:t>1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6D1346">
            <w:pPr>
              <w:pStyle w:val="21"/>
            </w:pPr>
            <w:r>
              <w:t>1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2CF5AF">
            <w:pPr>
              <w:pStyle w:val="21"/>
            </w:pPr>
            <w:r>
              <w:t>3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7296BE">
            <w:pPr>
              <w:pStyle w:val="21"/>
            </w:pPr>
            <w:r>
              <w:t>3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E8F9C8">
            <w:pPr>
              <w:pStyle w:val="21"/>
            </w:pPr>
            <w:r>
              <w:t>3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80F71F">
            <w:pPr>
              <w:pStyle w:val="21"/>
            </w:pPr>
            <w:r>
              <w:t>4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783A52">
            <w:pPr>
              <w:pStyle w:val="21"/>
            </w:pPr>
            <w:r>
              <w:t>4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D78E46">
            <w:pPr>
              <w:pStyle w:val="21"/>
            </w:pPr>
            <w:r>
              <w:t>4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F5F636">
            <w:pPr>
              <w:pStyle w:val="21"/>
            </w:pPr>
            <w:r>
              <w:t>5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91677D">
            <w:pPr>
              <w:pStyle w:val="21"/>
            </w:pPr>
            <w:r>
              <w:t>5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D4BB26">
            <w:pPr>
              <w:pStyle w:val="21"/>
            </w:pPr>
            <w:r>
              <w:t>5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3831A9">
            <w:pPr>
              <w:pStyle w:val="21"/>
            </w:pPr>
            <w:r>
              <w:t>8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16F4AC">
            <w:pPr>
              <w:pStyle w:val="21"/>
            </w:pPr>
            <w:r>
              <w:t>8 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E8E91F">
            <w:pPr>
              <w:pStyle w:val="21"/>
            </w:pPr>
            <w:r>
              <w:t>8 次</w:t>
            </w:r>
          </w:p>
        </w:tc>
      </w:tr>
      <w:tr w14:paraId="40EE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D86C39">
            <w:pPr>
              <w:pStyle w:val="21"/>
            </w:pPr>
            <w:r>
              <w:t>正常肺（全肺 - GTVs）</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9DCE46">
            <w:pPr>
              <w:pStyle w:val="21"/>
            </w:pPr>
            <w:r>
              <w:t>V20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B838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48153E">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389D55">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40E586">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52F73E">
            <w:pPr>
              <w:pStyle w:val="21"/>
            </w:pPr>
            <w:r>
              <w:t>26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D9AB13">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D3C78B">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98B88B">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F77628">
            <w:pPr>
              <w:pStyle w:val="21"/>
            </w:pPr>
            <w:r>
              <w:t>27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2EFFEB">
            <w:pPr>
              <w:pStyle w:val="21"/>
            </w:pPr>
            <w:r>
              <w:t>27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458AE4">
            <w:pPr>
              <w:pStyle w:val="21"/>
            </w:pPr>
            <w:r>
              <w:t>29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50C3A8">
            <w:pPr>
              <w:pStyle w:val="21"/>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3F290E">
            <w:pPr>
              <w:pStyle w:val="21"/>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BAD9E1">
            <w:pPr>
              <w:pStyle w:val="21"/>
            </w:pPr>
            <w:r>
              <w:t>60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4F5CBF">
            <w:pPr>
              <w:pStyle w:val="21"/>
            </w:pPr>
            <w:r>
              <w:t>-</w:t>
            </w:r>
          </w:p>
        </w:tc>
      </w:tr>
      <w:tr w14:paraId="740F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1782F6">
            <w:pPr>
              <w:pStyle w:val="21"/>
            </w:pPr>
            <w:r>
              <w:t>右肺和左肺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AD48ED">
            <w:pPr>
              <w:pStyle w:val="21"/>
            </w:pPr>
            <w:r>
              <w:t>1500ml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1417D9">
            <w:pPr>
              <w:pStyle w:val="21"/>
            </w:pPr>
            <w:r>
              <w:t>16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B0DF04">
            <w:pPr>
              <w:pStyle w:val="21"/>
            </w:pPr>
            <w:r>
              <w:t>22.0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20408F">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AA0BC7">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845BE6">
            <w:pPr>
              <w:pStyle w:val="21"/>
            </w:pPr>
            <w:r>
              <w:t>30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AD268D">
            <w:pPr>
              <w:pStyle w:val="21"/>
            </w:pPr>
            <w:r>
              <w:t>28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FAE37E">
            <w:pPr>
              <w:pStyle w:val="21"/>
            </w:pPr>
            <w:r>
              <w:t>28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A23091">
            <w:pPr>
              <w:pStyle w:val="21"/>
            </w:pPr>
            <w:r>
              <w:t>34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F3AC7C">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3055E3">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16C0E0">
            <w:pPr>
              <w:pStyle w:val="21"/>
            </w:pPr>
            <w:r>
              <w:t>38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F8300F">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8AED5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8C2A74">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B570F6">
            <w:pPr>
              <w:pStyle w:val="21"/>
            </w:pPr>
            <w:r>
              <w:t>-</w:t>
            </w:r>
          </w:p>
        </w:tc>
      </w:tr>
      <w:tr w14:paraId="63CD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71E864">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243248">
            <w:pPr>
              <w:pStyle w:val="21"/>
            </w:pPr>
            <w:r>
              <w:t>1000ml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8AD6D4">
            <w:pPr>
              <w:pStyle w:val="21"/>
            </w:pPr>
            <w:r>
              <w:t>31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E97961">
            <w:pPr>
              <w:pStyle w:val="21"/>
            </w:pPr>
            <w:r>
              <w:t>37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10F113">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9EDB62">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2FFE73">
            <w:pPr>
              <w:pStyle w:val="21"/>
            </w:pPr>
            <w:r>
              <w:t>45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14D55F">
            <w:pPr>
              <w:pStyle w:val="21"/>
            </w:pPr>
            <w:r>
              <w:t>43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EA9C60">
            <w:pPr>
              <w:pStyle w:val="21"/>
            </w:pPr>
            <w:r>
              <w:t>43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715259">
            <w:pPr>
              <w:pStyle w:val="21"/>
            </w:pPr>
            <w:r>
              <w:t>49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E84C56">
            <w:pPr>
              <w:pStyle w:val="21"/>
            </w:pPr>
            <w:r>
              <w:t>47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AE953A">
            <w:pPr>
              <w:pStyle w:val="21"/>
            </w:pPr>
            <w:r>
              <w:t>47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4C7BA1">
            <w:pPr>
              <w:pStyle w:val="21"/>
            </w:pPr>
            <w:r>
              <w:t>53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92001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AD3820">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ECD6C9">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6B6308">
            <w:pPr>
              <w:pStyle w:val="21"/>
            </w:pPr>
            <w:r>
              <w:t>-</w:t>
            </w:r>
          </w:p>
        </w:tc>
      </w:tr>
      <w:tr w14:paraId="59FA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A93BE0">
            <w:pPr>
              <w:pStyle w:val="21"/>
            </w:pPr>
            <w:r>
              <w:t>支气管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1E2B96">
            <w:pPr>
              <w:pStyle w:val="21"/>
            </w:pPr>
            <w:r>
              <w:t>Dmax（0.5ml）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0CD17B">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BB7AB1">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F3D42B">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4FCD3C">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E380D0">
            <w:pPr>
              <w:pStyle w:val="21"/>
            </w:pPr>
            <w:r>
              <w:t>25.2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20FB69">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071634">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69A08B">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94A392">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006282">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8A38FF">
            <w:pPr>
              <w:pStyle w:val="21"/>
            </w:pPr>
            <w:r>
              <w:t>34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CE76E5">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137D8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004381">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F53347">
            <w:pPr>
              <w:pStyle w:val="21"/>
            </w:pPr>
            <w:r>
              <w:t>-</w:t>
            </w:r>
          </w:p>
        </w:tc>
      </w:tr>
      <w:tr w14:paraId="1EDA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BD9499">
            <w:pPr>
              <w:pStyle w:val="21"/>
            </w:pPr>
            <w:r>
              <w:t>大支气管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D9E59D">
            <w:pPr>
              <w:pStyle w:val="21"/>
            </w:pPr>
            <w:r>
              <w:t>＜4ml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8FA2D5">
            <w:pPr>
              <w:pStyle w:val="21"/>
            </w:pPr>
            <w:r>
              <w:t>12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8C4617">
            <w:pPr>
              <w:pStyle w:val="21"/>
            </w:pPr>
            <w:r>
              <w:t>15.4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EA3A2">
            <w:pPr>
              <w:pStyle w:val="21"/>
            </w:pPr>
            <w:r>
              <w:t>17.7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4877D1">
            <w:pPr>
              <w:pStyle w:val="21"/>
            </w:pPr>
            <w:r>
              <w:t>17.7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785D9F">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9B18C7">
            <w:pPr>
              <w:pStyle w:val="21"/>
            </w:pPr>
            <w:r>
              <w:t>18.8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556AC6">
            <w:pPr>
              <w:pStyle w:val="21"/>
            </w:pPr>
            <w:r>
              <w:t>18.8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E4A1B9">
            <w:pPr>
              <w:pStyle w:val="21"/>
            </w:pPr>
            <w:r>
              <w:t>30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FCE059">
            <w:pPr>
              <w:pStyle w:val="21"/>
            </w:pPr>
            <w:r>
              <w:t>19.5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A5C1FC">
            <w:pPr>
              <w:pStyle w:val="21"/>
            </w:pPr>
            <w:r>
              <w:t>19.5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C3FAE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5F22DD">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4A4823">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FFF989">
            <w:pPr>
              <w:pStyle w:val="21"/>
            </w:pPr>
            <w:r>
              <w:t>40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5DA87F">
            <w:pPr>
              <w:pStyle w:val="21"/>
            </w:pPr>
            <w:r>
              <w:t>-</w:t>
            </w:r>
          </w:p>
        </w:tc>
      </w:tr>
      <w:tr w14:paraId="3822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311D7F">
            <w:pPr>
              <w:pStyle w:val="21"/>
            </w:pPr>
            <w:r>
              <w:t>小支气管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B21FE0">
            <w:pPr>
              <w:pStyle w:val="21"/>
            </w:pPr>
            <w:r>
              <w:t>＜0.5ml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231CCF">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FB04DD">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6E7038">
            <w:pPr>
              <w:pStyle w:val="21"/>
            </w:pPr>
            <w:r>
              <w:t>37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7F6EF1">
            <w:pPr>
              <w:pStyle w:val="21"/>
            </w:pPr>
            <w:r>
              <w:t>37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4187FC">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08DBA4">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793298">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AEF932">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19A6E6">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72C057">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C008E4">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28AFC7">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E42F69">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93EF38">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91E0BC">
            <w:pPr>
              <w:pStyle w:val="21"/>
            </w:pPr>
            <w:r>
              <w:t>-</w:t>
            </w:r>
          </w:p>
        </w:tc>
      </w:tr>
      <w:tr w14:paraId="2E0E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4AC2D6">
            <w:pPr>
              <w:pStyle w:val="21"/>
            </w:pPr>
            <w:r>
              <w:t>心脏 / 心包膜</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7CDC67">
            <w:pPr>
              <w:pStyle w:val="21"/>
            </w:pPr>
            <w:r>
              <w:t>Dmax（0.5ml）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79DDBB">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EF7D8A">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BBD637">
            <w:pPr>
              <w:pStyle w:val="21"/>
            </w:pPr>
            <w:r>
              <w:t>30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CB25CC">
            <w:pPr>
              <w:pStyle w:val="21"/>
            </w:pPr>
            <w:r>
              <w:t>30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496D3F">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0844B0">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6F9689">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15F989">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191A42">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A14565">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754B37">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DC841A">
            <w:pPr>
              <w:pStyle w:val="21"/>
            </w:pPr>
            <w:r>
              <w:t>35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56F710">
            <w:pPr>
              <w:pStyle w:val="21"/>
            </w:pPr>
            <w:r>
              <w:t>35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99B19C">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4F177E">
            <w:pPr>
              <w:pStyle w:val="21"/>
            </w:pPr>
            <w:r>
              <w:t>-</w:t>
            </w:r>
          </w:p>
        </w:tc>
      </w:tr>
      <w:tr w14:paraId="28EA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56268F">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6F928A">
            <w:pPr>
              <w:pStyle w:val="21"/>
            </w:pPr>
            <w:r>
              <w:t>＜15ml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FCFA2E">
            <w:pPr>
              <w:pStyle w:val="21"/>
            </w:pPr>
            <w:r>
              <w:t>22.0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FDE23B">
            <w:pPr>
              <w:pStyle w:val="21"/>
            </w:pPr>
            <w:r>
              <w:t>30.0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F8332E">
            <w:pPr>
              <w:pStyle w:val="21"/>
            </w:pPr>
            <w:r>
              <w:t>28.8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CBE84A">
            <w:pPr>
              <w:pStyle w:val="21"/>
            </w:pPr>
            <w:r>
              <w:t>28.8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776920">
            <w:pPr>
              <w:pStyle w:val="21"/>
            </w:pPr>
            <w:r>
              <w:t>36.9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A7017C">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D3C40F">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E95521">
            <w:pPr>
              <w:pStyle w:val="21"/>
            </w:pPr>
            <w:r>
              <w:t>40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31F66C">
            <w:pPr>
              <w:pStyle w:val="21"/>
            </w:pPr>
            <w:r>
              <w:t>35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5556F2">
            <w:pPr>
              <w:pStyle w:val="21"/>
            </w:pPr>
            <w:r>
              <w:t>35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A2402A">
            <w:pPr>
              <w:pStyle w:val="21"/>
            </w:pPr>
            <w:r>
              <w:t>43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265E04">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07A41C">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BB11E8">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3BC0F7">
            <w:pPr>
              <w:pStyle w:val="21"/>
            </w:pPr>
            <w:r>
              <w:t>-</w:t>
            </w:r>
          </w:p>
        </w:tc>
      </w:tr>
      <w:tr w14:paraId="70AC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D898ED">
            <w:pPr>
              <w:pStyle w:val="21"/>
            </w:pPr>
            <w:r>
              <w:t>大血管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F127DB">
            <w:pPr>
              <w:pStyle w:val="21"/>
            </w:pPr>
            <w:r>
              <w:t>Dmax（0.5ml）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0E6F57">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6F2F65">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C8EC9B">
            <w:pPr>
              <w:pStyle w:val="21"/>
            </w:pPr>
            <w:r>
              <w:t>30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243F21">
            <w:pPr>
              <w:pStyle w:val="21"/>
            </w:pPr>
            <w:r>
              <w:t>30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4CF781">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5E584B">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BAFF0F">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C23607">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AE8C5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5F5FD0">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10AC70">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EE90FD">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46D7FC">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5085B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3125B3">
            <w:pPr>
              <w:pStyle w:val="21"/>
            </w:pPr>
            <w:r>
              <w:t>-</w:t>
            </w:r>
          </w:p>
        </w:tc>
      </w:tr>
      <w:tr w14:paraId="760B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D7544A">
            <w:pPr>
              <w:pStyle w:val="21"/>
            </w:pPr>
            <w:r>
              <w:t>食管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E70CC4">
            <w:pPr>
              <w:pStyle w:val="21"/>
            </w:pPr>
            <w:r>
              <w:t>Dmax（0.5ml）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86D747">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5288EF">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4AD056">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F58259">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184416">
            <w:pPr>
              <w:pStyle w:val="21"/>
            </w:pPr>
            <w:r>
              <w:t>26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D7EAC3">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AC982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909F89">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B7402C">
            <w:pPr>
              <w:pStyle w:val="21"/>
            </w:pPr>
            <w:r>
              <w:t>27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85FC95">
            <w:pPr>
              <w:pStyle w:val="21"/>
            </w:pPr>
            <w:r>
              <w:t>27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BFAD2B">
            <w:pPr>
              <w:pStyle w:val="21"/>
            </w:pPr>
            <w:r>
              <w:t>29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221F05">
            <w:pPr>
              <w:pStyle w:val="21"/>
            </w:pPr>
            <w:r>
              <w:t>27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762298">
            <w:pPr>
              <w:pStyle w:val="21"/>
            </w:pPr>
            <w:r>
              <w:t>27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E8907C">
            <w:pPr>
              <w:pStyle w:val="21"/>
            </w:pPr>
            <w:r>
              <w:t>38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BCE4F6">
            <w:pPr>
              <w:pStyle w:val="21"/>
            </w:pPr>
            <w:r>
              <w:t>-</w:t>
            </w:r>
          </w:p>
        </w:tc>
      </w:tr>
      <w:tr w14:paraId="7EE5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28C55F">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1C1CAA">
            <w:pPr>
              <w:pStyle w:val="21"/>
            </w:pPr>
            <w:r>
              <w:t>＜5ml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C60A7A">
            <w:pPr>
              <w:pStyle w:val="21"/>
            </w:pPr>
            <w:r>
              <w:t>14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BF28D0">
            <w:pPr>
              <w:pStyle w:val="21"/>
            </w:pPr>
            <w:r>
              <w:t>17.5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EF22C3">
            <w:pPr>
              <w:pStyle w:val="21"/>
            </w:pPr>
            <w:r>
              <w:t>20.4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24E5EC">
            <w:pPr>
              <w:pStyle w:val="21"/>
            </w:pPr>
            <w:r>
              <w:t>20.4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16E920">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E274F7">
            <w:pPr>
              <w:pStyle w:val="21"/>
            </w:pPr>
            <w:r>
              <w:t>23.6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A6B2DD">
            <w:pPr>
              <w:pStyle w:val="21"/>
            </w:pPr>
            <w:r>
              <w:t>23.6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91ADDA">
            <w:pPr>
              <w:pStyle w:val="21"/>
            </w:pPr>
            <w:r>
              <w:t>27.2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A1ED1A">
            <w:pPr>
              <w:pStyle w:val="21"/>
            </w:pPr>
            <w:r>
              <w:t>27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6F671B">
            <w:pPr>
              <w:pStyle w:val="21"/>
            </w:pPr>
            <w:r>
              <w:t>27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84041F">
            <w:pPr>
              <w:pStyle w:val="21"/>
            </w:pPr>
            <w:r>
              <w:t>30.5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FF29C4">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6D8C52">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019813">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2828D6">
            <w:pPr>
              <w:pStyle w:val="21"/>
            </w:pPr>
            <w:r>
              <w:t>-</w:t>
            </w:r>
          </w:p>
        </w:tc>
      </w:tr>
      <w:tr w14:paraId="3B1B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7E64A2">
            <w:pPr>
              <w:pStyle w:val="21"/>
            </w:pPr>
            <w:r>
              <w:t>胸壁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E7EAA4">
            <w:pPr>
              <w:pStyle w:val="21"/>
            </w:pPr>
            <w:r>
              <w:t>Dmax（0.5ml）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4126E3">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BBEB21">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9ACE6D">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1B6914">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1A5354">
            <w:pPr>
              <w:pStyle w:val="21"/>
            </w:pPr>
            <w:r>
              <w:t>26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204CED">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142D7D">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331237">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8C001C">
            <w:pPr>
              <w:pStyle w:val="21"/>
            </w:pPr>
            <w:r>
              <w:t>27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B033E6">
            <w:pPr>
              <w:pStyle w:val="21"/>
            </w:pPr>
            <w:r>
              <w:t>27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986A96">
            <w:pPr>
              <w:pStyle w:val="21"/>
            </w:pPr>
            <w:r>
              <w:t>29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2A6DC4">
            <w:pPr>
              <w:pStyle w:val="21"/>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880E3E">
            <w:pPr>
              <w:pStyle w:val="21"/>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A26EC2">
            <w:pPr>
              <w:pStyle w:val="21"/>
            </w:pPr>
            <w:r>
              <w:t>60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5C8E89">
            <w:pPr>
              <w:pStyle w:val="21"/>
            </w:pPr>
            <w:r>
              <w:t>-</w:t>
            </w:r>
          </w:p>
        </w:tc>
      </w:tr>
      <w:tr w14:paraId="364B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F61E10">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43CAE5">
            <w:pPr>
              <w:pStyle w:val="21"/>
            </w:pPr>
            <w:r>
              <w:t>D30ml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A747DD">
            <w:pPr>
              <w:pStyle w:val="21"/>
            </w:pPr>
            <w:r>
              <w:t>16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66A9C4">
            <w:pPr>
              <w:pStyle w:val="21"/>
            </w:pPr>
            <w:r>
              <w:t>22.0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97B275">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56D70E">
            <w:pPr>
              <w:pStyle w:val="21"/>
            </w:pPr>
            <w:r>
              <w:t>24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223E7E">
            <w:pPr>
              <w:pStyle w:val="21"/>
            </w:pPr>
            <w:r>
              <w:t>30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15160D">
            <w:pPr>
              <w:pStyle w:val="21"/>
            </w:pPr>
            <w:r>
              <w:t>28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57C9D1">
            <w:pPr>
              <w:pStyle w:val="21"/>
            </w:pPr>
            <w:r>
              <w:t>28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01DD65">
            <w:pPr>
              <w:pStyle w:val="21"/>
            </w:pPr>
            <w:r>
              <w:t>34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667FF9">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2F0401">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A7DB3C">
            <w:pPr>
              <w:pStyle w:val="21"/>
            </w:pPr>
            <w:r>
              <w:t>38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E44601">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5AAAD9">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75D45C">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4082F2">
            <w:pPr>
              <w:pStyle w:val="21"/>
            </w:pPr>
            <w:r>
              <w:t>-</w:t>
            </w:r>
          </w:p>
        </w:tc>
      </w:tr>
      <w:tr w14:paraId="5961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7E9B5E">
            <w:pPr>
              <w:pStyle w:val="21"/>
            </w:pPr>
            <w:r>
              <w:t>肋骨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228D0A">
            <w:pPr>
              <w:pStyle w:val="21"/>
            </w:pPr>
            <w:r>
              <w:t>＜1ml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D1DF8F">
            <w:pPr>
              <w:pStyle w:val="21"/>
            </w:pPr>
            <w:r>
              <w:t>31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46B6C5">
            <w:pPr>
              <w:pStyle w:val="21"/>
            </w:pPr>
            <w:r>
              <w:t>37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AAF0D7">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493DB9">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B2FD12">
            <w:pPr>
              <w:pStyle w:val="21"/>
            </w:pPr>
            <w:r>
              <w:t>45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55ECCB">
            <w:pPr>
              <w:pStyle w:val="21"/>
            </w:pPr>
            <w:r>
              <w:t>43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CF3B95">
            <w:pPr>
              <w:pStyle w:val="21"/>
            </w:pPr>
            <w:r>
              <w:t>43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092F8E">
            <w:pPr>
              <w:pStyle w:val="21"/>
            </w:pPr>
            <w:r>
              <w:t>49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113069">
            <w:pPr>
              <w:pStyle w:val="21"/>
            </w:pPr>
            <w:r>
              <w:t>47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9F157B">
            <w:pPr>
              <w:pStyle w:val="21"/>
            </w:pPr>
            <w:r>
              <w:t>47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AB057F">
            <w:pPr>
              <w:pStyle w:val="21"/>
            </w:pPr>
            <w:r>
              <w:t>53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AFBFDB">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D07B2F">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693551">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43AF9F">
            <w:pPr>
              <w:pStyle w:val="21"/>
            </w:pPr>
            <w:r>
              <w:t>-</w:t>
            </w:r>
          </w:p>
        </w:tc>
      </w:tr>
      <w:tr w14:paraId="0253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C5EF70">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92E751">
            <w:pPr>
              <w:pStyle w:val="21"/>
            </w:pPr>
            <w:r>
              <w:t>＜30ml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2E5B51">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D08C9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2BDD73">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050094">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69C8D8">
            <w:pPr>
              <w:pStyle w:val="21"/>
            </w:pPr>
            <w:r>
              <w:t>25.2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676067">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078A50">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8B3FBF">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5C7788">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F31606">
            <w:pPr>
              <w:pStyle w:val="21"/>
            </w:pPr>
            <w:r>
              <w:t>32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0569AD">
            <w:pPr>
              <w:pStyle w:val="21"/>
            </w:pPr>
            <w:r>
              <w:t>34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739A99">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BC0E9B">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D0133E">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0F0EBC">
            <w:pPr>
              <w:pStyle w:val="21"/>
            </w:pPr>
            <w:r>
              <w:t>-</w:t>
            </w:r>
          </w:p>
        </w:tc>
      </w:tr>
      <w:tr w14:paraId="1BA6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A76319">
            <w:pPr>
              <w:pStyle w:val="21"/>
            </w:pPr>
            <w:r>
              <w:t>臂丛</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1035F6">
            <w:pPr>
              <w:pStyle w:val="21"/>
            </w:pPr>
            <w:r>
              <w:t>Dmax（0.5ml）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F71829">
            <w:pPr>
              <w:pStyle w:val="21"/>
            </w:pPr>
            <w:r>
              <w:t>12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227AFA">
            <w:pPr>
              <w:pStyle w:val="21"/>
            </w:pPr>
            <w:r>
              <w:t>15.4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AEE6D9">
            <w:pPr>
              <w:pStyle w:val="21"/>
            </w:pPr>
            <w:r>
              <w:t>17.7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8A4C2F">
            <w:pPr>
              <w:pStyle w:val="21"/>
            </w:pPr>
            <w:r>
              <w:t>17.7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7E14AD">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B7E830">
            <w:pPr>
              <w:pStyle w:val="21"/>
            </w:pPr>
            <w:r>
              <w:t>18.8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704D86">
            <w:pPr>
              <w:pStyle w:val="21"/>
            </w:pPr>
            <w:r>
              <w:t>18.8</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2E42D6">
            <w:pPr>
              <w:pStyle w:val="21"/>
            </w:pPr>
            <w:r>
              <w:t>30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DC2196">
            <w:pPr>
              <w:pStyle w:val="21"/>
            </w:pPr>
            <w:r>
              <w:t>19.5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F342C0">
            <w:pPr>
              <w:pStyle w:val="21"/>
            </w:pPr>
            <w:r>
              <w:t>19.5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9D9ED5">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FB060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9B63D8">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358848">
            <w:pPr>
              <w:pStyle w:val="21"/>
            </w:pPr>
            <w:r>
              <w:t>40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49DCF2">
            <w:pPr>
              <w:pStyle w:val="21"/>
            </w:pPr>
            <w:r>
              <w:t>-</w:t>
            </w:r>
          </w:p>
        </w:tc>
      </w:tr>
      <w:tr w14:paraId="77AF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B3FB47">
            <w:pPr>
              <w:pStyle w:val="21"/>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A98DBA">
            <w:pPr>
              <w:pStyle w:val="21"/>
            </w:pPr>
            <w:r>
              <w:t>＜3ml</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62CC62">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5CADF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28A8D4">
            <w:pPr>
              <w:pStyle w:val="21"/>
            </w:pPr>
            <w:r>
              <w:t>37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36E2C3">
            <w:pPr>
              <w:pStyle w:val="21"/>
            </w:pPr>
            <w:r>
              <w:t>37</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956CF3">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3CED06">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AA6A4E">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22ACD5">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98C2D8">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5456FB">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8C8784">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86E81D">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E60876">
            <w:pPr>
              <w:pStyle w:val="21"/>
            </w:pPr>
            <w:r>
              <w:t>39</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F0B4C5">
            <w:pPr>
              <w:pStyle w:val="21"/>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F88D71">
            <w:pPr>
              <w:pStyle w:val="21"/>
            </w:pPr>
            <w:r>
              <w:t>-</w:t>
            </w:r>
          </w:p>
        </w:tc>
      </w:tr>
    </w:tbl>
    <w:p w14:paraId="0CCD014A">
      <w:pPr>
        <w:pStyle w:val="21"/>
      </w:pPr>
      <w:r>
        <w:t>表 A.2 累计 EQD2Gy 剂量的目标参考值（密西根大学）</w:t>
      </w:r>
    </w:p>
    <w:p w14:paraId="614B28E8">
      <w:pPr>
        <w:pStyle w:val="21"/>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42"/>
        <w:gridCol w:w="1353"/>
        <w:gridCol w:w="1429"/>
        <w:gridCol w:w="1285"/>
        <w:gridCol w:w="1285"/>
        <w:gridCol w:w="1286"/>
        <w:gridCol w:w="1286"/>
      </w:tblGrid>
      <w:tr w14:paraId="748F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7E802D">
            <w:pPr>
              <w:pStyle w:val="21"/>
            </w:pPr>
            <w:r>
              <w:t>OAR</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F4421A">
            <w:pPr>
              <w:pStyle w:val="21"/>
            </w:pPr>
            <w:r>
              <w:t>α/β 值（Gy）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6FB50F">
            <w:pPr>
              <w:pStyle w:val="21"/>
            </w:pPr>
            <w:r>
              <w:t>最大剂量限制（最小体积 0.1cc，EQD2）（Gy）</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CCA9A7">
            <w:pPr>
              <w:pStyle w:val="21"/>
            </w:pPr>
            <w:r>
              <w:t>既往剂量折算（%）（＜3 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314CFA">
            <w:pPr>
              <w:pStyle w:val="21"/>
            </w:pPr>
            <w:r>
              <w:t>既往剂量折算（%）（3 月～6 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0367B3">
            <w:pPr>
              <w:pStyle w:val="21"/>
            </w:pPr>
            <w:r>
              <w:t>既往剂量折算（%）（6 月～1 年）</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9F645B">
            <w:pPr>
              <w:pStyle w:val="21"/>
            </w:pPr>
            <w:r>
              <w:t>既往剂量折算（%）（1 年～3 年）</w:t>
            </w:r>
          </w:p>
        </w:tc>
      </w:tr>
      <w:tr w14:paraId="4E9A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F986E7">
            <w:pPr>
              <w:pStyle w:val="21"/>
            </w:pPr>
            <w:r>
              <w:t>脑干</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FADC7C">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288DC9">
            <w:pPr>
              <w:pStyle w:val="21"/>
            </w:pPr>
            <w:r>
              <w:t>64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65420E">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D3C765">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34D1F3">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7D6069">
            <w:pPr>
              <w:pStyle w:val="21"/>
            </w:pPr>
            <w:r>
              <w:t>50</w:t>
            </w:r>
          </w:p>
        </w:tc>
      </w:tr>
      <w:tr w14:paraId="3EE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70BF2D">
            <w:pPr>
              <w:pStyle w:val="21"/>
            </w:pPr>
            <w:r>
              <w:t>视交叉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E5A259">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36D92">
            <w:pPr>
              <w:pStyle w:val="21"/>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3A3D28">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0B05F3">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1C9556">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D353ED">
            <w:pPr>
              <w:pStyle w:val="21"/>
            </w:pPr>
            <w:r>
              <w:t>50</w:t>
            </w:r>
          </w:p>
        </w:tc>
      </w:tr>
      <w:tr w14:paraId="086F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2B4872">
            <w:pPr>
              <w:pStyle w:val="21"/>
            </w:pPr>
            <w:r>
              <w:t>视神经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8FFA1C">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AEBB60">
            <w:pPr>
              <w:pStyle w:val="21"/>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414FB6">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E5C714">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03180D">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F2D19F">
            <w:pPr>
              <w:pStyle w:val="21"/>
            </w:pPr>
            <w:r>
              <w:t>50</w:t>
            </w:r>
          </w:p>
        </w:tc>
      </w:tr>
      <w:tr w14:paraId="2FFB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EC7DBC">
            <w:pPr>
              <w:pStyle w:val="21"/>
            </w:pPr>
            <w:r>
              <w:t>视网膜</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C108DA">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3E3A7D">
            <w:pPr>
              <w:pStyle w:val="21"/>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F1D632">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D6EE46">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A00FD8">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51A8D8">
            <w:pPr>
              <w:pStyle w:val="21"/>
            </w:pPr>
            <w:r>
              <w:t>50</w:t>
            </w:r>
          </w:p>
        </w:tc>
      </w:tr>
      <w:tr w14:paraId="24B1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D275F2">
            <w:pPr>
              <w:pStyle w:val="21"/>
            </w:pPr>
            <w:r>
              <w:t>脊髓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AF6CC3">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F3EB0C">
            <w:pPr>
              <w:pStyle w:val="21"/>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4654D5">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772695">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63D509">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8A94FB3">
            <w:pPr>
              <w:pStyle w:val="21"/>
            </w:pPr>
            <w:r>
              <w:t>50</w:t>
            </w:r>
          </w:p>
        </w:tc>
      </w:tr>
      <w:tr w14:paraId="780B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8C2DF8">
            <w:pPr>
              <w:pStyle w:val="21"/>
            </w:pPr>
            <w:r>
              <w:t>脊髓（距靶区＜2mm）</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FAB70F">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6D1B1A">
            <w:pPr>
              <w:pStyle w:val="21"/>
            </w:pPr>
            <w:r>
              <w:t>55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FD5C55">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370A46">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F0EBBC">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D31710">
            <w:pPr>
              <w:pStyle w:val="21"/>
            </w:pPr>
            <w:r>
              <w:t>50</w:t>
            </w:r>
          </w:p>
        </w:tc>
      </w:tr>
      <w:tr w14:paraId="66A3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C23C05">
            <w:pPr>
              <w:pStyle w:val="21"/>
            </w:pPr>
            <w:r>
              <w:t>臂丛</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32ECAB">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C77B80">
            <w:pPr>
              <w:pStyle w:val="21"/>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92AA17">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EBA85F">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5130E9">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223C70">
            <w:pPr>
              <w:pStyle w:val="21"/>
            </w:pPr>
            <w:r>
              <w:t>50</w:t>
            </w:r>
          </w:p>
        </w:tc>
      </w:tr>
      <w:tr w14:paraId="5EB0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FC3F10">
            <w:pPr>
              <w:pStyle w:val="21"/>
            </w:pPr>
            <w:r>
              <w:t>胸壁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A942E9">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AC8DA5">
            <w:pPr>
              <w:pStyle w:val="21"/>
            </w:pPr>
            <w:r>
              <w:t>100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892BB0">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BCDE1F">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92202B">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9EFC99">
            <w:pPr>
              <w:pStyle w:val="21"/>
            </w:pPr>
            <w:r>
              <w:t>50</w:t>
            </w:r>
          </w:p>
        </w:tc>
      </w:tr>
      <w:tr w14:paraId="6512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12D18D">
            <w:pPr>
              <w:pStyle w:val="21"/>
            </w:pPr>
            <w:r>
              <w:t>气管 / 支气管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3261C1">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AA2086">
            <w:pPr>
              <w:pStyle w:val="21"/>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42B78B">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4CD120">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D4FBA8">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DBA628">
            <w:pPr>
              <w:pStyle w:val="21"/>
            </w:pPr>
            <w:r>
              <w:t>50</w:t>
            </w:r>
          </w:p>
        </w:tc>
      </w:tr>
      <w:tr w14:paraId="681A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3CCF93">
            <w:pPr>
              <w:pStyle w:val="21"/>
            </w:pPr>
            <w:r>
              <w:t>食道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5B34E5">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6DA7E9">
            <w:pPr>
              <w:pStyle w:val="21"/>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213A5F">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BA5106">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D53E19">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71FBA8">
            <w:pPr>
              <w:pStyle w:val="21"/>
            </w:pPr>
            <w:r>
              <w:t>50</w:t>
            </w:r>
          </w:p>
        </w:tc>
      </w:tr>
      <w:tr w14:paraId="3C26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C56B30">
            <w:pPr>
              <w:pStyle w:val="21"/>
            </w:pPr>
            <w:r>
              <w:t>大血管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D3E422">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32046D">
            <w:pPr>
              <w:pStyle w:val="21"/>
            </w:pPr>
            <w:r>
              <w:t>100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2D98E6">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9EC3F2">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FA0A1C">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C1D5D1">
            <w:pPr>
              <w:pStyle w:val="21"/>
            </w:pPr>
            <w:r>
              <w:t>50</w:t>
            </w:r>
          </w:p>
        </w:tc>
      </w:tr>
      <w:tr w14:paraId="4219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E304C1">
            <w:pPr>
              <w:pStyle w:val="21"/>
            </w:pPr>
            <w:r>
              <w:t>心脏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E25ACD">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65E646">
            <w:pPr>
              <w:pStyle w:val="21"/>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24B194">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C7CC26">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B8ADEE">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FFB877">
            <w:pPr>
              <w:pStyle w:val="21"/>
            </w:pPr>
            <w:r>
              <w:t>50</w:t>
            </w:r>
          </w:p>
        </w:tc>
      </w:tr>
      <w:tr w14:paraId="6857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D625A1">
            <w:pPr>
              <w:pStyle w:val="21"/>
            </w:pPr>
            <w:r>
              <w:t>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D0B00E">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3F86F9">
            <w:pPr>
              <w:pStyle w:val="21"/>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56E856">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13EDA6">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CB0F4D">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5C13D7">
            <w:pPr>
              <w:pStyle w:val="21"/>
            </w:pPr>
            <w:r>
              <w:t>25</w:t>
            </w:r>
          </w:p>
        </w:tc>
      </w:tr>
      <w:tr w14:paraId="64CA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89A324">
            <w:pPr>
              <w:pStyle w:val="21"/>
            </w:pPr>
            <w:r>
              <w:t>小肠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6A09BD">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342307">
            <w:pPr>
              <w:pStyle w:val="21"/>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A6F5F1">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B1DBAA">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FE7DBE">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A67DD9">
            <w:pPr>
              <w:pStyle w:val="21"/>
            </w:pPr>
            <w:r>
              <w:t>25</w:t>
            </w:r>
          </w:p>
        </w:tc>
      </w:tr>
      <w:tr w14:paraId="0B59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AB47FC">
            <w:pPr>
              <w:pStyle w:val="21"/>
            </w:pPr>
            <w:r>
              <w:t>十二指肠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22DF1A">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054A54">
            <w:pPr>
              <w:pStyle w:val="21"/>
            </w:pPr>
            <w:r>
              <w:t>54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181E64">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11C76E">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E48E8D">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17E182">
            <w:pPr>
              <w:pStyle w:val="21"/>
            </w:pPr>
            <w:r>
              <w:t>25</w:t>
            </w:r>
          </w:p>
        </w:tc>
      </w:tr>
      <w:tr w14:paraId="5D24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428F49">
            <w:pPr>
              <w:pStyle w:val="21"/>
            </w:pPr>
            <w:r>
              <w:t>结肠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F60BC6">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ED81E4">
            <w:pPr>
              <w:pStyle w:val="21"/>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012EB8">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58C5A1">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2EB052">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872815">
            <w:pPr>
              <w:pStyle w:val="21"/>
            </w:pPr>
            <w:r>
              <w:t>50</w:t>
            </w:r>
          </w:p>
        </w:tc>
      </w:tr>
      <w:tr w14:paraId="5609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61A10A">
            <w:pPr>
              <w:pStyle w:val="21"/>
            </w:pPr>
            <w:r>
              <w:t>直肠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AADF82">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A5A622">
            <w:pPr>
              <w:pStyle w:val="21"/>
            </w:pPr>
            <w:r>
              <w:t>80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7EF016">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AEE8D3">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D0DEF6">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DF3195">
            <w:pPr>
              <w:pStyle w:val="21"/>
            </w:pPr>
            <w:r>
              <w:t>50</w:t>
            </w:r>
          </w:p>
        </w:tc>
      </w:tr>
      <w:tr w14:paraId="037B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0D4F72">
            <w:pPr>
              <w:pStyle w:val="21"/>
            </w:pPr>
            <w:r>
              <w:t>肾脏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E97467">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BDC5E6">
            <w:pPr>
              <w:pStyle w:val="21"/>
            </w:pPr>
            <w:r>
              <w:t>ALARA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5AFB78">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59DA38">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00FBC5">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215574">
            <w:pPr>
              <w:pStyle w:val="21"/>
            </w:pPr>
            <w:r>
              <w:t>0</w:t>
            </w:r>
          </w:p>
        </w:tc>
      </w:tr>
      <w:tr w14:paraId="695E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CC993A">
            <w:pPr>
              <w:pStyle w:val="21"/>
            </w:pPr>
            <w:r>
              <w:t>膀胱</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EEC2AA">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C4D572">
            <w:pPr>
              <w:pStyle w:val="21"/>
            </w:pPr>
            <w:r>
              <w:t>85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8FC29A">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644779">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6F1535">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EA6A7E">
            <w:pPr>
              <w:pStyle w:val="21"/>
            </w:pPr>
            <w:r>
              <w:t>50</w:t>
            </w:r>
          </w:p>
        </w:tc>
      </w:tr>
      <w:tr w14:paraId="3837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BC0F97">
            <w:pPr>
              <w:pStyle w:val="21"/>
            </w:pPr>
            <w:r>
              <w:t>马尾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A51B45">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D54049">
            <w:pPr>
              <w:pStyle w:val="21"/>
            </w:pPr>
            <w:r>
              <w:t>60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8D8E8F7">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FCB3D6">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9A1F0F">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11757E">
            <w:pPr>
              <w:pStyle w:val="21"/>
            </w:pPr>
            <w:r>
              <w:t>50</w:t>
            </w:r>
          </w:p>
        </w:tc>
      </w:tr>
      <w:tr w14:paraId="6FF2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7E09B8">
            <w:pPr>
              <w:pStyle w:val="21"/>
            </w:pPr>
            <w:r>
              <w:t>骶丛神经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887A9D">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246284">
            <w:pPr>
              <w:pStyle w:val="21"/>
            </w:pPr>
            <w:r>
              <w:t>70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FED2EF">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1EE530">
            <w:pPr>
              <w:pStyle w:val="21"/>
            </w:pPr>
            <w:r>
              <w:t>10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404030">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15754A">
            <w:pPr>
              <w:pStyle w:val="21"/>
            </w:pPr>
            <w:r>
              <w:t>50</w:t>
            </w:r>
          </w:p>
        </w:tc>
      </w:tr>
      <w:tr w14:paraId="6F7D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E58048">
            <w:pPr>
              <w:pStyle w:val="21"/>
            </w:pPr>
            <w:r>
              <w:t>肺</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E6E278">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20DCD6">
            <w:pPr>
              <w:pStyle w:val="21"/>
            </w:pPr>
            <w:r>
              <w:t>每个病例自定义</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9AD877">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A371B3">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D4FF92">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1B3D14">
            <w:pPr>
              <w:pStyle w:val="21"/>
            </w:pPr>
            <w:r>
              <w:t>50</w:t>
            </w:r>
          </w:p>
        </w:tc>
      </w:tr>
      <w:tr w14:paraId="1BA6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486B10">
            <w:pPr>
              <w:pStyle w:val="21"/>
            </w:pPr>
            <w:r>
              <w:t>肝脏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3D0E15">
            <w:pPr>
              <w:pStyle w:val="21"/>
            </w:pPr>
            <w:r>
              <w:t>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1D9C1F">
            <w:pPr>
              <w:pStyle w:val="21"/>
            </w:pPr>
            <w:r>
              <w:t>NTCP 限制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AD8834">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E34A21">
            <w:pPr>
              <w:pStyle w:val="21"/>
            </w:pPr>
            <w:r>
              <w:t>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16C810">
            <w:pPr>
              <w:pStyle w:val="21"/>
            </w:pPr>
            <w:r>
              <w:t>50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B79FFB9">
            <w:pPr>
              <w:pStyle w:val="21"/>
            </w:pPr>
            <w:r>
              <w:t>100</w:t>
            </w:r>
          </w:p>
        </w:tc>
      </w:tr>
    </w:tbl>
    <w:p w14:paraId="23C6EC8F">
      <w:pPr>
        <w:pStyle w:val="21"/>
      </w:pPr>
      <w:r>
        <w:t>注：OAR = 危及器官；NTCP = 正常组织并发症概率；ALARA = 合理最低剂量</w:t>
      </w:r>
    </w:p>
    <w:p w14:paraId="4541571B">
      <w:pPr>
        <w:pStyle w:val="21"/>
      </w:pPr>
    </w:p>
    <w:p w14:paraId="2C167632">
      <w:pPr>
        <w:pBdr>
          <w:bottom w:val="single" w:color="auto" w:sz="6" w:space="1"/>
        </w:pBdr>
      </w:pPr>
    </w:p>
    <w:p w14:paraId="5763FB15">
      <w:pPr>
        <w:pStyle w:val="3"/>
      </w:pPr>
      <w:bookmarkStart w:id="55" w:name="_Toc14420"/>
      <w:r>
        <w:t>参考文献</w:t>
      </w:r>
      <w:bookmarkEnd w:id="55"/>
    </w:p>
    <w:p w14:paraId="59F14390">
      <w:pPr>
        <w:pStyle w:val="21"/>
      </w:pPr>
      <w:r>
        <w:t>[1] Travis WD, et al. The 2015 World Health Organization Classification of Lung Tumors. J Thorac Oncol. 2015;10(9):1243-1260.</w:t>
      </w:r>
    </w:p>
    <w:p w14:paraId="31C79453">
      <w:pPr>
        <w:pStyle w:val="21"/>
      </w:pPr>
      <w:r>
        <w:t>[2] Timmerman R, et al. Stereotactic Body Radiation Therapy for Inoperable Early Stage Lung Cancer. JAMA. 2010;303(11):1070-1076.</w:t>
      </w:r>
    </w:p>
    <w:p w14:paraId="775990D0">
      <w:pPr>
        <w:pStyle w:val="21"/>
      </w:pPr>
      <w:r>
        <w:t>[3] Vozenin MC, et al. FLASH Radiotherapy: Current Knowledge and Future Insights. Radiother Oncol. 2019;139:30-37.</w:t>
      </w:r>
    </w:p>
    <w:p w14:paraId="3FBDF373">
      <w:pPr>
        <w:pStyle w:val="21"/>
      </w:pPr>
      <w:r>
        <w:t>[4] Lischalk JW, et al. CyberKnife Radiosurgery for Early-Stage Lung Cancer: Results from the Accuray Multi-Institutional Registry. Front Oncol. 2022;12:834486.</w:t>
      </w:r>
    </w:p>
    <w:p w14:paraId="64DC358D">
      <w:pPr>
        <w:pStyle w:val="21"/>
      </w:pPr>
      <w:r>
        <w:t>[5] Rwigema JC, Heron DE, Parikh SD, et al. Adjuvant stereotactic body radiotherapy for resected pancreatic adenocarcinoma with close or positive margins. J Gastrointest Cancer. 2012; 43: 70-76.</w:t>
      </w:r>
    </w:p>
    <w:p w14:paraId="4781B919">
      <w:pPr>
        <w:pStyle w:val="21"/>
      </w:pPr>
      <w:r>
        <w:t>[6] 早期非小细胞肺癌体部立体定向放射治疗呼吸门控技术运动管理标准，T/SBIAORG 0001—2024。</w:t>
      </w:r>
    </w:p>
    <w:p w14:paraId="02A3AF68">
      <w:pPr>
        <w:pStyle w:val="21"/>
      </w:pPr>
      <w:r>
        <w:t>[7] 王绿化，等。中国非小细胞肺癌立体定向放疗多中心研究（SBRT-NSCLC-001）. 中华放射肿瘤学杂志.2022;31 (2):79-85.</w:t>
      </w:r>
    </w:p>
    <w:p w14:paraId="41A8060F">
      <w:pPr>
        <w:pStyle w:val="21"/>
      </w:pPr>
      <w:r>
        <w:t>[8] Long-term Results of Stereotactic Body Radiation Therapy in Medically Inoperable Stage I Non-Small Cell Lung Cancer. JAMA Oncol. 2018 Sep 1;4(9):1287-1288. doi: 10.1001/jamaoncol.2018.1258. PMID: 29852036; PMCID: PMC6117101.</w:t>
      </w:r>
    </w:p>
    <w:p w14:paraId="05DD13DE">
      <w:pPr>
        <w:pStyle w:val="21"/>
      </w:pPr>
      <w:r>
        <w:t>[9] SUNSET: Stereotactic Radiation for Ultracentral Non-Small-Cell Lung Cancer-A Safety and Efficacy Trial. Clin Lung Cancer. 2018 Jul;19(4):e529-e532. doi: 10.1016/j.cllc.2018.04.001. Epub 2018 Apr 18. PMID: 29759332.</w:t>
      </w:r>
    </w:p>
    <w:p w14:paraId="749B116B">
      <w:pPr>
        <w:pStyle w:val="21"/>
      </w:pPr>
      <w:r>
        <w:t>[10] Stereotactic Radiation for Ultra-Central Non-Small Cell Lung Cancer: A Safety and Efficacy Trial (SUNSET). Int J Radiat Oncol Biol Phys. 2024 Nov 1;120(3):669-677. doi: 10.1016/j.ijrobp.2024.03.050. Epub 2024 Apr 12. PMID: 38614279.</w:t>
      </w:r>
    </w:p>
    <w:p w14:paraId="5C76E700">
      <w:pPr>
        <w:pStyle w:val="21"/>
      </w:pPr>
      <w:r>
        <w:t>[11] Stereotactic Body Radiation Therapy for Operable Early-Stage Lung Cancer: Findings From the NRG Oncology RTOG 0618 Trial. JAMA Oncol. 2018 Sep 1;4(9):1263-1266. doi: 10.1001/jamaoncol.2018.1251. PMID: 29852037; PMCID: PMC6117102.</w:t>
      </w:r>
    </w:p>
    <w:p w14:paraId="3E5EE41E">
      <w:pPr>
        <w:pStyle w:val="21"/>
      </w:pPr>
      <w:r>
        <w:t>[12] Dohopolski M, Gottumukkala S, Gomez D, Iyengar P. Radiation Therapy in Non-Small-Cell Lung Cancer. Cold Spring Harb Perspect Med. 2021 Oct 1;11(10):a037713. doi: 10.1101/cshperspect.a037713. PMID: 34127511; PMCID: PMC8485739.</w:t>
      </w:r>
    </w:p>
    <w:p w14:paraId="18D2CE7B">
      <w:pPr>
        <w:pStyle w:val="21"/>
      </w:pPr>
      <w:r>
        <w:t>[13] Wang X, Bai H, Gao M, Guan Y, Yu L, Li J, Dong Y, Song Y, Tao Z, Meng M, Wu Z, Zhao L, Yuan Z. Impact of radiation dose to the immune system on disease progression and survival for early-stage non-small cell lung cancer treated with stereotactic body radiation therapy. Radiother Oncol. 2023 Sep;186:109804. doi: 10.1016/j.radonc.2023.109804. Epub 2023 Jul 10. PMID: 37437605.</w:t>
      </w:r>
    </w:p>
    <w:p w14:paraId="234F66EB">
      <w:pPr>
        <w:pStyle w:val="21"/>
      </w:pPr>
      <w:r>
        <w:t>[14] Li F, Jiang H, Bu M, Mu X, Zhao H. Dose-effect relationship of stereotactic body radiotherapy in non-small cell lung cancer patients. Radiat Oncol. 2022 Dec 23;17(1):211. doi: 10.1186/s13014-022-02183-3. PMID: 36564845; PMCID: PMC9789627.</w:t>
      </w:r>
    </w:p>
    <w:p w14:paraId="40313DBE">
      <w:pPr>
        <w:pStyle w:val="21"/>
      </w:pPr>
      <w:r>
        <w:t>[15] Aridgides P, Bogart J. Stereotactic Body Radiation Therapy for Stage I Non-Small Cell Lung Cancer. Thorac Surg Clin. 2016 Aug;26(3):261-9. doi: 10.1016/j.thorsurg.2016.04.008. PMID: 27427521.</w:t>
      </w:r>
    </w:p>
    <w:p w14:paraId="32CD68AF">
      <w:pPr>
        <w:pStyle w:val="21"/>
      </w:pPr>
      <w:r>
        <w:t>[16] 中国临床肿瘤学会。原发性肺癌诊疗指南（2022 年版）中华肿瘤杂志 2022;44 (6):457-490.</w:t>
      </w:r>
    </w:p>
    <w:p w14:paraId="6FE57C03">
      <w:pPr>
        <w:pStyle w:val="21"/>
      </w:pPr>
      <w:r>
        <w:t>[17] Resová K, Paračková T, Cvek J. Stereotactic body radiation therapy in the treatment of early-stage non-small cell lung cancer. Klin Onkol. 2023 Fall;36(4):370-377. English. doi: 10.48095/ccko2023370. PMID: 37877529.</w:t>
      </w:r>
    </w:p>
    <w:p w14:paraId="6C12E434">
      <w:pPr>
        <w:pStyle w:val="21"/>
      </w:pPr>
      <w:r>
        <w:t>[18] Stereotactic Body Radiotherapy for Centrally Located Inoperable Early-Stage NSCLC: EORTC 22113-08113 LungTech Phase II Trial Results. J Thorac Oncol. 2024 Sep;19(9):1297-1309. doi: 10.1016/j.jtho.2024.05.366. Epub 2024 May 22. PMID: 38788924.</w:t>
      </w:r>
    </w:p>
    <w:p w14:paraId="652332B3">
      <w:pPr>
        <w:pStyle w:val="21"/>
      </w:pPr>
      <w:r>
        <w:t>[19] NCCN Guidelines: Non-Small Cell Lung Cancer (Version 3.2023).</w:t>
      </w:r>
    </w:p>
    <w:p w14:paraId="526BB57C">
      <w:pPr>
        <w:pStyle w:val="21"/>
      </w:pPr>
      <w:r>
        <w:t>[20] Stereotactic Body Radiation Therapy for Stage IIA to IIIA Inoperable Non-Small Cell Lung Cancer: A Phase 1 Dose-Escalation Trial. Int J Radiat Oncol Biol Phys. 2024 Jul 1;119(3):869-87</w:t>
      </w:r>
    </w:p>
    <w:p w14:paraId="0A51DA06">
      <w:pPr>
        <w:pStyle w:val="22"/>
        <w:pBdr>
          <w:left w:val="single" w:color="BBBFC4" w:sz="18" w:space="0"/>
        </w:pBdr>
      </w:pPr>
    </w:p>
    <w:sectPr>
      <w:head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BEB61">
    <w:pPr>
      <w:widowControl w:val="0"/>
      <w:pBdr>
        <w:bottom w:val="single" w:color="auto" w:sz="4" w:space="0"/>
      </w:pBdr>
      <w:kinsoku/>
      <w:autoSpaceDE/>
      <w:autoSpaceDN/>
      <w:adjustRightInd/>
      <w:snapToGrid/>
      <w:spacing w:line="240" w:lineRule="auto"/>
      <w:jc w:val="right"/>
      <w:textAlignment w:val="auto"/>
      <w:rPr>
        <w:sz w:val="28"/>
        <w:szCs w:val="28"/>
        <w:u w:val="none"/>
      </w:rPr>
    </w:pPr>
    <w:r>
      <w:rPr>
        <w:rFonts w:hint="eastAsia" w:ascii="Calibri" w:hAnsi="Calibri" w:eastAsia="宋体" w:cs="Times New Roman"/>
        <w:snapToGrid/>
        <w:kern w:val="2"/>
        <w:sz w:val="28"/>
        <w:szCs w:val="28"/>
        <w:u w:val="none"/>
        <w:lang w:eastAsia="zh-CN"/>
      </w:rPr>
      <w:t>T/CNHAW-B-0020-2025</w:t>
    </w:r>
  </w:p>
  <w:p w14:paraId="3F5C2E7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59ADCABA"/>
    <w:multiLevelType w:val="multilevel"/>
    <w:tmpl w:val="59ADCABA"/>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useFELayout/>
    <w:compatSetting w:name="compatibilityMode" w:uri="http://schemas.microsoft.com/office/word" w:val="15"/>
  </w:compat>
  <w:rsids>
    <w:rsidRoot w:val="00000000"/>
    <w:rsid w:val="240C4D2B"/>
    <w:rsid w:val="3D28489E"/>
    <w:rsid w:val="58204A09"/>
    <w:rsid w:val="6A3C7AAE"/>
    <w:rsid w:val="6C5724B5"/>
    <w:rsid w:val="74D11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0"/>
    <w:rPr>
      <w:rFonts w:ascii="黑体" w:hAnsi="黑体" w:eastAsia="黑体" w:cs="黑体"/>
      <w:sz w:val="28"/>
      <w:szCs w:val="28"/>
      <w:lang w:val="en-US" w:eastAsia="en-US" w:bidi="ar-SA"/>
    </w:rPr>
  </w:style>
  <w:style w:type="paragraph" w:styleId="9">
    <w:name w:val="toc 3"/>
    <w:basedOn w:val="1"/>
    <w:next w:val="1"/>
    <w:qFormat/>
    <w:uiPriority w:val="39"/>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3">
    <w:name w:val="toc 2"/>
    <w:basedOn w:val="1"/>
    <w:next w:val="1"/>
    <w:uiPriority w:val="39"/>
    <w:pPr>
      <w:ind w:left="420" w:leftChars="200"/>
    </w:pPr>
  </w:style>
  <w:style w:type="paragraph" w:styleId="14">
    <w:name w:val="Title"/>
    <w:qFormat/>
    <w:uiPriority w:val="0"/>
    <w:pPr>
      <w:spacing w:before="480" w:after="480" w:line="288" w:lineRule="auto"/>
      <w:ind w:left="0"/>
    </w:pPr>
    <w:rPr>
      <w:rFonts w:ascii="Arial" w:hAnsi="Arial" w:eastAsia="等线" w:cs="Arial"/>
      <w:b/>
      <w:bCs/>
      <w:sz w:val="52"/>
      <w:szCs w:val="52"/>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2"/>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Calibri" w:eastAsia="宋体" w:cs="Calibri"/>
      <w:sz w:val="21"/>
      <w:lang w:val="en-US" w:eastAsia="zh-CN" w:bidi="ar-SA"/>
    </w:rPr>
  </w:style>
  <w:style w:type="paragraph" w:customStyle="1" w:styleId="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Calibri"/>
      <w:spacing w:val="-40"/>
      <w:sz w:val="48"/>
      <w:szCs w:val="5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3027</Words>
  <Characters>8329</Characters>
  <TotalTime>2</TotalTime>
  <ScaleCrop>false</ScaleCrop>
  <LinksUpToDate>false</LinksUpToDate>
  <CharactersWithSpaces>8691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2025-11-27T02:51:00Z</dcterms:created>
  <dc:creator>Un-named</dc:creator>
  <cp:lastModifiedBy>LZY</cp:lastModifiedBy>
  <dcterms:modified xsi:type="dcterms:W3CDTF">2025-11-27T05:46:46Z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eyJoZGlkIjoiOWJhMTIxMWU1ZGEzNjliMWU0NmRhNGEyYWY1YzZmYzYiLCJ1c2VySWQiOiI2OTYyNzc4NjEifQ==</vt:lpwstr>
  </property>
  <property fmtid="{D5CDD505-2E9C-101B-9397-08002B2CF9AE}" pid="3" name="KSOProductBuildVer">
    <vt:lpwstr>2052-12.1.0.23542</vt:lpwstr>
  </property>
  <property fmtid="{D5CDD505-2E9C-101B-9397-08002B2CF9AE}" pid="4" name="ICV">
    <vt:lpwstr>A3DB725671874424907F57658B9F9BD5_13</vt:lpwstr>
  </property>
</Properties>
</file>