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DCE1">
      <w:pPr>
        <w:keepNext w:val="0"/>
        <w:keepLines w:val="0"/>
        <w:pageBreakBefore w:val="0"/>
        <w:kinsoku/>
        <w:overflowPunct/>
        <w:topLinePunct w:val="0"/>
        <w:autoSpaceDE/>
        <w:autoSpaceDN/>
        <w:bidi w:val="0"/>
        <w:adjustRightInd/>
        <w:snapToGrid/>
        <w:spacing w:beforeAutospacing="0" w:afterAutospacing="0" w:line="240" w:lineRule="auto"/>
        <w:textAlignment w:val="auto"/>
        <w:rPr>
          <w:rFonts w:hint="default" w:asciiTheme="minorHAnsi" w:hAnsiTheme="minorHAnsi" w:eastAsiaTheme="minorEastAsia" w:cstheme="minorBidi"/>
          <w:kern w:val="2"/>
          <w:sz w:val="21"/>
          <w:szCs w:val="24"/>
          <w:lang w:val="en-US" w:eastAsia="zh-CN" w:bidi="ar-SA"/>
        </w:rPr>
      </w:pPr>
      <w:bookmarkStart w:id="54" w:name="_GoBack"/>
      <w:bookmarkEnd w:id="54"/>
    </w:p>
    <w:p w14:paraId="470FD826">
      <w:pPr>
        <w:keepNext w:val="0"/>
        <w:keepLines w:val="0"/>
        <w:pageBreakBefore w:val="0"/>
        <w:kinsoku/>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附件</w:t>
      </w:r>
    </w:p>
    <w:p w14:paraId="77585381">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评分标准</w:t>
      </w:r>
    </w:p>
    <w:p w14:paraId="0371E187">
      <w:pPr>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评分细则及各项评标因素权重值如下：</w:t>
      </w:r>
    </w:p>
    <w:tbl>
      <w:tblPr>
        <w:tblStyle w:val="5"/>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1557"/>
        <w:gridCol w:w="1542"/>
        <w:gridCol w:w="3473"/>
      </w:tblGrid>
      <w:tr w14:paraId="132D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2936" w:type="dxa"/>
            <w:vAlign w:val="center"/>
          </w:tcPr>
          <w:p w14:paraId="48E92171">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0" w:name="_Toc8162"/>
            <w:bookmarkStart w:id="1" w:name="_Toc5875"/>
            <w:bookmarkStart w:id="2" w:name="_Toc17637"/>
            <w:r>
              <w:rPr>
                <w:rFonts w:hint="eastAsia" w:asciiTheme="majorEastAsia" w:hAnsiTheme="majorEastAsia" w:eastAsiaTheme="majorEastAsia" w:cstheme="majorEastAsia"/>
                <w:bCs/>
                <w:sz w:val="24"/>
                <w:szCs w:val="24"/>
              </w:rPr>
              <w:t>评分细则</w:t>
            </w:r>
            <w:bookmarkEnd w:id="0"/>
            <w:bookmarkEnd w:id="1"/>
            <w:bookmarkEnd w:id="2"/>
          </w:p>
        </w:tc>
        <w:tc>
          <w:tcPr>
            <w:tcW w:w="1557" w:type="dxa"/>
            <w:vAlign w:val="center"/>
          </w:tcPr>
          <w:p w14:paraId="79537905">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3" w:name="_Toc5457"/>
            <w:bookmarkStart w:id="4" w:name="_Toc22653"/>
            <w:bookmarkStart w:id="5" w:name="_Toc2845"/>
            <w:r>
              <w:rPr>
                <w:rFonts w:hint="eastAsia" w:asciiTheme="majorEastAsia" w:hAnsiTheme="majorEastAsia" w:eastAsiaTheme="majorEastAsia" w:cstheme="majorEastAsia"/>
                <w:bCs/>
                <w:sz w:val="24"/>
                <w:szCs w:val="24"/>
              </w:rPr>
              <w:t>权重值(A)</w:t>
            </w:r>
            <w:bookmarkEnd w:id="3"/>
            <w:bookmarkEnd w:id="4"/>
            <w:bookmarkEnd w:id="5"/>
          </w:p>
        </w:tc>
        <w:tc>
          <w:tcPr>
            <w:tcW w:w="1542" w:type="dxa"/>
            <w:vAlign w:val="center"/>
          </w:tcPr>
          <w:p w14:paraId="6DFFB8D2">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6" w:name="_Toc14040"/>
            <w:bookmarkStart w:id="7" w:name="_Toc24424"/>
            <w:bookmarkStart w:id="8" w:name="_Toc9657"/>
            <w:r>
              <w:rPr>
                <w:rFonts w:hint="eastAsia" w:asciiTheme="majorEastAsia" w:hAnsiTheme="majorEastAsia" w:eastAsiaTheme="majorEastAsia" w:cstheme="majorEastAsia"/>
                <w:bCs/>
                <w:sz w:val="24"/>
                <w:szCs w:val="24"/>
              </w:rPr>
              <w:t>分值(F)</w:t>
            </w:r>
            <w:bookmarkEnd w:id="6"/>
            <w:bookmarkEnd w:id="7"/>
            <w:bookmarkEnd w:id="8"/>
          </w:p>
        </w:tc>
        <w:tc>
          <w:tcPr>
            <w:tcW w:w="3473" w:type="dxa"/>
            <w:vAlign w:val="center"/>
          </w:tcPr>
          <w:p w14:paraId="4D9CEC97">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9" w:name="_Toc18926"/>
            <w:bookmarkStart w:id="10" w:name="_Toc19854"/>
            <w:bookmarkStart w:id="11" w:name="_Toc15598"/>
            <w:r>
              <w:rPr>
                <w:rFonts w:hint="eastAsia" w:asciiTheme="majorEastAsia" w:hAnsiTheme="majorEastAsia" w:eastAsiaTheme="majorEastAsia" w:cstheme="majorEastAsia"/>
                <w:bCs/>
                <w:sz w:val="24"/>
                <w:szCs w:val="24"/>
              </w:rPr>
              <w:t>权重值×分值</w:t>
            </w:r>
            <w:bookmarkEnd w:id="9"/>
            <w:bookmarkEnd w:id="10"/>
            <w:bookmarkEnd w:id="11"/>
          </w:p>
        </w:tc>
      </w:tr>
      <w:tr w14:paraId="068A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2936" w:type="dxa"/>
            <w:vAlign w:val="center"/>
          </w:tcPr>
          <w:p w14:paraId="53148F9C">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12" w:name="_Toc9598"/>
            <w:bookmarkStart w:id="13" w:name="_Toc25602"/>
            <w:bookmarkStart w:id="14" w:name="_Toc9831"/>
            <w:r>
              <w:rPr>
                <w:rFonts w:hint="eastAsia" w:asciiTheme="majorEastAsia" w:hAnsiTheme="majorEastAsia" w:eastAsiaTheme="majorEastAsia" w:cstheme="majorEastAsia"/>
                <w:bCs/>
                <w:sz w:val="24"/>
                <w:szCs w:val="24"/>
              </w:rPr>
              <w:t>报价分</w:t>
            </w:r>
            <w:bookmarkEnd w:id="12"/>
            <w:bookmarkEnd w:id="13"/>
            <w:bookmarkEnd w:id="14"/>
          </w:p>
        </w:tc>
        <w:tc>
          <w:tcPr>
            <w:tcW w:w="1557" w:type="dxa"/>
            <w:vAlign w:val="center"/>
          </w:tcPr>
          <w:p w14:paraId="6728A7FC">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15" w:name="_Toc1567"/>
            <w:bookmarkStart w:id="16" w:name="_Toc27535"/>
            <w:bookmarkStart w:id="17" w:name="_Toc23380"/>
            <w:r>
              <w:rPr>
                <w:rFonts w:hint="eastAsia" w:asciiTheme="majorEastAsia" w:hAnsiTheme="majorEastAsia" w:eastAsiaTheme="majorEastAsia" w:cstheme="majorEastAsia"/>
                <w:bCs/>
                <w:sz w:val="24"/>
                <w:szCs w:val="24"/>
              </w:rPr>
              <w:t>【0.</w:t>
            </w:r>
            <w:r>
              <w:rPr>
                <w:rFonts w:hint="eastAsia" w:asciiTheme="majorEastAsia" w:hAnsiTheme="majorEastAsia" w:eastAsiaTheme="majorEastAsia" w:cstheme="majorEastAsia"/>
                <w:bCs/>
                <w:sz w:val="24"/>
                <w:szCs w:val="24"/>
                <w:lang w:val="en-US" w:eastAsia="zh-CN"/>
              </w:rPr>
              <w:t>1</w:t>
            </w:r>
            <w:r>
              <w:rPr>
                <w:rFonts w:hint="eastAsia" w:asciiTheme="majorEastAsia" w:hAnsiTheme="majorEastAsia" w:eastAsiaTheme="majorEastAsia" w:cstheme="majorEastAsia"/>
                <w:bCs/>
                <w:sz w:val="24"/>
                <w:szCs w:val="24"/>
              </w:rPr>
              <w:t>0 】</w:t>
            </w:r>
            <w:bookmarkEnd w:id="15"/>
            <w:bookmarkEnd w:id="16"/>
            <w:bookmarkEnd w:id="17"/>
          </w:p>
        </w:tc>
        <w:tc>
          <w:tcPr>
            <w:tcW w:w="1542" w:type="dxa"/>
            <w:vAlign w:val="center"/>
          </w:tcPr>
          <w:p w14:paraId="3F858696">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18" w:name="_Toc20212"/>
            <w:bookmarkStart w:id="19" w:name="_Toc9240"/>
            <w:bookmarkStart w:id="20" w:name="_Toc22075"/>
            <w:r>
              <w:rPr>
                <w:rFonts w:hint="eastAsia" w:asciiTheme="majorEastAsia" w:hAnsiTheme="majorEastAsia" w:eastAsiaTheme="majorEastAsia" w:cstheme="majorEastAsia"/>
                <w:bCs/>
                <w:sz w:val="24"/>
                <w:szCs w:val="24"/>
              </w:rPr>
              <w:t>100</w:t>
            </w:r>
            <w:bookmarkEnd w:id="18"/>
            <w:bookmarkEnd w:id="19"/>
            <w:bookmarkEnd w:id="20"/>
          </w:p>
        </w:tc>
        <w:tc>
          <w:tcPr>
            <w:tcW w:w="3473" w:type="dxa"/>
            <w:vAlign w:val="center"/>
          </w:tcPr>
          <w:p w14:paraId="5B2B22EE">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lang w:val="en-US" w:eastAsia="zh-CN"/>
              </w:rPr>
              <w:t>1</w:t>
            </w:r>
            <w:r>
              <w:rPr>
                <w:rFonts w:hint="eastAsia" w:asciiTheme="majorEastAsia" w:hAnsiTheme="majorEastAsia" w:eastAsiaTheme="majorEastAsia" w:cstheme="majorEastAsia"/>
                <w:bCs/>
                <w:sz w:val="24"/>
                <w:szCs w:val="24"/>
              </w:rPr>
              <w:t>0</w:t>
            </w:r>
          </w:p>
        </w:tc>
      </w:tr>
      <w:tr w14:paraId="5036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2936" w:type="dxa"/>
            <w:vAlign w:val="center"/>
          </w:tcPr>
          <w:p w14:paraId="415018A1">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21" w:name="_Toc23649"/>
            <w:bookmarkStart w:id="22" w:name="_Toc22915"/>
            <w:bookmarkStart w:id="23" w:name="_Toc23068"/>
            <w:r>
              <w:rPr>
                <w:rFonts w:hint="eastAsia" w:asciiTheme="majorEastAsia" w:hAnsiTheme="majorEastAsia" w:eastAsiaTheme="majorEastAsia" w:cstheme="majorEastAsia"/>
                <w:bCs/>
                <w:sz w:val="24"/>
                <w:szCs w:val="24"/>
              </w:rPr>
              <w:t>技术分</w:t>
            </w:r>
            <w:bookmarkEnd w:id="21"/>
            <w:bookmarkEnd w:id="22"/>
            <w:bookmarkEnd w:id="23"/>
          </w:p>
        </w:tc>
        <w:tc>
          <w:tcPr>
            <w:tcW w:w="1557" w:type="dxa"/>
            <w:vAlign w:val="center"/>
          </w:tcPr>
          <w:p w14:paraId="2E0644DD">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24" w:name="_Toc27005"/>
            <w:bookmarkStart w:id="25" w:name="_Toc25490"/>
            <w:bookmarkStart w:id="26" w:name="_Toc32655"/>
            <w:r>
              <w:rPr>
                <w:rFonts w:hint="eastAsia" w:asciiTheme="majorEastAsia" w:hAnsiTheme="majorEastAsia" w:eastAsiaTheme="majorEastAsia" w:cstheme="majorEastAsia"/>
                <w:bCs/>
                <w:sz w:val="24"/>
                <w:szCs w:val="24"/>
              </w:rPr>
              <w:t>【0.30 】</w:t>
            </w:r>
            <w:bookmarkEnd w:id="24"/>
            <w:bookmarkEnd w:id="25"/>
            <w:bookmarkEnd w:id="26"/>
          </w:p>
        </w:tc>
        <w:tc>
          <w:tcPr>
            <w:tcW w:w="1542" w:type="dxa"/>
            <w:vAlign w:val="center"/>
          </w:tcPr>
          <w:p w14:paraId="63F6EF26">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27" w:name="_Toc3455"/>
            <w:bookmarkStart w:id="28" w:name="_Toc8503"/>
            <w:bookmarkStart w:id="29" w:name="_Toc18129"/>
            <w:r>
              <w:rPr>
                <w:rFonts w:hint="eastAsia" w:asciiTheme="majorEastAsia" w:hAnsiTheme="majorEastAsia" w:eastAsiaTheme="majorEastAsia" w:cstheme="majorEastAsia"/>
                <w:bCs/>
                <w:sz w:val="24"/>
                <w:szCs w:val="24"/>
              </w:rPr>
              <w:t>100</w:t>
            </w:r>
            <w:bookmarkEnd w:id="27"/>
            <w:bookmarkEnd w:id="28"/>
            <w:bookmarkEnd w:id="29"/>
          </w:p>
        </w:tc>
        <w:tc>
          <w:tcPr>
            <w:tcW w:w="3473" w:type="dxa"/>
            <w:vAlign w:val="center"/>
          </w:tcPr>
          <w:p w14:paraId="177A6DBA">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lang w:val="en-US"/>
              </w:rPr>
            </w:pPr>
            <w:r>
              <w:rPr>
                <w:rFonts w:hint="eastAsia" w:asciiTheme="majorEastAsia" w:hAnsiTheme="majorEastAsia" w:eastAsiaTheme="majorEastAsia" w:cstheme="majorEastAsia"/>
                <w:bCs/>
                <w:sz w:val="24"/>
                <w:szCs w:val="24"/>
                <w:lang w:val="en-US" w:eastAsia="zh-CN"/>
              </w:rPr>
              <w:t>30</w:t>
            </w:r>
          </w:p>
        </w:tc>
      </w:tr>
      <w:tr w14:paraId="240E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2936" w:type="dxa"/>
            <w:vAlign w:val="center"/>
          </w:tcPr>
          <w:p w14:paraId="5008C1A6">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30" w:name="_Toc6659"/>
            <w:bookmarkStart w:id="31" w:name="_Toc5589"/>
            <w:bookmarkStart w:id="32" w:name="_Toc6175"/>
            <w:r>
              <w:rPr>
                <w:rFonts w:hint="eastAsia" w:asciiTheme="majorEastAsia" w:hAnsiTheme="majorEastAsia" w:eastAsiaTheme="majorEastAsia" w:cstheme="majorEastAsia"/>
                <w:bCs/>
                <w:sz w:val="24"/>
                <w:szCs w:val="24"/>
              </w:rPr>
              <w:t>商务分</w:t>
            </w:r>
            <w:bookmarkEnd w:id="30"/>
            <w:bookmarkEnd w:id="31"/>
            <w:bookmarkEnd w:id="32"/>
          </w:p>
        </w:tc>
        <w:tc>
          <w:tcPr>
            <w:tcW w:w="1557" w:type="dxa"/>
            <w:vAlign w:val="center"/>
          </w:tcPr>
          <w:p w14:paraId="2DEEACF0">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33" w:name="_Toc15553"/>
            <w:bookmarkStart w:id="34" w:name="_Toc23019"/>
            <w:bookmarkStart w:id="35" w:name="_Toc7191"/>
            <w:r>
              <w:rPr>
                <w:rFonts w:hint="eastAsia" w:asciiTheme="majorEastAsia" w:hAnsiTheme="majorEastAsia" w:eastAsiaTheme="majorEastAsia" w:cstheme="majorEastAsia"/>
                <w:bCs/>
                <w:sz w:val="24"/>
                <w:szCs w:val="24"/>
              </w:rPr>
              <w:t>【0.</w:t>
            </w:r>
            <w:r>
              <w:rPr>
                <w:rFonts w:hint="eastAsia" w:asciiTheme="majorEastAsia" w:hAnsiTheme="majorEastAsia" w:eastAsiaTheme="majorEastAsia" w:cstheme="majorEastAsia"/>
                <w:bCs/>
                <w:sz w:val="24"/>
                <w:szCs w:val="24"/>
                <w:lang w:val="en-US" w:eastAsia="zh-CN"/>
              </w:rPr>
              <w:t>6</w:t>
            </w:r>
            <w:r>
              <w:rPr>
                <w:rFonts w:hint="eastAsia" w:asciiTheme="majorEastAsia" w:hAnsiTheme="majorEastAsia" w:eastAsiaTheme="majorEastAsia" w:cstheme="majorEastAsia"/>
                <w:bCs/>
                <w:sz w:val="24"/>
                <w:szCs w:val="24"/>
              </w:rPr>
              <w:t>0 】</w:t>
            </w:r>
            <w:bookmarkEnd w:id="33"/>
            <w:bookmarkEnd w:id="34"/>
            <w:bookmarkEnd w:id="35"/>
          </w:p>
        </w:tc>
        <w:tc>
          <w:tcPr>
            <w:tcW w:w="1542" w:type="dxa"/>
            <w:vAlign w:val="center"/>
          </w:tcPr>
          <w:p w14:paraId="28793583">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bookmarkStart w:id="36" w:name="_Toc7483"/>
            <w:bookmarkStart w:id="37" w:name="_Toc18694"/>
            <w:bookmarkStart w:id="38" w:name="_Toc6517"/>
            <w:r>
              <w:rPr>
                <w:rFonts w:hint="eastAsia" w:asciiTheme="majorEastAsia" w:hAnsiTheme="majorEastAsia" w:eastAsiaTheme="majorEastAsia" w:cstheme="majorEastAsia"/>
                <w:bCs/>
                <w:sz w:val="24"/>
                <w:szCs w:val="24"/>
              </w:rPr>
              <w:t>100</w:t>
            </w:r>
            <w:bookmarkEnd w:id="36"/>
            <w:bookmarkEnd w:id="37"/>
            <w:bookmarkEnd w:id="38"/>
          </w:p>
        </w:tc>
        <w:tc>
          <w:tcPr>
            <w:tcW w:w="3473" w:type="dxa"/>
            <w:vAlign w:val="center"/>
          </w:tcPr>
          <w:p w14:paraId="3ABD43A9">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lang w:val="en-US" w:eastAsia="zh-CN"/>
              </w:rPr>
              <w:t>6</w:t>
            </w:r>
            <w:r>
              <w:rPr>
                <w:rFonts w:hint="eastAsia" w:asciiTheme="majorEastAsia" w:hAnsiTheme="majorEastAsia" w:eastAsiaTheme="majorEastAsia" w:cstheme="majorEastAsia"/>
                <w:bCs/>
                <w:sz w:val="24"/>
                <w:szCs w:val="24"/>
              </w:rPr>
              <w:t>0</w:t>
            </w:r>
          </w:p>
        </w:tc>
      </w:tr>
    </w:tbl>
    <w:p w14:paraId="6DAFE6A7">
      <w:pPr>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b/>
          <w:bCs/>
          <w:sz w:val="24"/>
          <w:szCs w:val="24"/>
        </w:rPr>
      </w:pPr>
      <w:bookmarkStart w:id="39" w:name="_Toc18221"/>
      <w:bookmarkStart w:id="40" w:name="_Toc1346"/>
      <w:bookmarkStart w:id="41" w:name="_Toc28855"/>
      <w:r>
        <w:rPr>
          <w:rFonts w:hint="eastAsia" w:asciiTheme="majorEastAsia" w:hAnsiTheme="majorEastAsia" w:eastAsiaTheme="majorEastAsia" w:cstheme="majorEastAsia"/>
          <w:b/>
          <w:bCs/>
          <w:sz w:val="24"/>
          <w:szCs w:val="24"/>
        </w:rPr>
        <w:t xml:space="preserve">报价分： </w:t>
      </w: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0 分</w:t>
      </w:r>
      <w:bookmarkEnd w:id="39"/>
      <w:bookmarkEnd w:id="40"/>
      <w:bookmarkEnd w:id="41"/>
    </w:p>
    <w:tbl>
      <w:tblPr>
        <w:tblStyle w:val="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8412"/>
      </w:tblGrid>
      <w:tr w14:paraId="01CF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2" w:type="dxa"/>
            <w:vAlign w:val="center"/>
          </w:tcPr>
          <w:p w14:paraId="556A6C0A">
            <w:pPr>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bCs/>
                <w:sz w:val="24"/>
                <w:szCs w:val="24"/>
              </w:rPr>
            </w:pPr>
            <w:bookmarkStart w:id="42" w:name="_Toc5594"/>
            <w:bookmarkStart w:id="43" w:name="_Toc28534"/>
            <w:bookmarkStart w:id="44" w:name="_Toc26182"/>
            <w:r>
              <w:rPr>
                <w:rFonts w:hint="eastAsia" w:asciiTheme="majorEastAsia" w:hAnsiTheme="majorEastAsia" w:eastAsiaTheme="majorEastAsia" w:cstheme="majorEastAsia"/>
                <w:bCs/>
                <w:sz w:val="24"/>
                <w:szCs w:val="24"/>
              </w:rPr>
              <w:t>评分项目</w:t>
            </w:r>
            <w:bookmarkEnd w:id="42"/>
            <w:bookmarkEnd w:id="43"/>
            <w:bookmarkEnd w:id="44"/>
          </w:p>
        </w:tc>
        <w:tc>
          <w:tcPr>
            <w:tcW w:w="8412" w:type="dxa"/>
            <w:vAlign w:val="center"/>
          </w:tcPr>
          <w:p w14:paraId="6016B86F">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sz w:val="24"/>
                <w:szCs w:val="24"/>
              </w:rPr>
            </w:pPr>
            <w:bookmarkStart w:id="45" w:name="_Toc2836"/>
            <w:bookmarkStart w:id="46" w:name="_Toc8675"/>
            <w:bookmarkStart w:id="47" w:name="_Toc25059"/>
            <w:r>
              <w:rPr>
                <w:rFonts w:hint="eastAsia" w:asciiTheme="majorEastAsia" w:hAnsiTheme="majorEastAsia" w:eastAsiaTheme="majorEastAsia" w:cstheme="majorEastAsia"/>
                <w:bCs/>
                <w:sz w:val="24"/>
                <w:szCs w:val="24"/>
              </w:rPr>
              <w:t>说   明</w:t>
            </w:r>
            <w:bookmarkEnd w:id="45"/>
            <w:bookmarkEnd w:id="46"/>
            <w:bookmarkEnd w:id="47"/>
          </w:p>
        </w:tc>
      </w:tr>
      <w:tr w14:paraId="70F1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dxa"/>
            <w:vAlign w:val="center"/>
          </w:tcPr>
          <w:p w14:paraId="5D20C552">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sz w:val="24"/>
                <w:szCs w:val="24"/>
              </w:rPr>
            </w:pPr>
            <w:bookmarkStart w:id="48" w:name="_Toc10818"/>
            <w:bookmarkStart w:id="49" w:name="_Toc24027"/>
            <w:bookmarkStart w:id="50" w:name="_Toc22855"/>
            <w:r>
              <w:rPr>
                <w:rFonts w:hint="eastAsia" w:asciiTheme="majorEastAsia" w:hAnsiTheme="majorEastAsia" w:eastAsiaTheme="majorEastAsia" w:cstheme="majorEastAsia"/>
                <w:bCs/>
                <w:sz w:val="24"/>
                <w:szCs w:val="24"/>
              </w:rPr>
              <w:t>报价</w:t>
            </w:r>
            <w:bookmarkEnd w:id="48"/>
            <w:bookmarkEnd w:id="49"/>
            <w:bookmarkEnd w:id="50"/>
          </w:p>
        </w:tc>
        <w:tc>
          <w:tcPr>
            <w:tcW w:w="8412" w:type="dxa"/>
          </w:tcPr>
          <w:p w14:paraId="02C55724">
            <w:pPr>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投标报价得分=(评标基准价／投标报价)×</w:t>
            </w:r>
            <w:r>
              <w:rPr>
                <w:rFonts w:hint="eastAsia" w:asciiTheme="majorEastAsia" w:hAnsiTheme="majorEastAsia" w:eastAsiaTheme="majorEastAsia" w:cstheme="majorEastAsia"/>
                <w:bCs/>
                <w:sz w:val="24"/>
                <w:szCs w:val="24"/>
                <w:lang w:val="en-US" w:eastAsia="zh-CN"/>
              </w:rPr>
              <w:t>1</w:t>
            </w:r>
            <w:r>
              <w:rPr>
                <w:rFonts w:hint="eastAsia" w:asciiTheme="majorEastAsia" w:hAnsiTheme="majorEastAsia" w:eastAsiaTheme="majorEastAsia" w:cstheme="majorEastAsia"/>
                <w:bCs/>
                <w:sz w:val="24"/>
                <w:szCs w:val="24"/>
              </w:rPr>
              <w:t>0</w:t>
            </w:r>
          </w:p>
          <w:p w14:paraId="4B173B05">
            <w:pPr>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bCs/>
                <w:sz w:val="24"/>
                <w:szCs w:val="24"/>
              </w:rPr>
            </w:pPr>
            <w:bookmarkStart w:id="51" w:name="_Toc28178"/>
            <w:bookmarkStart w:id="52" w:name="_Toc17302"/>
            <w:bookmarkStart w:id="53" w:name="_Toc17204"/>
            <w:r>
              <w:rPr>
                <w:rFonts w:hint="eastAsia" w:asciiTheme="majorEastAsia" w:hAnsiTheme="majorEastAsia" w:eastAsiaTheme="majorEastAsia" w:cstheme="majorEastAsia"/>
                <w:bCs/>
                <w:sz w:val="24"/>
                <w:szCs w:val="24"/>
              </w:rPr>
              <w:t>注：1.满足磋商文件要求且投标价格最低的投标报价为评标基准价，其价格分为满分。</w:t>
            </w:r>
          </w:p>
          <w:p w14:paraId="36758BC2">
            <w:pPr>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2.投标人投标报价超过预算价或最高限价或未按磋商文件要求进行报价的，作无效投标处理。</w:t>
            </w:r>
            <w:bookmarkEnd w:id="51"/>
            <w:bookmarkEnd w:id="52"/>
            <w:bookmarkEnd w:id="53"/>
          </w:p>
          <w:p w14:paraId="47F19795">
            <w:pPr>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3.投标报价以最终报价为准。</w:t>
            </w:r>
          </w:p>
        </w:tc>
      </w:tr>
    </w:tbl>
    <w:p w14:paraId="359F0060">
      <w:pPr>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商务分： </w:t>
      </w:r>
      <w:r>
        <w:rPr>
          <w:rFonts w:hint="eastAsia" w:asciiTheme="majorEastAsia" w:hAnsiTheme="majorEastAsia" w:eastAsiaTheme="majorEastAsia" w:cstheme="majorEastAsia"/>
          <w:b/>
          <w:bCs/>
          <w:sz w:val="24"/>
          <w:szCs w:val="24"/>
          <w:lang w:val="en-US" w:eastAsia="zh-CN"/>
        </w:rPr>
        <w:t>6</w:t>
      </w:r>
      <w:r>
        <w:rPr>
          <w:rFonts w:hint="eastAsia" w:asciiTheme="majorEastAsia" w:hAnsiTheme="majorEastAsia" w:eastAsiaTheme="majorEastAsia" w:cstheme="majorEastAsia"/>
          <w:b/>
          <w:bCs/>
          <w:sz w:val="24"/>
          <w:szCs w:val="24"/>
        </w:rPr>
        <w:t>0 分</w:t>
      </w:r>
    </w:p>
    <w:tbl>
      <w:tblPr>
        <w:tblStyle w:val="5"/>
        <w:tblW w:w="9784" w:type="dxa"/>
        <w:jc w:val="center"/>
        <w:tblLayout w:type="fixed"/>
        <w:tblCellMar>
          <w:top w:w="0" w:type="dxa"/>
          <w:left w:w="108" w:type="dxa"/>
          <w:bottom w:w="0" w:type="dxa"/>
          <w:right w:w="108" w:type="dxa"/>
        </w:tblCellMar>
      </w:tblPr>
      <w:tblGrid>
        <w:gridCol w:w="1099"/>
        <w:gridCol w:w="720"/>
        <w:gridCol w:w="7965"/>
      </w:tblGrid>
      <w:tr w14:paraId="7287AE90">
        <w:tblPrEx>
          <w:tblCellMar>
            <w:top w:w="0" w:type="dxa"/>
            <w:left w:w="108" w:type="dxa"/>
            <w:bottom w:w="0" w:type="dxa"/>
            <w:right w:w="108" w:type="dxa"/>
          </w:tblCellMar>
        </w:tblPrEx>
        <w:trPr>
          <w:trHeight w:val="379"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30ED828B">
            <w:pPr>
              <w:keepNext w:val="0"/>
              <w:keepLines w:val="0"/>
              <w:pageBreakBefore w:val="0"/>
              <w:widowControl/>
              <w:kinsoku/>
              <w:overflowPunct/>
              <w:topLinePunct w:val="0"/>
              <w:autoSpaceDE/>
              <w:autoSpaceDN/>
              <w:bidi w:val="0"/>
              <w:adjustRightInd/>
              <w:snapToGrid/>
              <w:spacing w:beforeAutospacing="0" w:afterAutospacing="0" w:line="400" w:lineRule="atLeast"/>
              <w:jc w:val="center"/>
              <w:textAlignment w:val="auto"/>
              <w:outlineLvl w:val="3"/>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评分项目</w:t>
            </w:r>
          </w:p>
        </w:tc>
        <w:tc>
          <w:tcPr>
            <w:tcW w:w="720" w:type="dxa"/>
            <w:tcBorders>
              <w:top w:val="single" w:color="auto" w:sz="4" w:space="0"/>
              <w:left w:val="nil"/>
              <w:bottom w:val="single" w:color="auto" w:sz="4" w:space="0"/>
              <w:right w:val="single" w:color="auto" w:sz="4" w:space="0"/>
            </w:tcBorders>
            <w:vAlign w:val="center"/>
          </w:tcPr>
          <w:p w14:paraId="18570408">
            <w:pPr>
              <w:keepNext w:val="0"/>
              <w:keepLines w:val="0"/>
              <w:pageBreakBefore w:val="0"/>
              <w:widowControl/>
              <w:kinsoku/>
              <w:overflowPunct/>
              <w:topLinePunct w:val="0"/>
              <w:autoSpaceDE/>
              <w:autoSpaceDN/>
              <w:bidi w:val="0"/>
              <w:adjustRightInd/>
              <w:snapToGrid/>
              <w:spacing w:beforeAutospacing="0" w:afterAutospacing="0" w:line="400" w:lineRule="atLeast"/>
              <w:jc w:val="center"/>
              <w:textAlignment w:val="auto"/>
              <w:outlineLvl w:val="3"/>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分值</w:t>
            </w:r>
          </w:p>
        </w:tc>
        <w:tc>
          <w:tcPr>
            <w:tcW w:w="7965" w:type="dxa"/>
            <w:tcBorders>
              <w:top w:val="single" w:color="auto" w:sz="4" w:space="0"/>
              <w:left w:val="nil"/>
              <w:bottom w:val="single" w:color="auto" w:sz="4" w:space="0"/>
              <w:right w:val="single" w:color="auto" w:sz="4" w:space="0"/>
            </w:tcBorders>
            <w:vAlign w:val="center"/>
          </w:tcPr>
          <w:p w14:paraId="7C4DF58C">
            <w:pPr>
              <w:keepNext w:val="0"/>
              <w:keepLines w:val="0"/>
              <w:pageBreakBefore w:val="0"/>
              <w:widowControl/>
              <w:kinsoku/>
              <w:overflowPunct/>
              <w:topLinePunct w:val="0"/>
              <w:autoSpaceDE/>
              <w:autoSpaceDN/>
              <w:bidi w:val="0"/>
              <w:adjustRightInd/>
              <w:snapToGrid/>
              <w:spacing w:beforeAutospacing="0" w:afterAutospacing="0" w:line="400" w:lineRule="atLeast"/>
              <w:jc w:val="center"/>
              <w:textAlignment w:val="auto"/>
              <w:outlineLvl w:val="3"/>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评分标准</w:t>
            </w:r>
          </w:p>
        </w:tc>
      </w:tr>
      <w:tr w14:paraId="17E0B8E8">
        <w:tblPrEx>
          <w:tblCellMar>
            <w:top w:w="0" w:type="dxa"/>
            <w:left w:w="108" w:type="dxa"/>
            <w:bottom w:w="0" w:type="dxa"/>
            <w:right w:w="108" w:type="dxa"/>
          </w:tblCellMar>
        </w:tblPrEx>
        <w:trPr>
          <w:trHeight w:val="9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097DB17C">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lang w:val="zh-TW" w:bidi="ar"/>
              </w:rPr>
            </w:pPr>
            <w:r>
              <w:rPr>
                <w:rFonts w:hint="eastAsia" w:asciiTheme="majorEastAsia" w:hAnsiTheme="majorEastAsia" w:eastAsiaTheme="majorEastAsia" w:cstheme="majorEastAsia"/>
                <w:sz w:val="24"/>
                <w:szCs w:val="24"/>
                <w:lang w:val="zh-TW" w:bidi="ar"/>
              </w:rPr>
              <w:t>资质及能力</w:t>
            </w:r>
          </w:p>
        </w:tc>
        <w:tc>
          <w:tcPr>
            <w:tcW w:w="720" w:type="dxa"/>
            <w:tcBorders>
              <w:top w:val="single" w:color="auto" w:sz="4" w:space="0"/>
              <w:left w:val="nil"/>
              <w:bottom w:val="single" w:color="auto" w:sz="4" w:space="0"/>
              <w:right w:val="single" w:color="auto" w:sz="4" w:space="0"/>
            </w:tcBorders>
            <w:vAlign w:val="center"/>
          </w:tcPr>
          <w:p w14:paraId="4FF47BF6">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lang w:eastAsia="zh-CN"/>
              </w:rPr>
            </w:pPr>
            <w:r>
              <w:rPr>
                <w:rFonts w:hint="eastAsia" w:asciiTheme="majorEastAsia" w:hAnsiTheme="majorEastAsia" w:eastAsiaTheme="majorEastAsia" w:cstheme="majorEastAsia"/>
                <w:bCs/>
                <w:sz w:val="24"/>
                <w:szCs w:val="24"/>
              </w:rPr>
              <w:t>1</w:t>
            </w:r>
            <w:r>
              <w:rPr>
                <w:rFonts w:hint="eastAsia" w:asciiTheme="majorEastAsia" w:hAnsiTheme="majorEastAsia" w:eastAsiaTheme="majorEastAsia" w:cstheme="majorEastAsia"/>
                <w:bCs/>
                <w:sz w:val="24"/>
                <w:szCs w:val="24"/>
                <w:lang w:val="en-US" w:eastAsia="zh-CN"/>
              </w:rPr>
              <w:t>2</w:t>
            </w:r>
          </w:p>
        </w:tc>
        <w:tc>
          <w:tcPr>
            <w:tcW w:w="7965" w:type="dxa"/>
            <w:tcBorders>
              <w:top w:val="single" w:color="auto" w:sz="4" w:space="0"/>
              <w:left w:val="nil"/>
              <w:bottom w:val="single" w:color="auto" w:sz="4" w:space="0"/>
              <w:right w:val="single" w:color="auto" w:sz="4" w:space="0"/>
            </w:tcBorders>
            <w:vAlign w:val="center"/>
          </w:tcPr>
          <w:p w14:paraId="3A2D0D77">
            <w:pPr>
              <w:pStyle w:val="7"/>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1、供应商具有效的合规管理体系认证证书（认证范围包括等保测评）得</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分；</w:t>
            </w:r>
          </w:p>
          <w:p w14:paraId="611E7BA0">
            <w:pPr>
              <w:pStyle w:val="7"/>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2</w:t>
            </w:r>
            <w:r>
              <w:rPr>
                <w:rFonts w:hint="eastAsia" w:asciiTheme="majorEastAsia" w:hAnsiTheme="majorEastAsia" w:eastAsiaTheme="majorEastAsia" w:cstheme="majorEastAsia"/>
                <w:sz w:val="24"/>
                <w:szCs w:val="24"/>
              </w:rPr>
              <w:t>、供应商具有效的质量管理体系认证证书（ISO9001）得</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分；</w:t>
            </w:r>
          </w:p>
          <w:p w14:paraId="60676E0F">
            <w:pPr>
              <w:pStyle w:val="7"/>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供应商具备有效的</w:t>
            </w:r>
            <w:r>
              <w:rPr>
                <w:rFonts w:hint="eastAsia" w:asciiTheme="majorEastAsia" w:hAnsiTheme="majorEastAsia" w:eastAsiaTheme="majorEastAsia" w:cstheme="majorEastAsia"/>
                <w:color w:val="0C0C0C"/>
                <w:sz w:val="24"/>
                <w:szCs w:val="24"/>
              </w:rPr>
              <w:t>信息安全服务资质认证证书-网络安全审计服务资质</w:t>
            </w:r>
            <w:r>
              <w:rPr>
                <w:rFonts w:hint="eastAsia" w:asciiTheme="majorEastAsia" w:hAnsiTheme="majorEastAsia" w:eastAsiaTheme="majorEastAsia" w:cstheme="majorEastAsia"/>
                <w:sz w:val="24"/>
                <w:szCs w:val="24"/>
              </w:rPr>
              <w:t>得</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分；</w:t>
            </w:r>
          </w:p>
        </w:tc>
      </w:tr>
      <w:tr w14:paraId="013B8A27">
        <w:tblPrEx>
          <w:tblCellMar>
            <w:top w:w="0" w:type="dxa"/>
            <w:left w:w="108" w:type="dxa"/>
            <w:bottom w:w="0" w:type="dxa"/>
            <w:right w:w="108" w:type="dxa"/>
          </w:tblCellMar>
        </w:tblPrEx>
        <w:trPr>
          <w:trHeight w:val="598"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2C762B3F">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lang w:val="zh-TW" w:bidi="ar"/>
              </w:rPr>
            </w:pPr>
            <w:r>
              <w:rPr>
                <w:rFonts w:hint="eastAsia" w:asciiTheme="majorEastAsia" w:hAnsiTheme="majorEastAsia" w:eastAsiaTheme="majorEastAsia" w:cstheme="majorEastAsia"/>
                <w:sz w:val="24"/>
                <w:szCs w:val="24"/>
                <w:lang w:val="zh-TW" w:bidi="ar"/>
              </w:rPr>
              <w:t>人员具备资质及能力</w:t>
            </w:r>
          </w:p>
        </w:tc>
        <w:tc>
          <w:tcPr>
            <w:tcW w:w="720" w:type="dxa"/>
            <w:tcBorders>
              <w:top w:val="single" w:color="auto" w:sz="4" w:space="0"/>
              <w:left w:val="nil"/>
              <w:bottom w:val="single" w:color="auto" w:sz="4" w:space="0"/>
              <w:right w:val="single" w:color="auto" w:sz="4" w:space="0"/>
            </w:tcBorders>
            <w:vAlign w:val="center"/>
          </w:tcPr>
          <w:p w14:paraId="59AA7D5C">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28</w:t>
            </w:r>
          </w:p>
        </w:tc>
        <w:tc>
          <w:tcPr>
            <w:tcW w:w="7965" w:type="dxa"/>
            <w:tcBorders>
              <w:top w:val="single" w:color="auto" w:sz="4" w:space="0"/>
              <w:left w:val="nil"/>
              <w:bottom w:val="single" w:color="auto" w:sz="4" w:space="0"/>
              <w:right w:val="single" w:color="auto" w:sz="4" w:space="0"/>
            </w:tcBorders>
            <w:vAlign w:val="center"/>
          </w:tcPr>
          <w:p w14:paraId="54AD00CD">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（1）项目负责人（1人）</w:t>
            </w:r>
          </w:p>
          <w:p w14:paraId="76054888">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具备高级测评师，得3分。</w:t>
            </w:r>
          </w:p>
          <w:p w14:paraId="22877FF0">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具备网络与信息安全管理师证书得3分</w:t>
            </w:r>
          </w:p>
          <w:p w14:paraId="64BF084A">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具备注册渗透测试专家（CISP-PTS）证书得3分</w:t>
            </w:r>
          </w:p>
          <w:p w14:paraId="012B2FCB">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本项满分9分。</w:t>
            </w:r>
          </w:p>
          <w:p w14:paraId="03B5A3B5">
            <w:pPr>
              <w:keepNext w:val="0"/>
              <w:keepLines w:val="0"/>
              <w:pageBreakBefore w:val="0"/>
              <w:widowControl/>
              <w:numPr>
                <w:ilvl w:val="0"/>
                <w:numId w:val="1"/>
              </w:numPr>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质量管理人员（1人）</w:t>
            </w:r>
          </w:p>
          <w:p w14:paraId="3FC558DC">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具备</w:t>
            </w:r>
            <w:r>
              <w:rPr>
                <w:rFonts w:hint="eastAsia" w:asciiTheme="majorEastAsia" w:hAnsiTheme="majorEastAsia" w:eastAsiaTheme="majorEastAsia" w:cstheme="majorEastAsia"/>
                <w:sz w:val="24"/>
                <w:szCs w:val="24"/>
              </w:rPr>
              <w:t>高级测评师</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得3分</w:t>
            </w:r>
          </w:p>
          <w:p w14:paraId="3A0E3A66">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具备信息安全保障人员认证证书（CISAW）得3分</w:t>
            </w:r>
          </w:p>
          <w:p w14:paraId="1A104673">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具备具备数据安全官证书（CCRC-DS0）得2分。</w:t>
            </w:r>
          </w:p>
          <w:p w14:paraId="53E53D26">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本项满分</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p w14:paraId="73317EB0">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）项目成员：</w:t>
            </w:r>
          </w:p>
          <w:p w14:paraId="627D6E20">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具有1名高级测评师证书得3分；</w:t>
            </w:r>
          </w:p>
          <w:p w14:paraId="29D75106">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具有2名中级得3分；</w:t>
            </w:r>
          </w:p>
          <w:p w14:paraId="03293227">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项目成员中具备测评师证书同时具备职业能力认证证书（密码技术应用），每提供1名成员得3分，满分5分。</w:t>
            </w:r>
          </w:p>
          <w:p w14:paraId="5A4837FD">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以上人员不能重复，提供人员身份证复印件、资质证书、2025年1月以来任意连续三个月在投标人单位的社保缴费证明，加盖供应商公章。如人员无身份证件、资质证书、投标人为其缴纳社保的证明，则该人员不做计分。</w:t>
            </w:r>
          </w:p>
        </w:tc>
      </w:tr>
      <w:tr w14:paraId="63589864">
        <w:tblPrEx>
          <w:tblCellMar>
            <w:top w:w="0" w:type="dxa"/>
            <w:left w:w="108" w:type="dxa"/>
            <w:bottom w:w="0" w:type="dxa"/>
            <w:right w:w="108" w:type="dxa"/>
          </w:tblCellMar>
        </w:tblPrEx>
        <w:trPr>
          <w:trHeight w:val="9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54C124D7">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lang w:val="en-US" w:eastAsia="zh-CN" w:bidi="ar"/>
              </w:rPr>
            </w:pPr>
            <w:r>
              <w:rPr>
                <w:rFonts w:hint="eastAsia" w:asciiTheme="majorEastAsia" w:hAnsiTheme="majorEastAsia" w:eastAsiaTheme="majorEastAsia" w:cstheme="majorEastAsia"/>
                <w:sz w:val="24"/>
                <w:szCs w:val="24"/>
                <w:lang w:val="en-US" w:eastAsia="zh-CN" w:bidi="ar"/>
              </w:rPr>
              <w:t>业绩</w:t>
            </w:r>
          </w:p>
        </w:tc>
        <w:tc>
          <w:tcPr>
            <w:tcW w:w="720" w:type="dxa"/>
            <w:tcBorders>
              <w:top w:val="single" w:color="auto" w:sz="4" w:space="0"/>
              <w:left w:val="nil"/>
              <w:bottom w:val="single" w:color="auto" w:sz="4" w:space="0"/>
              <w:right w:val="single" w:color="auto" w:sz="4" w:space="0"/>
            </w:tcBorders>
            <w:vAlign w:val="center"/>
          </w:tcPr>
          <w:p w14:paraId="7E77389E">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5</w:t>
            </w:r>
          </w:p>
        </w:tc>
        <w:tc>
          <w:tcPr>
            <w:tcW w:w="7965" w:type="dxa"/>
            <w:tcBorders>
              <w:top w:val="single" w:color="auto" w:sz="4" w:space="0"/>
              <w:left w:val="nil"/>
              <w:bottom w:val="single" w:color="auto" w:sz="4" w:space="0"/>
              <w:right w:val="single" w:color="auto" w:sz="4" w:space="0"/>
            </w:tcBorders>
            <w:vAlign w:val="center"/>
          </w:tcPr>
          <w:p w14:paraId="5F88134E">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2022年以来对投标人完成过等保测评服务成功案例进行评分[以合同关键页（包括双方盖章、合同金额、签约时间、采购内容）复印件为准，不重复计分]。每提供1个等保测评服务成功案例得1分，本项满分5分。</w:t>
            </w:r>
          </w:p>
        </w:tc>
      </w:tr>
      <w:tr w14:paraId="19F96DDB">
        <w:tblPrEx>
          <w:tblCellMar>
            <w:top w:w="0" w:type="dxa"/>
            <w:left w:w="108" w:type="dxa"/>
            <w:bottom w:w="0" w:type="dxa"/>
            <w:right w:w="108" w:type="dxa"/>
          </w:tblCellMar>
        </w:tblPrEx>
        <w:trPr>
          <w:trHeight w:val="9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07582520">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lang w:bidi="ar"/>
              </w:rPr>
              <w:t>服务承诺</w:t>
            </w:r>
          </w:p>
        </w:tc>
        <w:tc>
          <w:tcPr>
            <w:tcW w:w="720" w:type="dxa"/>
            <w:tcBorders>
              <w:top w:val="single" w:color="auto" w:sz="4" w:space="0"/>
              <w:left w:val="nil"/>
              <w:bottom w:val="single" w:color="auto" w:sz="4" w:space="0"/>
              <w:right w:val="single" w:color="auto" w:sz="4" w:space="0"/>
            </w:tcBorders>
            <w:vAlign w:val="center"/>
          </w:tcPr>
          <w:p w14:paraId="338D4807">
            <w:pPr>
              <w:keepNext w:val="0"/>
              <w:keepLines w:val="0"/>
              <w:pageBreakBefore w:val="0"/>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15</w:t>
            </w:r>
          </w:p>
        </w:tc>
        <w:tc>
          <w:tcPr>
            <w:tcW w:w="7965" w:type="dxa"/>
            <w:tcBorders>
              <w:top w:val="single" w:color="auto" w:sz="4" w:space="0"/>
              <w:left w:val="nil"/>
              <w:bottom w:val="single" w:color="auto" w:sz="4" w:space="0"/>
              <w:right w:val="single" w:color="auto" w:sz="4" w:space="0"/>
            </w:tcBorders>
            <w:vAlign w:val="center"/>
          </w:tcPr>
          <w:p w14:paraId="1DCA1318">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1、供应商承诺完成测评服务后且提供对应付款申请和发票再申请付款，得5分，不提供不得分。</w:t>
            </w:r>
          </w:p>
          <w:p w14:paraId="6016346F">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、供应商承诺针对此次测评工作对采购单位的相关资料信息进行保密，对由供应商引起的泄密问题，由供应商承担相应责任，提供承诺函得5分，不提供不得分。</w:t>
            </w:r>
          </w:p>
          <w:p w14:paraId="7E94369F">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、供应商承诺针对此次等保测评工作中标后，不存在分包转包的情况，提供承诺函得5分，不提供不得分。</w:t>
            </w:r>
          </w:p>
        </w:tc>
      </w:tr>
    </w:tbl>
    <w:p w14:paraId="05A8A125">
      <w:pPr>
        <w:keepNext w:val="0"/>
        <w:keepLines w:val="0"/>
        <w:pageBreakBefore w:val="0"/>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技术部分（30分）</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977"/>
        <w:gridCol w:w="7239"/>
      </w:tblGrid>
      <w:tr w14:paraId="262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39" w:type="dxa"/>
            <w:vAlign w:val="center"/>
          </w:tcPr>
          <w:p w14:paraId="313ACAD4">
            <w:pPr>
              <w:keepNext w:val="0"/>
              <w:keepLines w:val="0"/>
              <w:pageBreakBefore w:val="0"/>
              <w:widowControl/>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评分项目</w:t>
            </w:r>
          </w:p>
        </w:tc>
        <w:tc>
          <w:tcPr>
            <w:tcW w:w="977" w:type="dxa"/>
            <w:vAlign w:val="center"/>
          </w:tcPr>
          <w:p w14:paraId="3783FE4F">
            <w:pPr>
              <w:keepNext w:val="0"/>
              <w:keepLines w:val="0"/>
              <w:pageBreakBefore w:val="0"/>
              <w:widowControl/>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分值</w:t>
            </w:r>
          </w:p>
        </w:tc>
        <w:tc>
          <w:tcPr>
            <w:tcW w:w="7239" w:type="dxa"/>
            <w:vAlign w:val="center"/>
          </w:tcPr>
          <w:p w14:paraId="5DBFE7A0">
            <w:pPr>
              <w:keepNext w:val="0"/>
              <w:keepLines w:val="0"/>
              <w:pageBreakBefore w:val="0"/>
              <w:widowControl/>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评分标准</w:t>
            </w:r>
          </w:p>
        </w:tc>
      </w:tr>
      <w:tr w14:paraId="2667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39" w:type="dxa"/>
            <w:vAlign w:val="center"/>
          </w:tcPr>
          <w:p w14:paraId="14CAB0FD">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服务方案</w:t>
            </w:r>
          </w:p>
        </w:tc>
        <w:tc>
          <w:tcPr>
            <w:tcW w:w="977" w:type="dxa"/>
            <w:vAlign w:val="center"/>
          </w:tcPr>
          <w:p w14:paraId="3EF483F2">
            <w:pPr>
              <w:keepNext w:val="0"/>
              <w:keepLines w:val="0"/>
              <w:pageBreakBefore w:val="0"/>
              <w:widowControl/>
              <w:kinsoku/>
              <w:overflowPunct/>
              <w:topLinePunct w:val="0"/>
              <w:autoSpaceDE/>
              <w:autoSpaceDN/>
              <w:bidi w:val="0"/>
              <w:adjustRightInd/>
              <w:snapToGrid/>
              <w:spacing w:beforeAutospacing="0" w:afterAutospacing="0" w:line="400" w:lineRule="atLeast"/>
              <w:jc w:val="center"/>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30</w:t>
            </w:r>
          </w:p>
        </w:tc>
        <w:tc>
          <w:tcPr>
            <w:tcW w:w="7239" w:type="dxa"/>
            <w:vAlign w:val="center"/>
          </w:tcPr>
          <w:p w14:paraId="4576B0EF">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（一）供应商根据本项目需求提供详细的等保测评服务方案，根据服务方案完整情况评分，方案内容包括测评思路、测评内容、项目工具、风险控制、保密措施等。评分标准：</w:t>
            </w:r>
          </w:p>
          <w:p w14:paraId="255A873C">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1.了解服务需求以及重点难点分析，从方案的可行性、合理性和建设性方面综合评价，得（20-30】分。</w:t>
            </w:r>
          </w:p>
          <w:p w14:paraId="1D02D7A0">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2.方案理解完整、依据明确、方案内容及要点清晰明确，无与项目无关，符合项目需求，得（10-20】分。</w:t>
            </w:r>
          </w:p>
          <w:p w14:paraId="1116CBE7">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3.方案有明显的欠缺，针对性较差得（0-10】分。</w:t>
            </w:r>
          </w:p>
          <w:p w14:paraId="719CC614">
            <w:pPr>
              <w:keepNext w:val="0"/>
              <w:keepLines w:val="0"/>
              <w:pageBreakBefore w:val="0"/>
              <w:widowControl/>
              <w:kinsoku/>
              <w:wordWrap w:val="0"/>
              <w:overflowPunct/>
              <w:topLinePunct w:val="0"/>
              <w:autoSpaceDE/>
              <w:autoSpaceDN/>
              <w:bidi w:val="0"/>
              <w:adjustRightInd/>
              <w:snapToGrid/>
              <w:spacing w:beforeAutospacing="0" w:afterAutospacing="0" w:line="400" w:lineRule="atLeas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4.方案完全不满足不得分。</w:t>
            </w:r>
          </w:p>
        </w:tc>
      </w:tr>
    </w:tbl>
    <w:p w14:paraId="51ED9FEA">
      <w:pPr>
        <w:rPr>
          <w:rFonts w:hint="eastAsia" w:ascii="宋体" w:hAnsi="宋体" w:eastAsia="宋体" w:cs="宋体"/>
          <w:color w:val="D80202"/>
          <w:sz w:val="24"/>
          <w:szCs w:val="24"/>
          <w:shd w:val="clear" w:color="auto" w:fill="FFFFFF"/>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CC156"/>
    <w:multiLevelType w:val="singleLevel"/>
    <w:tmpl w:val="350CC1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2MzExNDQwYmQ3Y2IzNTRmZWUyYWI0ODJiODliNmQifQ=="/>
  </w:docVars>
  <w:rsids>
    <w:rsidRoot w:val="004C2224"/>
    <w:rsid w:val="00053485"/>
    <w:rsid w:val="0008265B"/>
    <w:rsid w:val="0041204E"/>
    <w:rsid w:val="004C2224"/>
    <w:rsid w:val="00605CE0"/>
    <w:rsid w:val="006323A9"/>
    <w:rsid w:val="00737AD4"/>
    <w:rsid w:val="00866E6D"/>
    <w:rsid w:val="00872B4A"/>
    <w:rsid w:val="008A36F9"/>
    <w:rsid w:val="008A3742"/>
    <w:rsid w:val="009758D4"/>
    <w:rsid w:val="00BA3727"/>
    <w:rsid w:val="00C636A4"/>
    <w:rsid w:val="00CE30D0"/>
    <w:rsid w:val="0EF97BA2"/>
    <w:rsid w:val="14217944"/>
    <w:rsid w:val="15F50B9B"/>
    <w:rsid w:val="22FB4D36"/>
    <w:rsid w:val="24314CED"/>
    <w:rsid w:val="2B881EEF"/>
    <w:rsid w:val="2EC456C9"/>
    <w:rsid w:val="3A922A89"/>
    <w:rsid w:val="402C5666"/>
    <w:rsid w:val="4ED82367"/>
    <w:rsid w:val="6272781E"/>
    <w:rsid w:val="65506F67"/>
    <w:rsid w:val="678E39ED"/>
    <w:rsid w:val="6EAE73CA"/>
    <w:rsid w:val="724330D6"/>
    <w:rsid w:val="75A67159"/>
    <w:rsid w:val="7BD16CAF"/>
    <w:rsid w:val="7CB628D6"/>
    <w:rsid w:val="7DA7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无间隔1"/>
    <w:basedOn w:val="1"/>
    <w:qFormat/>
    <w:uiPriority w:val="1"/>
    <w:rPr>
      <w:rFonts w:cs="宋体"/>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2410</Words>
  <Characters>2615</Characters>
  <Lines>17</Lines>
  <Paragraphs>4</Paragraphs>
  <TotalTime>21</TotalTime>
  <ScaleCrop>false</ScaleCrop>
  <LinksUpToDate>false</LinksUpToDate>
  <CharactersWithSpaces>2636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2025-06-25T09:21:00Z</dcterms:created>
  <dc:creator>lenovo</dc:creator>
  <cp:lastModifiedBy>尘埃</cp:lastModifiedBy>
  <cp:lastPrinted>2025-10-14T02:17:00Z</cp:lastPrinted>
  <dcterms:modified xsi:type="dcterms:W3CDTF">2025-10-14T02:31:36Z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271BF28068D040A6BF5CF116AC6A0A92_13</vt:lpwstr>
  </property>
  <property fmtid="{D5CDD505-2E9C-101B-9397-08002B2CF9AE}" pid="4" name="KSOTemplateDocerSaveRecord">
    <vt:lpwstr>eyJoZGlkIjoiZTZhNmYwYzZkYmUzMzEwMDQ0NDgxNDQ2YjBiYzk5ODgiLCJ1c2VySWQiOiIzMDI1MjU5MzcifQ==</vt:lpwstr>
  </property>
</Properties>
</file>