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F2F4D">
      <w:pPr>
        <w:pStyle w:val="116"/>
        <w:framePr w:w="7955" w:wrap="notBeside" w:x="2206"/>
        <w:spacing w:before="62"/>
      </w:pPr>
      <w:bookmarkStart w:id="0" w:name="StdNo0"/>
      <w:r>
        <w:rPr>
          <w:rFonts w:hint="eastAsia"/>
          <w:sz w:val="76"/>
          <w:szCs w:val="76"/>
        </w:rPr>
        <w:t>团体标准</w:t>
      </w:r>
    </w:p>
    <w:bookmarkEnd w:id="0"/>
    <w:p w14:paraId="63E18016">
      <w:pPr>
        <w:pStyle w:val="53"/>
        <w:framePr w:w="4077" w:h="709" w:hRule="exact" w:wrap="notBeside" w:x="6482" w:y="3454"/>
        <w:rPr>
          <w:rFonts w:hAnsi="黑体"/>
        </w:rPr>
      </w:pPr>
    </w:p>
    <w:p w14:paraId="74D4C74E">
      <w:pPr>
        <w:pStyle w:val="84"/>
        <w:framePr w:h="8760" w:hRule="exact" w:wrap="notBeside"/>
        <w:rPr>
          <w:rFonts w:hint="default" w:eastAsia="黑体"/>
          <w:sz w:val="52"/>
          <w:szCs w:val="52"/>
          <w:lang w:val="en-US" w:eastAsia="zh-CN"/>
        </w:rPr>
      </w:pPr>
      <w:bookmarkStart w:id="1" w:name="FY"/>
      <w:r>
        <w:rPr>
          <w:rFonts w:hint="eastAsia"/>
          <w:sz w:val="52"/>
          <w:szCs w:val="52"/>
          <w:lang w:val="en-US" w:eastAsia="zh-CN"/>
        </w:rPr>
        <w:t>围产期组织细胞采集存储技术要求</w:t>
      </w:r>
    </w:p>
    <w:p w14:paraId="411D22F5">
      <w:pPr>
        <w:pStyle w:val="84"/>
        <w:framePr w:h="8760" w:hRule="exact" w:wrap="notBeside"/>
        <w:rPr>
          <w:rFonts w:asciiTheme="minorEastAsia" w:hAnsiTheme="minorEastAsia" w:eastAsiaTheme="minorEastAsia"/>
          <w:b/>
          <w:bCs/>
          <w:sz w:val="24"/>
          <w:szCs w:val="21"/>
        </w:rPr>
      </w:pPr>
      <w:r>
        <w:rPr>
          <w:rFonts w:hint="eastAsia" w:asciiTheme="minorEastAsia" w:hAnsiTheme="minorEastAsia" w:eastAsiaTheme="minorEastAsia"/>
          <w:b/>
          <w:bCs/>
          <w:sz w:val="24"/>
          <w:szCs w:val="21"/>
        </w:rPr>
        <w:t>（征求意见稿）</w:t>
      </w:r>
    </w:p>
    <w:p w14:paraId="2F22E828">
      <w:pPr>
        <w:pStyle w:val="84"/>
        <w:framePr w:h="8760" w:hRule="exact" w:wrap="notBeside"/>
        <w:rPr>
          <w:rFonts w:ascii="Times New Roman"/>
          <w:sz w:val="28"/>
          <w:szCs w:val="28"/>
        </w:rPr>
      </w:pPr>
    </w:p>
    <w:p w14:paraId="0D32F0D3">
      <w:pPr>
        <w:pStyle w:val="84"/>
        <w:framePr w:h="8760" w:hRule="exact" w:wrap="notBeside"/>
        <w:rPr>
          <w:rFonts w:ascii="Times New Roman"/>
          <w:sz w:val="44"/>
          <w:szCs w:val="44"/>
        </w:rPr>
      </w:pPr>
      <w:r>
        <w:rPr>
          <w:rFonts w:hint="eastAsia" w:ascii="Times New Roman"/>
          <w:sz w:val="44"/>
          <w:szCs w:val="44"/>
        </w:rPr>
        <w:t>编制说明</w:t>
      </w:r>
    </w:p>
    <w:p w14:paraId="575700E1">
      <w:pPr>
        <w:pStyle w:val="84"/>
        <w:framePr w:h="8760" w:hRule="exact" w:wrap="notBeside"/>
        <w:rPr>
          <w:shd w:val="pct10" w:color="auto" w:fill="FFFFFF"/>
        </w:rPr>
      </w:pPr>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36B80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7AF54D3D">
            <w:pPr>
              <w:pStyle w:val="88"/>
              <w:framePr w:h="8760" w:hRule="exact" w:wrap="notBeside"/>
            </w:pPr>
          </w:p>
          <w:p w14:paraId="7A96378D">
            <w:pPr>
              <w:pStyle w:val="88"/>
              <w:framePr w:h="8760" w:hRule="exact" w:wrap="notBeside"/>
            </w:pPr>
          </w:p>
          <w:p w14:paraId="7798E2E3">
            <w:pPr>
              <w:pStyle w:val="88"/>
              <w:framePr w:h="8760" w:hRule="exact" w:wrap="notBeside"/>
            </w:pPr>
          </w:p>
          <w:p w14:paraId="5C74FD46">
            <w:pPr>
              <w:pStyle w:val="88"/>
              <w:framePr w:h="8760" w:hRule="exact" w:wrap="notBeside"/>
            </w:pPr>
          </w:p>
          <w:p w14:paraId="62784731">
            <w:pPr>
              <w:pStyle w:val="88"/>
              <w:framePr w:h="8760" w:hRule="exact" w:wrap="notBeside"/>
            </w:pPr>
          </w:p>
          <w:p w14:paraId="28F6CBA4">
            <w:pPr>
              <w:pStyle w:val="88"/>
              <w:framePr w:h="8760" w:hRule="exact" w:wrap="notBeside"/>
            </w:pPr>
          </w:p>
          <w:p w14:paraId="377670CD">
            <w:pPr>
              <w:pStyle w:val="88"/>
              <w:framePr w:h="8760" w:hRule="exact" w:wrap="notBeside"/>
            </w:pPr>
          </w:p>
          <w:p w14:paraId="62FD807A">
            <w:pPr>
              <w:pStyle w:val="88"/>
              <w:framePr w:h="8760" w:hRule="exact" w:wrap="notBeside"/>
            </w:pPr>
          </w:p>
          <w:p w14:paraId="321C99E4">
            <w:pPr>
              <w:pStyle w:val="88"/>
              <w:framePr w:h="8760" w:hRule="exact" w:wrap="notBeside"/>
            </w:pPr>
          </w:p>
          <w:p w14:paraId="37CD2453">
            <w:pPr>
              <w:pStyle w:val="88"/>
              <w:framePr w:h="8760" w:hRule="exact" w:wrap="notBeside"/>
              <w:rPr>
                <w:rFonts w:hint="default" w:eastAsia="宋体"/>
                <w:lang w:val="en-US" w:eastAsia="zh-CN"/>
              </w:rPr>
            </w:pPr>
            <w:r>
              <w:rPr>
                <w:rFonts w:hint="eastAsia"/>
                <w:b/>
                <w:bCs/>
                <w:lang w:val="en-US" w:eastAsia="zh-CN"/>
              </w:rPr>
              <w:t>2025</w:t>
            </w:r>
            <w:r>
              <w:rPr>
                <w:rFonts w:hint="eastAsia"/>
                <w:b/>
                <w:bCs/>
              </w:rPr>
              <w:t>-</w:t>
            </w:r>
            <w:r>
              <w:rPr>
                <w:rFonts w:hint="eastAsia"/>
                <w:b/>
                <w:bCs/>
                <w:lang w:val="en-US" w:eastAsia="zh-CN"/>
              </w:rPr>
              <w:t>09</w:t>
            </w:r>
            <w:r>
              <w:rPr>
                <w:rFonts w:hint="eastAsia"/>
                <w:b/>
                <w:bCs/>
              </w:rPr>
              <w:t>-</w:t>
            </w:r>
            <w:r>
              <w:rPr>
                <w:rFonts w:hint="eastAsia"/>
                <w:b/>
                <w:bCs/>
                <w:lang w:val="en-US" w:eastAsia="zh-CN"/>
              </w:rPr>
              <w:t>29</w:t>
            </w:r>
          </w:p>
        </w:tc>
      </w:tr>
      <w:bookmarkEnd w:id="1"/>
    </w:tbl>
    <w:p w14:paraId="789900E5"/>
    <w:p w14:paraId="39D204C2">
      <w: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2331085</wp:posOffset>
                </wp:positionV>
                <wp:extent cx="5969635" cy="0"/>
                <wp:effectExtent l="0" t="0" r="12700" b="19050"/>
                <wp:wrapNone/>
                <wp:docPr id="1" name="Line 11"/>
                <wp:cNvGraphicFramePr/>
                <a:graphic xmlns:a="http://schemas.openxmlformats.org/drawingml/2006/main">
                  <a:graphicData uri="http://schemas.microsoft.com/office/word/2010/wordprocessingShape">
                    <wps:wsp>
                      <wps:cNvCnPr>
                        <a:cxnSpLocks noChangeShapeType="1"/>
                      </wps:cNvCnPr>
                      <wps:spPr bwMode="auto">
                        <a:xfrm>
                          <a:off x="0" y="0"/>
                          <a:ext cx="5969479"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25pt;margin-top:183.55pt;height:0pt;width:470.05pt;z-index:251659264;mso-width-relative:page;mso-height-relative:page;" filled="f" stroked="t" coordsize="21600,21600" o:gfxdata="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bgrYXXAAAACQEAAA8AAAAAAAAAAQAgAAAAIgAAAGRycy9k&#10;b3ducmV2LnhtbFBLAQIUABQAAAAIAIdO4kBTnBKxygEAAKADAAAOAAAAAAAAAAEAIAAAACYBAABk&#10;cnMvZTJvRG9jLnhtbFBLBQYAAAAABgAGAFkBAABiBQAAAAA=&#10;">
                <v:fill on="f" focussize="0,0"/>
                <v:stroke color="#000000" joinstyle="round"/>
                <v:imagedata o:title=""/>
                <o:lock v:ext="edit" aspectratio="f"/>
              </v:line>
            </w:pict>
          </mc:Fallback>
        </mc:AlternateContent>
      </w:r>
      <w:r>
        <w:rPr>
          <w:rFonts w:hint="eastAsia"/>
        </w:rPr>
        <w:tab/>
      </w:r>
    </w:p>
    <w:p w14:paraId="12D41D65"/>
    <w:p w14:paraId="1FBE7D64"/>
    <w:p w14:paraId="480D4A9C"/>
    <w:p w14:paraId="4B5C392F"/>
    <w:p w14:paraId="119F2DB9"/>
    <w:p w14:paraId="21071411"/>
    <w:p w14:paraId="71478030"/>
    <w:p w14:paraId="7E186268"/>
    <w:p w14:paraId="2D847721">
      <w:pPr>
        <w:pStyle w:val="23"/>
      </w:pPr>
    </w:p>
    <w:p w14:paraId="2CEB21E3">
      <w:pPr>
        <w:adjustRightInd w:val="0"/>
        <w:snapToGrid w:val="0"/>
        <w:spacing w:line="240" w:lineRule="atLeast"/>
        <w:jc w:val="center"/>
        <w:rPr>
          <w:rFonts w:eastAsia="方正小标宋简体"/>
          <w:sz w:val="36"/>
          <w:szCs w:val="36"/>
        </w:rPr>
      </w:pPr>
      <w:r>
        <w:rPr>
          <w:rFonts w:hint="eastAsia" w:eastAsia="方正小标宋简体"/>
          <w:sz w:val="36"/>
          <w:szCs w:val="36"/>
        </w:rPr>
        <w:t>《</w:t>
      </w:r>
      <w:r>
        <w:rPr>
          <w:rFonts w:hint="eastAsia" w:eastAsia="方正小标宋简体"/>
          <w:sz w:val="36"/>
          <w:szCs w:val="36"/>
          <w:lang w:val="en-US" w:eastAsia="zh-CN"/>
        </w:rPr>
        <w:t>围产期组织细胞采集存储技术要求</w:t>
      </w:r>
      <w:r>
        <w:rPr>
          <w:rFonts w:hint="eastAsia" w:eastAsia="方正小标宋简体"/>
          <w:sz w:val="36"/>
          <w:szCs w:val="36"/>
        </w:rPr>
        <w:t>》</w:t>
      </w:r>
    </w:p>
    <w:p w14:paraId="758854A5">
      <w:pPr>
        <w:adjustRightInd w:val="0"/>
        <w:snapToGrid w:val="0"/>
        <w:spacing w:line="240" w:lineRule="atLeast"/>
        <w:jc w:val="center"/>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rPr>
        <w:t>（征求意见稿）编制说明</w:t>
      </w:r>
    </w:p>
    <w:p w14:paraId="3D33EED0">
      <w:pPr>
        <w:adjustRightInd w:val="0"/>
        <w:snapToGrid w:val="0"/>
        <w:spacing w:line="240" w:lineRule="atLeast"/>
        <w:jc w:val="center"/>
        <w:rPr>
          <w:rFonts w:hint="eastAsia" w:asciiTheme="minorEastAsia" w:hAnsiTheme="minorEastAsia" w:eastAsiaTheme="minorEastAsia"/>
          <w:sz w:val="30"/>
          <w:szCs w:val="30"/>
        </w:rPr>
      </w:pPr>
    </w:p>
    <w:p w14:paraId="426B06CA">
      <w:pPr>
        <w:spacing w:line="360" w:lineRule="auto"/>
        <w:ind w:firstLine="640" w:firstLineChars="200"/>
        <w:rPr>
          <w:rFonts w:hint="eastAsia" w:ascii="方正仿宋_GB2312" w:hAnsi="方正仿宋_GB2312" w:eastAsia="方正仿宋_GB2312" w:cs="方正仿宋_GB2312"/>
          <w:sz w:val="32"/>
          <w:szCs w:val="32"/>
        </w:rPr>
      </w:pPr>
      <w:r>
        <w:rPr>
          <w:rFonts w:hint="eastAsia" w:eastAsia="仿宋_GB2312"/>
          <w:sz w:val="32"/>
          <w:szCs w:val="32"/>
          <w:lang w:val="en-US" w:eastAsia="zh-CN"/>
        </w:rPr>
        <w:t>随着细胞生物医药技术的快速发展，围产期组织作为细胞药物重要的生物原材料，越来越凸显其在细胞技术临床应用中的重要作用。</w:t>
      </w:r>
      <w:r>
        <w:rPr>
          <w:rFonts w:hint="eastAsia" w:ascii="方正仿宋_GB2312" w:hAnsi="方正仿宋_GB2312" w:eastAsia="方正仿宋_GB2312" w:cs="方正仿宋_GB2312"/>
          <w:sz w:val="32"/>
          <w:szCs w:val="32"/>
          <w:lang w:eastAsia="zh-CN"/>
        </w:rPr>
        <w:t>围产期组织蕴含着大量具有显著临床</w:t>
      </w:r>
      <w:r>
        <w:rPr>
          <w:rFonts w:hint="eastAsia" w:ascii="方正仿宋_GB2312" w:hAnsi="方正仿宋_GB2312" w:eastAsia="方正仿宋_GB2312" w:cs="方正仿宋_GB2312"/>
          <w:sz w:val="32"/>
          <w:szCs w:val="32"/>
          <w:lang w:val="en-US" w:eastAsia="zh-CN"/>
        </w:rPr>
        <w:t>应用潜力的干细胞及各类功能细胞。这些珍贵的细胞资源在再生医学、免疫治疗等多个前沿医学领域展现出广泛的应用前景，为众多疾病的治疗提供了新的希望。然而，当前国内在围产期组织细胞的采集、制备以及储存等关键操作环节上，普遍缺乏统一且规范的标准体系。这种状况不仅可能导致采集到的样本在质量上存在显著差异，还可能引发一系列生物安全风险，甚至造成宝贵的细胞资源浪费。为此在围产期组织细胞的采集储存技术方面急需制定一部标准要求。</w:t>
      </w:r>
    </w:p>
    <w:p w14:paraId="788B2F3E">
      <w:pPr>
        <w:numPr>
          <w:ilvl w:val="0"/>
          <w:numId w:val="0"/>
        </w:numPr>
        <w:spacing w:beforeAutospacing="0" w:afterAutospacing="0"/>
        <w:ind w:leftChars="35"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该标准的制定可保障医疗安全，</w:t>
      </w:r>
      <w:r>
        <w:rPr>
          <w:rFonts w:hint="eastAsia" w:ascii="方正仿宋_GB2312" w:hAnsi="方正仿宋_GB2312" w:eastAsia="方正仿宋_GB2312" w:cs="方正仿宋_GB2312"/>
          <w:sz w:val="32"/>
          <w:szCs w:val="32"/>
        </w:rPr>
        <w:t>围产期组织细胞采集与储存涉及到后续可能应用于人体的细胞</w:t>
      </w:r>
      <w:r>
        <w:rPr>
          <w:rFonts w:hint="eastAsia" w:ascii="方正仿宋_GB2312" w:hAnsi="方正仿宋_GB2312" w:eastAsia="方正仿宋_GB2312" w:cs="方正仿宋_GB2312"/>
          <w:sz w:val="32"/>
          <w:szCs w:val="32"/>
          <w:lang w:val="en-US" w:eastAsia="zh-CN"/>
        </w:rPr>
        <w:t>临床</w:t>
      </w:r>
      <w:r>
        <w:rPr>
          <w:rFonts w:hint="eastAsia" w:ascii="方正仿宋_GB2312" w:hAnsi="方正仿宋_GB2312" w:eastAsia="方正仿宋_GB2312" w:cs="方正仿宋_GB2312"/>
          <w:sz w:val="32"/>
          <w:szCs w:val="32"/>
        </w:rPr>
        <w:t>治疗等医疗活动。若缺乏统一标准，采集过程可能因操作不当，如采集器械不规范、采集部位不准确等，导致细胞污染、损伤，影响细胞质量，进而在用于治疗时引发严重医疗风险，如感染、免疫排斥等不良反应，威胁患者生命健康。标准制定能确保采集储存过程符合医疗安全规范，为后续临床应用提供可靠保障。</w:t>
      </w:r>
    </w:p>
    <w:p w14:paraId="05451D0E">
      <w:pPr>
        <w:numPr>
          <w:ilvl w:val="0"/>
          <w:numId w:val="0"/>
        </w:numPr>
        <w:spacing w:beforeAutospacing="0" w:afterAutospacing="0"/>
        <w:ind w:leftChars="35"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该标准的制定可便于监管与质量评估，</w:t>
      </w:r>
      <w:r>
        <w:rPr>
          <w:rFonts w:hint="eastAsia" w:ascii="方正仿宋_GB2312" w:hAnsi="方正仿宋_GB2312" w:eastAsia="方正仿宋_GB2312" w:cs="方正仿宋_GB2312"/>
          <w:sz w:val="32"/>
          <w:szCs w:val="32"/>
        </w:rPr>
        <w:t>对于监管部门而言，标准是有效监管的依据。有了明确的技术要求标准，监管部门可对围产期组织细胞采集储存机构进行定期检查和评估，及时发现不符合规范的操作并督促整改。同时，标准也为质量评估提供了统一尺度，使不同机构间的细胞产品质量具有可比性，有利于保障行业整体质量水平。</w:t>
      </w:r>
    </w:p>
    <w:p w14:paraId="00980FC1">
      <w:pPr>
        <w:numPr>
          <w:ilvl w:val="0"/>
          <w:numId w:val="0"/>
        </w:numPr>
        <w:spacing w:beforeAutospacing="0" w:afterAutospacing="0"/>
        <w:ind w:leftChars="35" w:firstLine="640" w:firstLineChars="200"/>
        <w:rPr>
          <w:rFonts w:hint="eastAsia" w:ascii="方正仿宋_GB2312" w:hAnsi="方正仿宋_GB2312" w:eastAsia="方正仿宋_GB2312" w:cs="方正仿宋_GB2312"/>
          <w:sz w:val="32"/>
          <w:szCs w:val="32"/>
          <w:lang w:val="en-US" w:eastAsia="zh-CN"/>
        </w:rPr>
      </w:pPr>
    </w:p>
    <w:p w14:paraId="65982B04">
      <w:pPr>
        <w:spacing w:beforeAutospacing="0" w:line="300" w:lineRule="auto"/>
        <w:rPr>
          <w:rFonts w:hint="eastAsia" w:ascii="方正仿宋_GB2312" w:hAnsi="方正仿宋_GB2312" w:eastAsia="方正仿宋_GB2312" w:cs="方正仿宋_GB2312"/>
          <w:b/>
          <w:bCs w:val="0"/>
          <w:sz w:val="32"/>
          <w:szCs w:val="32"/>
        </w:rPr>
      </w:pPr>
      <w:r>
        <w:rPr>
          <w:rFonts w:hint="eastAsia" w:ascii="方正仿宋_GB2312" w:hAnsi="方正仿宋_GB2312" w:eastAsia="方正仿宋_GB2312" w:cs="方正仿宋_GB2312"/>
          <w:b/>
          <w:bCs w:val="0"/>
          <w:sz w:val="32"/>
          <w:szCs w:val="32"/>
        </w:rPr>
        <w:t xml:space="preserve">1  </w:t>
      </w:r>
      <w:r>
        <w:rPr>
          <w:rFonts w:hint="eastAsia" w:ascii="方正仿宋_GB2312" w:hAnsi="方正仿宋_GB2312" w:eastAsia="方正仿宋_GB2312" w:cs="方正仿宋_GB2312"/>
          <w:b/>
          <w:bCs w:val="0"/>
          <w:spacing w:val="6"/>
          <w:sz w:val="32"/>
          <w:szCs w:val="32"/>
        </w:rPr>
        <w:t>任务来源、协作单位</w:t>
      </w:r>
    </w:p>
    <w:p w14:paraId="204A2289">
      <w:pPr>
        <w:spacing w:line="300" w:lineRule="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val="0"/>
          <w:sz w:val="32"/>
          <w:szCs w:val="32"/>
        </w:rPr>
        <w:t xml:space="preserve">1.1  </w:t>
      </w:r>
      <w:r>
        <w:rPr>
          <w:rFonts w:hint="eastAsia" w:ascii="方正仿宋_GB2312" w:hAnsi="方正仿宋_GB2312" w:eastAsia="方正仿宋_GB2312" w:cs="方正仿宋_GB2312"/>
          <w:b/>
          <w:bCs w:val="0"/>
          <w:spacing w:val="6"/>
          <w:sz w:val="32"/>
          <w:szCs w:val="32"/>
        </w:rPr>
        <w:t>任务来源</w:t>
      </w:r>
    </w:p>
    <w:p w14:paraId="64B40C7D">
      <w:pPr>
        <w:spacing w:line="360" w:lineRule="auto"/>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围产期组织，包括胎盘、脐带等在内的重要生物材料，蕴含着大量具有显著临床</w:t>
      </w:r>
      <w:r>
        <w:rPr>
          <w:rFonts w:hint="eastAsia" w:ascii="方正仿宋_GB2312" w:hAnsi="方正仿宋_GB2312" w:eastAsia="方正仿宋_GB2312" w:cs="方正仿宋_GB2312"/>
          <w:sz w:val="32"/>
          <w:szCs w:val="32"/>
          <w:lang w:val="en-US" w:eastAsia="zh-CN"/>
        </w:rPr>
        <w:t>应用潜力的干细胞及各类功能细胞。然而，当前国内在围产期组织细胞的采集、处理以及储存等关键操作环节上，普遍缺乏统一且规范的标准体系。这种状况不仅可能导致采集到的样本在质量上存在显著差异，还可能引发一系列生物安全风险，甚至造成宝贵的细胞资源浪费。</w:t>
      </w:r>
    </w:p>
    <w:p w14:paraId="15A44BE7">
      <w:pPr>
        <w:spacing w:line="360" w:lineRule="auto"/>
        <w:ind w:firstLine="640" w:firstLineChars="200"/>
        <w:rPr>
          <w:rFonts w:hint="eastAsia" w:ascii="方正仿宋_GB2312" w:hAnsi="方正仿宋_GB2312" w:eastAsia="方正仿宋_GB2312" w:cs="方正仿宋_GB2312"/>
          <w:i w:val="0"/>
          <w:iCs w:val="0"/>
          <w:caps w:val="0"/>
          <w:color w:val="FF0000"/>
          <w:spacing w:val="0"/>
          <w:kern w:val="0"/>
          <w:sz w:val="32"/>
          <w:szCs w:val="32"/>
          <w:shd w:val="clear" w:fill="FFFFFF"/>
          <w:lang w:val="en-US" w:eastAsia="zh-CN" w:bidi="ar"/>
        </w:rPr>
      </w:pPr>
      <w:r>
        <w:rPr>
          <w:rFonts w:hint="eastAsia" w:ascii="方正仿宋_GB2312" w:hAnsi="方正仿宋_GB2312" w:eastAsia="方正仿宋_GB2312" w:cs="方正仿宋_GB2312"/>
          <w:sz w:val="32"/>
          <w:szCs w:val="32"/>
          <w:lang w:val="en-US" w:eastAsia="zh-CN"/>
        </w:rPr>
        <w:t>为</w:t>
      </w:r>
      <w:r>
        <w:rPr>
          <w:rFonts w:hint="eastAsia" w:ascii="方正仿宋_GB2312" w:hAnsi="方正仿宋_GB2312" w:eastAsia="方正仿宋_GB2312" w:cs="方正仿宋_GB2312"/>
          <w:i w:val="0"/>
          <w:iCs w:val="0"/>
          <w:caps w:val="0"/>
          <w:color w:val="000000" w:themeColor="text1"/>
          <w:spacing w:val="0"/>
          <w:kern w:val="0"/>
          <w:sz w:val="32"/>
          <w:szCs w:val="32"/>
          <w:shd w:val="clear" w:fill="FFFFFF"/>
          <w:lang w:val="en-US" w:eastAsia="zh-CN" w:bidi="ar"/>
          <w14:textFill>
            <w14:solidFill>
              <w14:schemeClr w14:val="tx1"/>
            </w14:solidFill>
          </w14:textFill>
        </w:rPr>
        <w:t>了有效解决这一问题，由中国民族卫生协会立项，重庆医科大学附属妇女儿童医院作为牵头单位，负责起草并制定本项标准。</w:t>
      </w:r>
      <w:r>
        <w:rPr>
          <w:rFonts w:hint="eastAsia" w:ascii="方正仿宋_GB2312" w:hAnsi="方正仿宋_GB2312" w:eastAsia="方正仿宋_GB2312" w:cs="方正仿宋_GB2312"/>
          <w:sz w:val="32"/>
          <w:szCs w:val="32"/>
          <w:lang w:val="en-US" w:eastAsia="zh-CN"/>
        </w:rPr>
        <w:t>制定本标准的根本目的在于，通过明确和规范围产期组织细胞采集与存储的技术流程，确保每一份细胞样本的质量得到严格保障。此举不仅填补了国内在该领域的标准空白，更为重要的是，它将有力推动围产期组织细胞资源的临床转化应用，促进整个行业的健康、有序发展，为我国医疗事业的进步贡献力量。</w:t>
      </w:r>
    </w:p>
    <w:p w14:paraId="613F3E93">
      <w:pPr>
        <w:spacing w:line="300" w:lineRule="auto"/>
        <w:ind w:firstLine="504" w:firstLineChars="200"/>
        <w:jc w:val="both"/>
        <w:rPr>
          <w:rFonts w:hint="eastAsia" w:ascii="仿宋" w:hAnsi="仿宋" w:eastAsia="仿宋" w:cs="仿宋"/>
          <w:spacing w:val="6"/>
          <w:sz w:val="24"/>
          <w:highlight w:val="none"/>
        </w:rPr>
      </w:pPr>
    </w:p>
    <w:p w14:paraId="44D591CE">
      <w:pPr>
        <w:spacing w:line="300" w:lineRule="auto"/>
        <w:rPr>
          <w:rFonts w:hint="eastAsia" w:ascii="方正仿宋_GB2312" w:hAnsi="方正仿宋_GB2312" w:eastAsia="方正仿宋_GB2312" w:cs="方正仿宋_GB2312"/>
          <w:b/>
          <w:spacing w:val="6"/>
          <w:sz w:val="32"/>
          <w:szCs w:val="32"/>
        </w:rPr>
      </w:pPr>
      <w:r>
        <w:rPr>
          <w:rFonts w:hint="eastAsia" w:ascii="方正仿宋_GB2312" w:hAnsi="方正仿宋_GB2312" w:eastAsia="方正仿宋_GB2312" w:cs="方正仿宋_GB2312"/>
          <w:b/>
          <w:spacing w:val="6"/>
          <w:sz w:val="32"/>
          <w:szCs w:val="32"/>
        </w:rPr>
        <w:t>1.2  协作单位</w:t>
      </w:r>
    </w:p>
    <w:p w14:paraId="4833796A">
      <w:p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本标准牵头起草单位为：</w:t>
      </w:r>
      <w:r>
        <w:rPr>
          <w:rFonts w:hint="eastAsia" w:ascii="方正仿宋_GB2312" w:hAnsi="方正仿宋_GB2312" w:eastAsia="方正仿宋_GB2312" w:cs="方正仿宋_GB2312"/>
          <w:i w:val="0"/>
          <w:iCs w:val="0"/>
          <w:caps w:val="0"/>
          <w:color w:val="333333"/>
          <w:spacing w:val="0"/>
          <w:kern w:val="0"/>
          <w:sz w:val="32"/>
          <w:szCs w:val="32"/>
          <w:shd w:val="clear" w:fill="FFFFFF"/>
          <w:lang w:val="en-US" w:eastAsia="zh-CN" w:bidi="ar"/>
        </w:rPr>
        <w:t>重庆医科大学附属妇女儿童医院</w:t>
      </w:r>
    </w:p>
    <w:p w14:paraId="7193B114">
      <w:p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参加起草的单位包括：</w:t>
      </w:r>
      <w:r>
        <w:rPr>
          <w:rFonts w:hint="eastAsia" w:ascii="方正仿宋_GB2312" w:hAnsi="方正仿宋_GB2312" w:eastAsia="方正仿宋_GB2312" w:cs="方正仿宋_GB2312"/>
          <w:sz w:val="32"/>
          <w:szCs w:val="32"/>
        </w:rPr>
        <w:t>山东大学齐鲁医院，重庆市铂而斐细胞生物技术有限公司，西南大学医学研究院，山东省泉溪生物技术有限公司</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i w:val="0"/>
          <w:iCs w:val="0"/>
          <w:caps w:val="0"/>
          <w:color w:val="333333"/>
          <w:spacing w:val="0"/>
          <w:kern w:val="0"/>
          <w:sz w:val="32"/>
          <w:szCs w:val="32"/>
          <w:shd w:val="clear" w:fill="FFFFFF"/>
          <w:lang w:val="en-US" w:eastAsia="zh-CN" w:bidi="ar"/>
        </w:rPr>
        <w:t>重庆医科大学附属第一医院、重庆医科大学附属第二医院。</w:t>
      </w:r>
    </w:p>
    <w:p w14:paraId="769EECC9">
      <w:pPr>
        <w:spacing w:line="300" w:lineRule="auto"/>
        <w:rPr>
          <w:rFonts w:ascii="仿宋" w:hAnsi="仿宋" w:eastAsia="仿宋" w:cs="仿宋"/>
          <w:spacing w:val="6"/>
          <w:sz w:val="24"/>
        </w:rPr>
      </w:pPr>
    </w:p>
    <w:p w14:paraId="2356B795">
      <w:pPr>
        <w:spacing w:line="300" w:lineRule="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2  编制工作组简况</w:t>
      </w:r>
    </w:p>
    <w:p w14:paraId="37F8FD8E">
      <w:pPr>
        <w:spacing w:line="300" w:lineRule="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2.1  编制工作组及其成员情况</w:t>
      </w:r>
    </w:p>
    <w:p w14:paraId="7C63031F">
      <w:pPr>
        <w:spacing w:line="300" w:lineRule="auto"/>
        <w:rPr>
          <w:rFonts w:hint="eastAsia" w:ascii="仿宋" w:hAnsi="仿宋" w:eastAsia="仿宋" w:cs="仿宋"/>
          <w:b/>
          <w:spacing w:val="6"/>
          <w:sz w:val="24"/>
          <w:lang w:val="en-US" w:eastAsia="zh-CN"/>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4992"/>
        <w:gridCol w:w="3190"/>
      </w:tblGrid>
      <w:tr w14:paraId="58D6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88" w:type="dxa"/>
          </w:tcPr>
          <w:p w14:paraId="68845A34">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仿宋" w:hAnsi="仿宋" w:eastAsia="仿宋" w:cs="仿宋"/>
                <w:b/>
                <w:bCs/>
                <w:spacing w:val="6"/>
                <w:sz w:val="24"/>
                <w:szCs w:val="24"/>
                <w:highlight w:val="none"/>
                <w:lang w:val="en-US" w:eastAsia="zh-CN"/>
              </w:rPr>
            </w:pPr>
            <w:r>
              <w:rPr>
                <w:rFonts w:hint="eastAsia" w:ascii="仿宋" w:hAnsi="仿宋" w:eastAsia="仿宋" w:cs="仿宋"/>
                <w:b/>
                <w:bCs/>
                <w:spacing w:val="6"/>
                <w:sz w:val="24"/>
                <w:szCs w:val="24"/>
                <w:highlight w:val="none"/>
                <w:lang w:val="en-US" w:eastAsia="zh-CN"/>
              </w:rPr>
              <w:t>承担工作</w:t>
            </w:r>
          </w:p>
        </w:tc>
        <w:tc>
          <w:tcPr>
            <w:tcW w:w="4992" w:type="dxa"/>
          </w:tcPr>
          <w:p w14:paraId="1AB6743E">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仿宋" w:hAnsi="仿宋" w:eastAsia="仿宋" w:cs="仿宋"/>
                <w:b/>
                <w:bCs/>
                <w:spacing w:val="6"/>
                <w:sz w:val="24"/>
                <w:szCs w:val="24"/>
                <w:highlight w:val="none"/>
                <w:lang w:val="en-US" w:eastAsia="zh-CN"/>
              </w:rPr>
            </w:pPr>
            <w:r>
              <w:rPr>
                <w:rFonts w:hint="eastAsia" w:ascii="仿宋" w:hAnsi="仿宋" w:eastAsia="仿宋" w:cs="仿宋"/>
                <w:b/>
                <w:bCs/>
                <w:spacing w:val="6"/>
                <w:sz w:val="24"/>
                <w:szCs w:val="24"/>
                <w:highlight w:val="none"/>
                <w:lang w:val="en-US" w:eastAsia="zh-CN"/>
              </w:rPr>
              <w:t>单位名称</w:t>
            </w:r>
          </w:p>
        </w:tc>
        <w:tc>
          <w:tcPr>
            <w:tcW w:w="3190" w:type="dxa"/>
          </w:tcPr>
          <w:p w14:paraId="6E9010A5">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 w:hAnsi="仿宋" w:eastAsia="仿宋" w:cs="仿宋"/>
                <w:b/>
                <w:bCs/>
                <w:spacing w:val="6"/>
                <w:sz w:val="24"/>
                <w:szCs w:val="24"/>
                <w:highlight w:val="none"/>
                <w:lang w:val="en-US" w:eastAsia="zh-CN"/>
              </w:rPr>
            </w:pPr>
            <w:r>
              <w:rPr>
                <w:rFonts w:hint="eastAsia" w:ascii="仿宋" w:hAnsi="仿宋" w:eastAsia="仿宋" w:cs="仿宋"/>
                <w:b/>
                <w:bCs/>
                <w:spacing w:val="6"/>
                <w:sz w:val="24"/>
                <w:szCs w:val="24"/>
                <w:highlight w:val="none"/>
                <w:lang w:val="en-US" w:eastAsia="zh-CN"/>
              </w:rPr>
              <w:t>协作专家</w:t>
            </w:r>
          </w:p>
        </w:tc>
      </w:tr>
      <w:tr w14:paraId="4C4E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88" w:type="dxa"/>
          </w:tcPr>
          <w:p w14:paraId="2607D577">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 w:hAnsi="仿宋" w:eastAsia="仿宋" w:cs="仿宋"/>
                <w:spacing w:val="6"/>
                <w:sz w:val="24"/>
                <w:highlight w:val="none"/>
              </w:rPr>
            </w:pPr>
            <w:r>
              <w:rPr>
                <w:rFonts w:hint="eastAsia" w:ascii="仿宋" w:hAnsi="仿宋" w:eastAsia="仿宋" w:cs="仿宋"/>
                <w:spacing w:val="6"/>
                <w:sz w:val="24"/>
                <w:highlight w:val="none"/>
                <w:lang w:val="en-US" w:eastAsia="zh-CN"/>
              </w:rPr>
              <w:t>牵头单位</w:t>
            </w:r>
          </w:p>
        </w:tc>
        <w:tc>
          <w:tcPr>
            <w:tcW w:w="4992" w:type="dxa"/>
          </w:tcPr>
          <w:p w14:paraId="400BB8F0">
            <w:pPr>
              <w:keepNext w:val="0"/>
              <w:keepLines w:val="0"/>
              <w:pageBreakBefore w:val="0"/>
              <w:widowControl w:val="0"/>
              <w:kinsoku/>
              <w:wordWrap/>
              <w:overflowPunct/>
              <w:topLinePunct w:val="0"/>
              <w:autoSpaceDE/>
              <w:autoSpaceDN/>
              <w:bidi w:val="0"/>
              <w:adjustRightInd/>
              <w:snapToGrid/>
              <w:spacing w:line="300" w:lineRule="auto"/>
              <w:ind w:firstLine="504" w:firstLineChars="200"/>
              <w:jc w:val="both"/>
              <w:textAlignment w:val="auto"/>
              <w:rPr>
                <w:rFonts w:hint="eastAsia" w:ascii="仿宋" w:hAnsi="仿宋" w:eastAsia="仿宋" w:cs="仿宋"/>
                <w:spacing w:val="6"/>
                <w:sz w:val="24"/>
                <w:highlight w:val="none"/>
                <w:lang w:val="en-US"/>
              </w:rPr>
            </w:pPr>
            <w:r>
              <w:rPr>
                <w:rFonts w:hint="eastAsia" w:ascii="仿宋" w:hAnsi="仿宋" w:eastAsia="仿宋" w:cs="仿宋"/>
                <w:spacing w:val="6"/>
                <w:sz w:val="24"/>
                <w:highlight w:val="none"/>
                <w:lang w:val="en-US" w:eastAsia="zh-CN"/>
              </w:rPr>
              <w:t>重庆医科大学</w:t>
            </w:r>
            <w:r>
              <w:rPr>
                <w:rFonts w:hint="eastAsia" w:ascii="仿宋" w:hAnsi="仿宋" w:eastAsia="仿宋" w:cs="仿宋"/>
                <w:i w:val="0"/>
                <w:iCs w:val="0"/>
                <w:caps w:val="0"/>
                <w:color w:val="333333"/>
                <w:spacing w:val="0"/>
                <w:kern w:val="0"/>
                <w:sz w:val="24"/>
                <w:szCs w:val="24"/>
                <w:shd w:val="clear" w:fill="FFFFFF"/>
                <w:lang w:val="en-US" w:eastAsia="zh-CN" w:bidi="ar"/>
              </w:rPr>
              <w:t>附属妇女儿童医院</w:t>
            </w:r>
          </w:p>
        </w:tc>
        <w:tc>
          <w:tcPr>
            <w:tcW w:w="3190" w:type="dxa"/>
          </w:tcPr>
          <w:p w14:paraId="4A51B0ED">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 w:hAnsi="仿宋" w:eastAsia="仿宋" w:cs="仿宋"/>
                <w:spacing w:val="6"/>
                <w:sz w:val="24"/>
                <w:highlight w:val="none"/>
                <w:lang w:val="en-US" w:eastAsia="zh-CN"/>
              </w:rPr>
            </w:pPr>
            <w:r>
              <w:rPr>
                <w:rFonts w:hint="eastAsia" w:ascii="仿宋" w:hAnsi="仿宋" w:eastAsia="仿宋" w:cs="仿宋"/>
                <w:spacing w:val="6"/>
                <w:sz w:val="24"/>
                <w:highlight w:val="none"/>
                <w:lang w:val="en-US" w:eastAsia="zh-CN"/>
              </w:rPr>
              <w:t>周玮</w:t>
            </w:r>
          </w:p>
        </w:tc>
      </w:tr>
      <w:tr w14:paraId="5AEE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14:paraId="0B5CAAD4">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 w:hAnsi="仿宋" w:eastAsia="仿宋" w:cs="仿宋"/>
                <w:spacing w:val="6"/>
                <w:sz w:val="24"/>
                <w:highlight w:val="none"/>
                <w:lang w:val="en-US" w:eastAsia="zh-CN"/>
              </w:rPr>
            </w:pPr>
            <w:r>
              <w:rPr>
                <w:rFonts w:hint="eastAsia" w:ascii="仿宋" w:hAnsi="仿宋" w:eastAsia="仿宋" w:cs="仿宋"/>
                <w:spacing w:val="6"/>
                <w:sz w:val="24"/>
                <w:highlight w:val="none"/>
                <w:lang w:val="en-US" w:eastAsia="zh-CN"/>
              </w:rPr>
              <w:t>指导单位</w:t>
            </w:r>
          </w:p>
        </w:tc>
        <w:tc>
          <w:tcPr>
            <w:tcW w:w="4992" w:type="dxa"/>
          </w:tcPr>
          <w:p w14:paraId="6D68ED8F">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仿宋" w:hAnsi="仿宋" w:eastAsia="仿宋" w:cs="仿宋"/>
                <w:spacing w:val="6"/>
                <w:sz w:val="24"/>
                <w:highlight w:val="none"/>
                <w:lang w:val="en-US"/>
              </w:rPr>
            </w:pPr>
            <w:r>
              <w:rPr>
                <w:rFonts w:hint="eastAsia" w:ascii="仿宋" w:hAnsi="仿宋" w:eastAsia="仿宋" w:cs="仿宋"/>
                <w:spacing w:val="6"/>
                <w:sz w:val="24"/>
                <w:highlight w:val="none"/>
                <w:lang w:val="en-US" w:eastAsia="zh-CN"/>
              </w:rPr>
              <w:t>重庆医科大学附属第一医院</w:t>
            </w:r>
          </w:p>
        </w:tc>
        <w:tc>
          <w:tcPr>
            <w:tcW w:w="3190" w:type="dxa"/>
          </w:tcPr>
          <w:p w14:paraId="65E59ECE">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仿宋" w:hAnsi="仿宋" w:eastAsia="仿宋" w:cs="仿宋"/>
                <w:spacing w:val="6"/>
                <w:sz w:val="24"/>
                <w:highlight w:val="none"/>
                <w:lang w:val="en-US" w:eastAsia="zh-CN"/>
              </w:rPr>
            </w:pPr>
            <w:r>
              <w:rPr>
                <w:rFonts w:hint="eastAsia" w:ascii="仿宋" w:hAnsi="仿宋" w:eastAsia="仿宋" w:cs="仿宋"/>
                <w:spacing w:val="6"/>
                <w:sz w:val="24"/>
                <w:highlight w:val="none"/>
                <w:lang w:val="en-US" w:eastAsia="zh-CN"/>
              </w:rPr>
              <w:t>漆洪波</w:t>
            </w:r>
          </w:p>
        </w:tc>
      </w:tr>
      <w:tr w14:paraId="051F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14:paraId="17262539">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 w:hAnsi="仿宋" w:eastAsia="仿宋" w:cs="仿宋"/>
                <w:spacing w:val="6"/>
                <w:sz w:val="24"/>
                <w:highlight w:val="none"/>
              </w:rPr>
            </w:pPr>
            <w:r>
              <w:rPr>
                <w:rFonts w:hint="eastAsia" w:ascii="仿宋" w:hAnsi="仿宋" w:eastAsia="仿宋" w:cs="仿宋"/>
                <w:spacing w:val="6"/>
                <w:sz w:val="24"/>
                <w:highlight w:val="none"/>
                <w:lang w:val="en-US" w:eastAsia="zh-CN"/>
              </w:rPr>
              <w:t>指导单位</w:t>
            </w:r>
          </w:p>
        </w:tc>
        <w:tc>
          <w:tcPr>
            <w:tcW w:w="4992" w:type="dxa"/>
          </w:tcPr>
          <w:p w14:paraId="142F1ED1">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 w:hAnsi="仿宋" w:eastAsia="仿宋" w:cs="仿宋"/>
                <w:spacing w:val="6"/>
                <w:sz w:val="24"/>
                <w:highlight w:val="none"/>
              </w:rPr>
            </w:pPr>
            <w:r>
              <w:rPr>
                <w:rFonts w:hint="eastAsia" w:ascii="仿宋" w:hAnsi="仿宋" w:eastAsia="仿宋" w:cs="仿宋"/>
                <w:spacing w:val="6"/>
                <w:sz w:val="24"/>
                <w:highlight w:val="none"/>
                <w:lang w:val="en-US" w:eastAsia="zh-CN"/>
              </w:rPr>
              <w:t>重庆医科大学附属第二医院</w:t>
            </w:r>
          </w:p>
        </w:tc>
        <w:tc>
          <w:tcPr>
            <w:tcW w:w="3190" w:type="dxa"/>
          </w:tcPr>
          <w:p w14:paraId="05A658F5">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仿宋" w:hAnsi="仿宋" w:eastAsia="仿宋" w:cs="仿宋"/>
                <w:spacing w:val="6"/>
                <w:sz w:val="24"/>
                <w:highlight w:val="none"/>
                <w:lang w:val="en-US" w:eastAsia="zh-CN"/>
              </w:rPr>
            </w:pPr>
            <w:r>
              <w:rPr>
                <w:rFonts w:hint="eastAsia" w:ascii="仿宋" w:hAnsi="仿宋" w:eastAsia="仿宋" w:cs="仿宋"/>
                <w:spacing w:val="6"/>
                <w:sz w:val="24"/>
                <w:highlight w:val="none"/>
                <w:lang w:val="en-US" w:eastAsia="zh-CN"/>
              </w:rPr>
              <w:t>董晓静</w:t>
            </w:r>
          </w:p>
        </w:tc>
      </w:tr>
      <w:tr w14:paraId="4BA9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14:paraId="6E640185">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 w:hAnsi="仿宋" w:eastAsia="仿宋" w:cs="仿宋"/>
                <w:spacing w:val="6"/>
                <w:sz w:val="24"/>
                <w:highlight w:val="none"/>
                <w:lang w:val="en-US" w:eastAsia="zh-CN"/>
              </w:rPr>
            </w:pPr>
            <w:r>
              <w:rPr>
                <w:rFonts w:hint="eastAsia" w:ascii="仿宋" w:hAnsi="仿宋" w:eastAsia="仿宋" w:cs="仿宋"/>
                <w:spacing w:val="6"/>
                <w:sz w:val="24"/>
                <w:highlight w:val="none"/>
                <w:lang w:val="en-US" w:eastAsia="zh-CN"/>
              </w:rPr>
              <w:t>参编单位</w:t>
            </w:r>
          </w:p>
        </w:tc>
        <w:tc>
          <w:tcPr>
            <w:tcW w:w="4992" w:type="dxa"/>
          </w:tcPr>
          <w:p w14:paraId="0198BFDE">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仿宋" w:hAnsi="仿宋" w:eastAsia="仿宋" w:cs="仿宋"/>
                <w:spacing w:val="6"/>
                <w:sz w:val="24"/>
                <w:highlight w:val="none"/>
                <w:lang w:val="en-US" w:eastAsia="zh-CN"/>
              </w:rPr>
            </w:pPr>
            <w:r>
              <w:rPr>
                <w:rFonts w:hint="eastAsia" w:ascii="仿宋" w:hAnsi="仿宋" w:eastAsia="仿宋" w:cs="仿宋"/>
                <w:spacing w:val="6"/>
                <w:sz w:val="24"/>
                <w:highlight w:val="none"/>
                <w:lang w:val="en-US" w:eastAsia="zh-CN"/>
              </w:rPr>
              <w:t>山东大学齐鲁</w:t>
            </w:r>
            <w:r>
              <w:rPr>
                <w:rFonts w:hint="default" w:ascii="仿宋" w:hAnsi="仿宋" w:eastAsia="仿宋" w:cs="仿宋"/>
                <w:spacing w:val="6"/>
                <w:sz w:val="24"/>
                <w:highlight w:val="none"/>
                <w:lang w:val="en-US" w:eastAsia="zh-CN"/>
              </w:rPr>
              <w:t>医院</w:t>
            </w:r>
          </w:p>
        </w:tc>
        <w:tc>
          <w:tcPr>
            <w:tcW w:w="3190" w:type="dxa"/>
          </w:tcPr>
          <w:p w14:paraId="29EB06E2">
            <w:pPr>
              <w:keepNext w:val="0"/>
              <w:keepLines w:val="0"/>
              <w:pageBreakBefore w:val="0"/>
              <w:widowControl w:val="0"/>
              <w:kinsoku/>
              <w:wordWrap/>
              <w:overflowPunct/>
              <w:topLinePunct w:val="0"/>
              <w:autoSpaceDE/>
              <w:autoSpaceDN/>
              <w:bidi w:val="0"/>
              <w:adjustRightInd/>
              <w:snapToGrid/>
              <w:spacing w:line="300" w:lineRule="auto"/>
              <w:ind w:firstLine="1008" w:firstLineChars="400"/>
              <w:jc w:val="both"/>
              <w:textAlignment w:val="auto"/>
              <w:rPr>
                <w:rFonts w:hint="default" w:ascii="仿宋" w:hAnsi="仿宋" w:eastAsia="仿宋" w:cs="仿宋"/>
                <w:spacing w:val="6"/>
                <w:sz w:val="24"/>
                <w:highlight w:val="none"/>
                <w:lang w:val="en-US" w:eastAsia="zh-CN"/>
              </w:rPr>
            </w:pPr>
            <w:r>
              <w:rPr>
                <w:rFonts w:hint="eastAsia" w:ascii="仿宋" w:hAnsi="仿宋" w:eastAsia="仿宋" w:cs="仿宋"/>
                <w:spacing w:val="6"/>
                <w:sz w:val="24"/>
                <w:highlight w:val="none"/>
                <w:lang w:val="en-US" w:eastAsia="zh-CN"/>
              </w:rPr>
              <w:t>刘晓燕</w:t>
            </w:r>
          </w:p>
        </w:tc>
      </w:tr>
      <w:tr w14:paraId="3E99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14:paraId="589A4E7B">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 w:hAnsi="仿宋" w:eastAsia="仿宋" w:cs="仿宋"/>
                <w:spacing w:val="6"/>
                <w:sz w:val="24"/>
                <w:highlight w:val="none"/>
                <w:lang w:val="en-US" w:eastAsia="zh-CN"/>
              </w:rPr>
            </w:pPr>
            <w:r>
              <w:rPr>
                <w:rFonts w:hint="eastAsia" w:ascii="仿宋" w:hAnsi="仿宋" w:eastAsia="仿宋" w:cs="仿宋"/>
                <w:spacing w:val="6"/>
                <w:sz w:val="24"/>
                <w:highlight w:val="none"/>
                <w:lang w:val="en-US" w:eastAsia="zh-CN"/>
              </w:rPr>
              <w:t>参编单位</w:t>
            </w:r>
          </w:p>
        </w:tc>
        <w:tc>
          <w:tcPr>
            <w:tcW w:w="4992" w:type="dxa"/>
          </w:tcPr>
          <w:p w14:paraId="017CE133">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仿宋" w:hAnsi="仿宋" w:eastAsia="仿宋" w:cs="仿宋"/>
                <w:spacing w:val="6"/>
                <w:sz w:val="24"/>
                <w:highlight w:val="none"/>
                <w:lang w:val="en-US" w:eastAsia="zh-CN"/>
              </w:rPr>
            </w:pPr>
            <w:r>
              <w:rPr>
                <w:rFonts w:hint="eastAsia" w:ascii="仿宋" w:hAnsi="仿宋" w:eastAsia="仿宋" w:cs="仿宋"/>
                <w:spacing w:val="6"/>
                <w:sz w:val="24"/>
                <w:highlight w:val="none"/>
                <w:lang w:val="en-US" w:eastAsia="zh-CN"/>
              </w:rPr>
              <w:t>西南大学医学研究院</w:t>
            </w:r>
          </w:p>
        </w:tc>
        <w:tc>
          <w:tcPr>
            <w:tcW w:w="3190" w:type="dxa"/>
          </w:tcPr>
          <w:p w14:paraId="030B2F40">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仿宋" w:hAnsi="仿宋" w:eastAsia="仿宋" w:cs="仿宋"/>
                <w:spacing w:val="6"/>
                <w:sz w:val="24"/>
                <w:highlight w:val="none"/>
                <w:lang w:val="en-US" w:eastAsia="zh-CN"/>
              </w:rPr>
            </w:pPr>
            <w:r>
              <w:rPr>
                <w:rFonts w:hint="eastAsia" w:ascii="仿宋" w:hAnsi="仿宋" w:eastAsia="仿宋" w:cs="仿宋"/>
                <w:spacing w:val="6"/>
                <w:sz w:val="24"/>
                <w:highlight w:val="none"/>
                <w:lang w:val="en-US" w:eastAsia="zh-CN"/>
              </w:rPr>
              <w:t>崔红娟</w:t>
            </w:r>
          </w:p>
        </w:tc>
      </w:tr>
      <w:tr w14:paraId="3D8AE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14:paraId="1E11BBCD">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 w:hAnsi="仿宋" w:eastAsia="仿宋" w:cs="仿宋"/>
                <w:spacing w:val="6"/>
                <w:sz w:val="24"/>
                <w:highlight w:val="none"/>
              </w:rPr>
            </w:pPr>
            <w:r>
              <w:rPr>
                <w:rFonts w:hint="eastAsia" w:ascii="仿宋" w:hAnsi="仿宋" w:eastAsia="仿宋" w:cs="仿宋"/>
                <w:spacing w:val="6"/>
                <w:sz w:val="24"/>
                <w:highlight w:val="none"/>
                <w:lang w:val="en-US" w:eastAsia="zh-CN"/>
              </w:rPr>
              <w:t>参编单位</w:t>
            </w:r>
          </w:p>
        </w:tc>
        <w:tc>
          <w:tcPr>
            <w:tcW w:w="4992" w:type="dxa"/>
          </w:tcPr>
          <w:p w14:paraId="35899D40">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仿宋" w:hAnsi="仿宋" w:eastAsia="仿宋" w:cs="仿宋"/>
                <w:spacing w:val="6"/>
                <w:sz w:val="24"/>
                <w:highlight w:val="none"/>
                <w:lang w:val="en-US" w:eastAsia="zh-CN"/>
              </w:rPr>
            </w:pPr>
            <w:r>
              <w:rPr>
                <w:rFonts w:hint="eastAsia" w:ascii="仿宋" w:hAnsi="仿宋" w:eastAsia="仿宋" w:cs="仿宋"/>
                <w:spacing w:val="6"/>
                <w:sz w:val="24"/>
                <w:highlight w:val="none"/>
                <w:lang w:val="en-US" w:eastAsia="zh-CN"/>
              </w:rPr>
              <w:t>重庆市铂而斐细胞生物技术有限公司</w:t>
            </w:r>
          </w:p>
        </w:tc>
        <w:tc>
          <w:tcPr>
            <w:tcW w:w="3190" w:type="dxa"/>
          </w:tcPr>
          <w:p w14:paraId="4BE0ADF5">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 w:hAnsi="仿宋" w:eastAsia="仿宋" w:cs="仿宋"/>
                <w:spacing w:val="6"/>
                <w:sz w:val="24"/>
                <w:highlight w:val="none"/>
                <w:lang w:val="en-US" w:eastAsia="zh-CN"/>
              </w:rPr>
            </w:pPr>
            <w:r>
              <w:rPr>
                <w:rFonts w:hint="eastAsia" w:ascii="仿宋" w:hAnsi="仿宋" w:eastAsia="仿宋" w:cs="仿宋"/>
                <w:spacing w:val="6"/>
                <w:sz w:val="24"/>
                <w:highlight w:val="none"/>
                <w:lang w:val="en-US" w:eastAsia="zh-CN"/>
              </w:rPr>
              <w:t>李栋</w:t>
            </w:r>
          </w:p>
        </w:tc>
      </w:tr>
      <w:tr w14:paraId="3F3F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14:paraId="6D37125F">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 w:hAnsi="仿宋" w:eastAsia="仿宋" w:cs="仿宋"/>
                <w:spacing w:val="6"/>
                <w:sz w:val="24"/>
                <w:highlight w:val="none"/>
              </w:rPr>
            </w:pPr>
            <w:r>
              <w:rPr>
                <w:rFonts w:hint="eastAsia" w:ascii="仿宋" w:hAnsi="仿宋" w:eastAsia="仿宋" w:cs="仿宋"/>
                <w:spacing w:val="6"/>
                <w:sz w:val="24"/>
                <w:highlight w:val="none"/>
                <w:lang w:val="en-US" w:eastAsia="zh-CN"/>
              </w:rPr>
              <w:t>参编单位</w:t>
            </w:r>
          </w:p>
        </w:tc>
        <w:tc>
          <w:tcPr>
            <w:tcW w:w="4992" w:type="dxa"/>
          </w:tcPr>
          <w:p w14:paraId="6A637B8E">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 w:hAnsi="仿宋" w:eastAsia="仿宋" w:cs="仿宋"/>
                <w:spacing w:val="6"/>
                <w:sz w:val="24"/>
                <w:highlight w:val="none"/>
              </w:rPr>
            </w:pPr>
            <w:r>
              <w:rPr>
                <w:rFonts w:hint="eastAsia" w:ascii="仿宋" w:hAnsi="仿宋" w:eastAsia="仿宋" w:cs="仿宋"/>
                <w:sz w:val="24"/>
                <w:szCs w:val="24"/>
              </w:rPr>
              <w:t>山东省泉溪生物技术有限公司</w:t>
            </w:r>
          </w:p>
        </w:tc>
        <w:tc>
          <w:tcPr>
            <w:tcW w:w="3190" w:type="dxa"/>
          </w:tcPr>
          <w:p w14:paraId="42F4C9EC">
            <w:pPr>
              <w:keepNext w:val="0"/>
              <w:keepLines w:val="0"/>
              <w:pageBreakBefore w:val="0"/>
              <w:widowControl w:val="0"/>
              <w:kinsoku/>
              <w:wordWrap/>
              <w:overflowPunct/>
              <w:topLinePunct w:val="0"/>
              <w:autoSpaceDE/>
              <w:autoSpaceDN/>
              <w:bidi w:val="0"/>
              <w:adjustRightInd/>
              <w:snapToGrid/>
              <w:spacing w:line="300" w:lineRule="auto"/>
              <w:ind w:firstLine="1008" w:firstLineChars="400"/>
              <w:jc w:val="both"/>
              <w:textAlignment w:val="auto"/>
              <w:rPr>
                <w:rFonts w:hint="default" w:ascii="仿宋" w:hAnsi="仿宋" w:eastAsia="仿宋" w:cs="仿宋"/>
                <w:spacing w:val="6"/>
                <w:sz w:val="24"/>
                <w:highlight w:val="none"/>
                <w:lang w:val="en-US" w:eastAsia="zh-CN"/>
              </w:rPr>
            </w:pPr>
            <w:r>
              <w:rPr>
                <w:rFonts w:hint="eastAsia" w:ascii="仿宋" w:hAnsi="仿宋" w:eastAsia="仿宋" w:cs="仿宋"/>
                <w:spacing w:val="6"/>
                <w:sz w:val="24"/>
                <w:highlight w:val="none"/>
                <w:lang w:val="en-US" w:eastAsia="zh-CN"/>
              </w:rPr>
              <w:t>戴晓宇</w:t>
            </w:r>
          </w:p>
        </w:tc>
      </w:tr>
      <w:tr w14:paraId="11289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14:paraId="471CBCEE">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 w:hAnsi="仿宋" w:eastAsia="仿宋" w:cs="仿宋"/>
                <w:spacing w:val="6"/>
                <w:sz w:val="24"/>
                <w:highlight w:val="none"/>
                <w:lang w:val="en-US" w:eastAsia="zh-CN"/>
              </w:rPr>
            </w:pPr>
            <w:r>
              <w:rPr>
                <w:rFonts w:hint="eastAsia" w:ascii="仿宋" w:hAnsi="仿宋" w:eastAsia="仿宋" w:cs="仿宋"/>
                <w:spacing w:val="6"/>
                <w:sz w:val="24"/>
                <w:highlight w:val="none"/>
                <w:lang w:val="en-US" w:eastAsia="zh-CN"/>
              </w:rPr>
              <w:t>参编单位</w:t>
            </w:r>
          </w:p>
        </w:tc>
        <w:tc>
          <w:tcPr>
            <w:tcW w:w="4992" w:type="dxa"/>
          </w:tcPr>
          <w:p w14:paraId="3EC6A0B3">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仿宋" w:hAnsi="仿宋" w:eastAsia="仿宋" w:cs="仿宋"/>
                <w:spacing w:val="6"/>
                <w:sz w:val="24"/>
                <w:highlight w:val="none"/>
                <w:lang w:val="en-US" w:eastAsia="zh-CN"/>
              </w:rPr>
            </w:pPr>
            <w:r>
              <w:rPr>
                <w:rFonts w:hint="eastAsia" w:ascii="仿宋" w:hAnsi="仿宋" w:eastAsia="仿宋" w:cs="仿宋"/>
                <w:spacing w:val="6"/>
                <w:sz w:val="24"/>
                <w:highlight w:val="none"/>
                <w:lang w:val="en-US" w:eastAsia="zh-CN"/>
              </w:rPr>
              <w:t>重庆大学附属三峡医院</w:t>
            </w:r>
          </w:p>
        </w:tc>
        <w:tc>
          <w:tcPr>
            <w:tcW w:w="3190" w:type="dxa"/>
            <w:vAlign w:val="center"/>
          </w:tcPr>
          <w:p w14:paraId="6194995E">
            <w:pPr>
              <w:keepNext w:val="0"/>
              <w:keepLines w:val="0"/>
              <w:pageBreakBefore w:val="0"/>
              <w:widowControl w:val="0"/>
              <w:kinsoku/>
              <w:wordWrap/>
              <w:overflowPunct/>
              <w:topLinePunct w:val="0"/>
              <w:autoSpaceDE/>
              <w:autoSpaceDN/>
              <w:bidi w:val="0"/>
              <w:adjustRightInd/>
              <w:snapToGrid/>
              <w:spacing w:line="300" w:lineRule="auto"/>
              <w:ind w:firstLine="1008" w:firstLineChars="400"/>
              <w:jc w:val="both"/>
              <w:textAlignment w:val="auto"/>
              <w:rPr>
                <w:rFonts w:hint="default" w:ascii="仿宋" w:hAnsi="仿宋" w:eastAsia="仿宋" w:cs="仿宋"/>
                <w:spacing w:val="6"/>
                <w:sz w:val="24"/>
                <w:highlight w:val="none"/>
                <w:lang w:val="en-US" w:eastAsia="zh-CN"/>
              </w:rPr>
            </w:pPr>
            <w:r>
              <w:rPr>
                <w:rFonts w:hint="eastAsia" w:ascii="仿宋" w:hAnsi="仿宋" w:eastAsia="仿宋" w:cs="仿宋"/>
                <w:spacing w:val="6"/>
                <w:sz w:val="24"/>
                <w:highlight w:val="none"/>
                <w:lang w:val="en-US" w:eastAsia="zh-CN"/>
              </w:rPr>
              <w:t>谭晓燕</w:t>
            </w:r>
          </w:p>
        </w:tc>
      </w:tr>
      <w:tr w14:paraId="73DC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14:paraId="661DBF68">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 w:hAnsi="仿宋" w:eastAsia="仿宋" w:cs="仿宋"/>
                <w:spacing w:val="6"/>
                <w:sz w:val="24"/>
                <w:highlight w:val="none"/>
                <w:lang w:val="en-US" w:eastAsia="zh-CN"/>
              </w:rPr>
            </w:pPr>
            <w:r>
              <w:rPr>
                <w:rFonts w:hint="eastAsia" w:ascii="仿宋" w:hAnsi="仿宋" w:eastAsia="仿宋" w:cs="仿宋"/>
                <w:spacing w:val="6"/>
                <w:sz w:val="24"/>
                <w:highlight w:val="none"/>
                <w:lang w:val="en-US" w:eastAsia="zh-CN"/>
              </w:rPr>
              <w:t>参编单位</w:t>
            </w:r>
          </w:p>
        </w:tc>
        <w:tc>
          <w:tcPr>
            <w:tcW w:w="4992" w:type="dxa"/>
          </w:tcPr>
          <w:p w14:paraId="6963C744">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仿宋" w:hAnsi="仿宋" w:eastAsia="仿宋" w:cs="仿宋"/>
                <w:spacing w:val="6"/>
                <w:sz w:val="24"/>
                <w:highlight w:val="none"/>
                <w:lang w:val="en-US" w:eastAsia="zh-CN"/>
              </w:rPr>
            </w:pPr>
            <w:r>
              <w:rPr>
                <w:rFonts w:hint="eastAsia" w:ascii="仿宋" w:hAnsi="仿宋" w:eastAsia="仿宋" w:cs="仿宋"/>
                <w:spacing w:val="6"/>
                <w:sz w:val="24"/>
                <w:highlight w:val="none"/>
                <w:lang w:val="en-US" w:eastAsia="zh-CN"/>
              </w:rPr>
              <w:t>重庆医科大学附属涪陵医院</w:t>
            </w:r>
          </w:p>
        </w:tc>
        <w:tc>
          <w:tcPr>
            <w:tcW w:w="3190" w:type="dxa"/>
            <w:vAlign w:val="center"/>
          </w:tcPr>
          <w:p w14:paraId="40718520">
            <w:pPr>
              <w:keepNext w:val="0"/>
              <w:keepLines w:val="0"/>
              <w:pageBreakBefore w:val="0"/>
              <w:widowControl w:val="0"/>
              <w:kinsoku/>
              <w:wordWrap/>
              <w:overflowPunct/>
              <w:topLinePunct w:val="0"/>
              <w:autoSpaceDE/>
              <w:autoSpaceDN/>
              <w:bidi w:val="0"/>
              <w:adjustRightInd/>
              <w:snapToGrid/>
              <w:spacing w:line="300" w:lineRule="auto"/>
              <w:ind w:firstLine="1008" w:firstLineChars="400"/>
              <w:jc w:val="both"/>
              <w:textAlignment w:val="auto"/>
              <w:rPr>
                <w:rFonts w:hint="default" w:ascii="仿宋" w:hAnsi="仿宋" w:eastAsia="仿宋" w:cs="仿宋"/>
                <w:spacing w:val="6"/>
                <w:sz w:val="24"/>
                <w:highlight w:val="none"/>
                <w:lang w:val="en-US" w:eastAsia="zh-CN"/>
              </w:rPr>
            </w:pPr>
            <w:r>
              <w:rPr>
                <w:rFonts w:hint="eastAsia" w:ascii="仿宋" w:hAnsi="仿宋" w:eastAsia="仿宋" w:cs="仿宋"/>
                <w:spacing w:val="6"/>
                <w:sz w:val="24"/>
                <w:highlight w:val="none"/>
                <w:lang w:val="en-US" w:eastAsia="zh-CN"/>
              </w:rPr>
              <w:t>吴庆蓉</w:t>
            </w:r>
          </w:p>
        </w:tc>
      </w:tr>
      <w:tr w14:paraId="09CC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14:paraId="7FFB0172">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 w:hAnsi="仿宋" w:eastAsia="仿宋" w:cs="仿宋"/>
                <w:spacing w:val="6"/>
                <w:sz w:val="24"/>
                <w:highlight w:val="none"/>
                <w:lang w:val="en-US" w:eastAsia="zh-CN"/>
              </w:rPr>
            </w:pPr>
            <w:r>
              <w:rPr>
                <w:rFonts w:hint="eastAsia" w:ascii="仿宋" w:hAnsi="仿宋" w:eastAsia="仿宋" w:cs="仿宋"/>
                <w:spacing w:val="6"/>
                <w:sz w:val="24"/>
                <w:highlight w:val="none"/>
                <w:lang w:val="en-US" w:eastAsia="zh-CN"/>
              </w:rPr>
              <w:t>参编单位</w:t>
            </w:r>
          </w:p>
        </w:tc>
        <w:tc>
          <w:tcPr>
            <w:tcW w:w="4992" w:type="dxa"/>
            <w:vAlign w:val="center"/>
          </w:tcPr>
          <w:p w14:paraId="1E2912A0">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仿宋" w:hAnsi="仿宋" w:eastAsia="仿宋" w:cs="仿宋"/>
                <w:spacing w:val="6"/>
                <w:sz w:val="24"/>
                <w:highlight w:val="none"/>
                <w:lang w:val="en-US" w:eastAsia="zh-CN"/>
              </w:rPr>
            </w:pPr>
            <w:r>
              <w:rPr>
                <w:rFonts w:hint="eastAsia" w:ascii="仿宋" w:hAnsi="仿宋" w:eastAsia="仿宋" w:cs="仿宋"/>
                <w:spacing w:val="6"/>
                <w:sz w:val="24"/>
                <w:highlight w:val="none"/>
                <w:lang w:val="en-US" w:eastAsia="zh-CN"/>
              </w:rPr>
              <w:t>重庆医科大学附属大足医院</w:t>
            </w:r>
          </w:p>
        </w:tc>
        <w:tc>
          <w:tcPr>
            <w:tcW w:w="3190" w:type="dxa"/>
            <w:vAlign w:val="center"/>
          </w:tcPr>
          <w:p w14:paraId="2FE4C319">
            <w:pPr>
              <w:keepNext w:val="0"/>
              <w:keepLines w:val="0"/>
              <w:pageBreakBefore w:val="0"/>
              <w:widowControl w:val="0"/>
              <w:kinsoku/>
              <w:wordWrap/>
              <w:overflowPunct/>
              <w:topLinePunct w:val="0"/>
              <w:autoSpaceDE/>
              <w:autoSpaceDN/>
              <w:bidi w:val="0"/>
              <w:adjustRightInd/>
              <w:snapToGrid/>
              <w:spacing w:line="300" w:lineRule="auto"/>
              <w:ind w:firstLine="1008" w:firstLineChars="400"/>
              <w:jc w:val="both"/>
              <w:textAlignment w:val="auto"/>
              <w:rPr>
                <w:rFonts w:hint="default" w:ascii="仿宋" w:hAnsi="仿宋" w:eastAsia="仿宋" w:cs="仿宋"/>
                <w:spacing w:val="6"/>
                <w:sz w:val="24"/>
                <w:highlight w:val="none"/>
                <w:lang w:val="en-US" w:eastAsia="zh-CN"/>
              </w:rPr>
            </w:pPr>
            <w:r>
              <w:rPr>
                <w:rFonts w:hint="eastAsia" w:ascii="仿宋" w:hAnsi="仿宋" w:eastAsia="仿宋" w:cs="仿宋"/>
                <w:spacing w:val="6"/>
                <w:sz w:val="24"/>
                <w:highlight w:val="none"/>
                <w:lang w:val="en-US" w:eastAsia="zh-CN"/>
              </w:rPr>
              <w:t>陈本均</w:t>
            </w:r>
          </w:p>
        </w:tc>
      </w:tr>
    </w:tbl>
    <w:p w14:paraId="2CE55E48">
      <w:pPr>
        <w:spacing w:line="300" w:lineRule="auto"/>
        <w:rPr>
          <w:rFonts w:ascii="仿宋" w:hAnsi="仿宋" w:eastAsia="仿宋" w:cs="仿宋"/>
          <w:spacing w:val="6"/>
          <w:sz w:val="24"/>
          <w:highlight w:val="lightGray"/>
        </w:rPr>
      </w:pPr>
    </w:p>
    <w:p w14:paraId="4ED0E4F5">
      <w:pPr>
        <w:spacing w:line="300" w:lineRule="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2.2  标准主要起草人及其所做的工作</w:t>
      </w:r>
    </w:p>
    <w:p w14:paraId="1257DC46">
      <w:pPr>
        <w:ind w:firstLine="664" w:firstLineChars="200"/>
        <w:rPr>
          <w:rFonts w:hint="eastAsia" w:ascii="方正仿宋_GB2312" w:hAnsi="方正仿宋_GB2312" w:eastAsia="方正仿宋_GB2312" w:cs="方正仿宋_GB2312"/>
          <w:b/>
          <w:color w:val="000000" w:themeColor="text1"/>
          <w:sz w:val="32"/>
          <w:szCs w:val="32"/>
          <w14:textFill>
            <w14:solidFill>
              <w14:schemeClr w14:val="tx1"/>
            </w14:solidFill>
          </w14:textFill>
        </w:rPr>
      </w:pPr>
      <w:r>
        <w:rPr>
          <w:rFonts w:hint="eastAsia" w:ascii="方正仿宋_GB2312" w:hAnsi="方正仿宋_GB2312" w:eastAsia="方正仿宋_GB2312" w:cs="方正仿宋_GB2312"/>
          <w:spacing w:val="6"/>
          <w:sz w:val="32"/>
          <w:szCs w:val="32"/>
          <w:highlight w:val="none"/>
          <w:lang w:val="en-US" w:eastAsia="zh-CN"/>
        </w:rPr>
        <w:t>从2025年1月开始，编制工作组严格</w:t>
      </w:r>
      <w:r>
        <w:rPr>
          <w:rFonts w:hint="eastAsia" w:ascii="方正仿宋_GB2312" w:hAnsi="方正仿宋_GB2312" w:eastAsia="方正仿宋_GB2312" w:cs="方正仿宋_GB2312"/>
          <w:sz w:val="32"/>
          <w:szCs w:val="32"/>
        </w:rPr>
        <w:t>按照 GB/T 1.1—2020《标准化工作导则第1部分：标准化文件的结构和起草规则》</w:t>
      </w:r>
      <w:r>
        <w:rPr>
          <w:rFonts w:hint="eastAsia" w:ascii="方正仿宋_GB2312" w:hAnsi="方正仿宋_GB2312" w:eastAsia="方正仿宋_GB2312" w:cs="方正仿宋_GB2312"/>
          <w:spacing w:val="6"/>
          <w:sz w:val="32"/>
          <w:szCs w:val="32"/>
          <w:highlight w:val="none"/>
          <w:lang w:val="en-US" w:eastAsia="zh-CN"/>
        </w:rPr>
        <w:t>，由重庆医科大学</w:t>
      </w:r>
      <w:r>
        <w:rPr>
          <w:rFonts w:hint="eastAsia" w:ascii="方正仿宋_GB2312" w:hAnsi="方正仿宋_GB2312" w:eastAsia="方正仿宋_GB2312" w:cs="方正仿宋_GB2312"/>
          <w:i w:val="0"/>
          <w:iCs w:val="0"/>
          <w:caps w:val="0"/>
          <w:color w:val="333333"/>
          <w:spacing w:val="0"/>
          <w:kern w:val="0"/>
          <w:sz w:val="32"/>
          <w:szCs w:val="32"/>
          <w:shd w:val="clear" w:fill="FFFFFF"/>
          <w:lang w:val="en-US" w:eastAsia="zh-CN" w:bidi="ar"/>
        </w:rPr>
        <w:t>附属妇女儿童医院</w:t>
      </w:r>
      <w:r>
        <w:rPr>
          <w:rFonts w:hint="eastAsia" w:ascii="方正仿宋_GB2312" w:hAnsi="方正仿宋_GB2312" w:eastAsia="方正仿宋_GB2312" w:cs="方正仿宋_GB2312"/>
          <w:spacing w:val="6"/>
          <w:sz w:val="32"/>
          <w:szCs w:val="32"/>
          <w:highlight w:val="none"/>
          <w:lang w:val="en-US" w:eastAsia="zh-CN"/>
        </w:rPr>
        <w:t>组织</w:t>
      </w:r>
      <w:r>
        <w:rPr>
          <w:rFonts w:hint="eastAsia" w:ascii="方正仿宋_GB2312" w:hAnsi="方正仿宋_GB2312" w:eastAsia="方正仿宋_GB2312" w:cs="方正仿宋_GB2312"/>
          <w:sz w:val="32"/>
          <w:szCs w:val="32"/>
        </w:rPr>
        <w:t>山东大学齐鲁医院，重庆市铂而斐细胞生物技术有限公司，西南大学医学研究院，山东省泉溪生物技术</w:t>
      </w:r>
      <w:r>
        <w:rPr>
          <w:rFonts w:hint="eastAsia" w:ascii="方正仿宋_GB2312" w:hAnsi="方正仿宋_GB2312" w:eastAsia="方正仿宋_GB2312" w:cs="方正仿宋_GB2312"/>
          <w:spacing w:val="6"/>
          <w:sz w:val="32"/>
          <w:szCs w:val="32"/>
          <w:highlight w:val="none"/>
          <w:lang w:val="en-US" w:eastAsia="zh-CN"/>
        </w:rPr>
        <w:t>有限公司有关人员组成标准起草小组，负责本标准的起草工作。由周玮组织指导专家漆洪波和主要工作人员</w:t>
      </w:r>
      <w:r>
        <w:rPr>
          <w:rFonts w:hint="eastAsia" w:ascii="方正仿宋_GB2312" w:hAnsi="方正仿宋_GB2312" w:eastAsia="方正仿宋_GB2312" w:cs="方正仿宋_GB2312"/>
          <w:sz w:val="32"/>
          <w:szCs w:val="32"/>
        </w:rPr>
        <w:t>陈真、魏琳娜、陈述、刘晓燕，李栋、崔红娟、</w:t>
      </w:r>
      <w:r>
        <w:rPr>
          <w:rFonts w:hint="eastAsia" w:ascii="方正仿宋_GB2312" w:hAnsi="方正仿宋_GB2312" w:eastAsia="方正仿宋_GB2312" w:cs="方正仿宋_GB2312"/>
          <w:sz w:val="32"/>
          <w:szCs w:val="32"/>
          <w:lang w:val="en-US" w:eastAsia="zh-CN"/>
        </w:rPr>
        <w:t>董晓静、谭晓燕、吴庆蓉、陈本均、</w:t>
      </w:r>
      <w:r>
        <w:rPr>
          <w:rFonts w:hint="eastAsia" w:ascii="方正仿宋_GB2312" w:hAnsi="方正仿宋_GB2312" w:eastAsia="方正仿宋_GB2312" w:cs="方正仿宋_GB2312"/>
          <w:sz w:val="32"/>
          <w:szCs w:val="32"/>
        </w:rPr>
        <w:t>戴晓宇、卢瑞安</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陈瑜</w:t>
      </w:r>
      <w:r>
        <w:rPr>
          <w:rFonts w:hint="eastAsia" w:ascii="方正仿宋_GB2312" w:hAnsi="方正仿宋_GB2312" w:eastAsia="方正仿宋_GB2312" w:cs="方正仿宋_GB2312"/>
          <w:spacing w:val="6"/>
          <w:sz w:val="32"/>
          <w:szCs w:val="32"/>
          <w:highlight w:val="none"/>
          <w:lang w:val="en-US" w:eastAsia="zh-CN"/>
        </w:rPr>
        <w:t>组成标准起草小组，负责本标准的起草工作，本标准主要起草人均为从事临床产科医务工作、细胞学基础研究工作、细胞制备储存工作、细胞</w:t>
      </w: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临床应用工作的研究人员和技术人员，对围产期组织细胞的采集制备存储技术具有深刻认知，各专业人员负责本专业领域的编写。陈真、魏琳娜负责草案统稿统编，周玮汇总修正编写，漆洪波明确了工作指导思想和制定了工作原则，全员参与了本标准的国内临床应用现状调研、国内外资料收集整理和标准的起草、编写、修改等工作，既有任务分工又有统筹合作。</w:t>
      </w:r>
    </w:p>
    <w:p w14:paraId="5DDE4A7B">
      <w:pPr>
        <w:spacing w:line="300" w:lineRule="auto"/>
        <w:ind w:firstLine="482" w:firstLineChars="200"/>
        <w:jc w:val="both"/>
        <w:rPr>
          <w:rFonts w:hint="eastAsia" w:ascii="仿宋" w:hAnsi="仿宋" w:eastAsia="仿宋" w:cs="仿宋"/>
          <w:b/>
          <w:sz w:val="24"/>
        </w:rPr>
      </w:pPr>
    </w:p>
    <w:p w14:paraId="2826C8B5">
      <w:pPr>
        <w:spacing w:line="300" w:lineRule="auto"/>
        <w:rPr>
          <w:rFonts w:ascii="仿宋" w:hAnsi="仿宋" w:eastAsia="仿宋" w:cs="仿宋"/>
          <w:sz w:val="24"/>
        </w:rPr>
      </w:pPr>
      <w:r>
        <w:rPr>
          <w:rFonts w:hint="eastAsia" w:ascii="仿宋" w:hAnsi="仿宋" w:eastAsia="仿宋" w:cs="仿宋"/>
          <w:sz w:val="24"/>
        </w:rPr>
        <w:t>（明确起草人及工作任务，建议分工明确到章节。）</w:t>
      </w:r>
    </w:p>
    <w:p w14:paraId="2E0581BE">
      <w:pPr>
        <w:spacing w:line="300" w:lineRule="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3  起草阶段的主要工作内容</w:t>
      </w:r>
    </w:p>
    <w:p w14:paraId="3DF31C3D">
      <w:p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（1）组织分工</w:t>
      </w:r>
    </w:p>
    <w:p w14:paraId="595562B8">
      <w:p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发起单位：由重庆医科大学附属妇女儿童医院牵头组建，成员包括行业协会负责人、领域权威专家。负责统筹标准撰写工作，把控整体方向，协调跨部门资源，审核重大技术问题及决策，确保标准符合国家法规与行业发展需求。</w:t>
      </w:r>
    </w:p>
    <w:p w14:paraId="6BFBC462">
      <w:p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技术专家组：</w:t>
      </w:r>
      <w:r>
        <w:rPr>
          <w:rFonts w:hint="eastAsia" w:ascii="方正仿宋_GB2312" w:hAnsi="方正仿宋_GB2312" w:eastAsia="方正仿宋_GB2312" w:cs="方正仿宋_GB2312"/>
          <w:sz w:val="32"/>
          <w:szCs w:val="32"/>
        </w:rPr>
        <w:t>重庆市铂而斐细胞生物技术有限公司，山东省泉溪生物技术</w:t>
      </w:r>
      <w:r>
        <w:rPr>
          <w:rFonts w:hint="eastAsia" w:ascii="方正仿宋_GB2312" w:hAnsi="方正仿宋_GB2312" w:eastAsia="方正仿宋_GB2312" w:cs="方正仿宋_GB2312"/>
          <w:spacing w:val="6"/>
          <w:sz w:val="32"/>
          <w:szCs w:val="32"/>
          <w:highlight w:val="none"/>
          <w:lang w:val="en-US" w:eastAsia="zh-CN"/>
        </w:rPr>
        <w:t>有限公司等细胞行业领域专家构成，负责分析技术理论研究、方法验证、标准技术指标拟定，参考国内外研究成果与实践经验，提供技术支撑与理论依据。</w:t>
      </w:r>
    </w:p>
    <w:p w14:paraId="41FF983E">
      <w:p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临床医护组：由重庆医科大学附属妇女儿童医院联合山东齐鲁医院等三甲医院临床产科医护专家，基于临床实际需求，提出样本采集、处理及检测流程规范，确保标准适用性。</w:t>
      </w:r>
    </w:p>
    <w:p w14:paraId="7CBCBED2">
      <w:p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法规标准组：由重庆医科大学附属妇女儿童医院联合重庆市铂而斐细胞生物技术有限公司组织标准化专家、法规研究人员，梳理国家法律法规、强制性标准，保障标准编制符合相关要求，实现该领域范围标准建设工作的突破。</w:t>
      </w:r>
    </w:p>
    <w:p w14:paraId="4FD05251">
      <w:p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实验室验证组：由西南大学医学研究院对标准草案中的检测方法、质控流程等进行验证，收集数据并分析，反馈验证结果。</w:t>
      </w:r>
    </w:p>
    <w:p w14:paraId="0A4F8715">
      <w:p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审核组：由重庆医科大学附属妇女儿童医院联合重庆市铂而斐细胞生物技术有限公司邀请行业内不同领域专家、企业代表，对标准草案进行全面审核，提出修改意见，确保标准科学性、严谨性与可操作性。</w:t>
      </w:r>
    </w:p>
    <w:p w14:paraId="54804027">
      <w:p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（2）资料收集</w:t>
      </w:r>
    </w:p>
    <w:p w14:paraId="5FB898CD">
      <w:p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spacing w:val="6"/>
          <w:sz w:val="32"/>
          <w:szCs w:val="32"/>
          <w:highlight w:val="none"/>
          <w:lang w:val="en-US" w:eastAsia="zh-CN"/>
        </w:rPr>
        <w:t>起草小组系统地收集和整理国内外有关围产期组织细胞采集制备储存技术标准、文献、政策等信息资料，梳理国际上主流的临床应用要求体系，以及我国围产期组织细胞临床采集制备储存技术现状。综合临床应用经验与相关学术研究成果，汇总当下我国临床围产期组织细胞采集制备储存技术存在的问题，以及提取本标准编制所需的资料信息。</w:t>
      </w:r>
    </w:p>
    <w:p w14:paraId="3E9D3FAF">
      <w:pPr>
        <w:numPr>
          <w:ilvl w:val="0"/>
          <w:numId w:val="20"/>
        </w:num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标准编写</w:t>
      </w:r>
    </w:p>
    <w:p w14:paraId="5E3DE119">
      <w:pPr>
        <w:numPr>
          <w:ilvl w:val="0"/>
          <w:numId w:val="0"/>
        </w:num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2025年1月至 2025年3月期间，</w:t>
      </w:r>
      <w:r>
        <w:rPr>
          <w:rFonts w:hint="eastAsia" w:ascii="方正仿宋_GB2312" w:hAnsi="方正仿宋_GB2312" w:eastAsia="方正仿宋_GB2312" w:cs="方正仿宋_GB2312"/>
          <w:spacing w:val="6"/>
          <w:sz w:val="32"/>
          <w:szCs w:val="32"/>
          <w:highlight w:val="none"/>
          <w:lang w:val="en-US" w:eastAsia="zh-CN"/>
        </w:rPr>
        <w:t>由重庆医科大学附属妇女儿童医院联合重庆市铂而斐细胞生物技术有限公司</w:t>
      </w: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在收集分析资料的基础上，多次就临床围产期组织细胞采集储存技术</w:t>
      </w:r>
      <w:r>
        <w:rPr>
          <w:rFonts w:hint="eastAsia" w:ascii="方正仿宋_GB2312" w:hAnsi="方正仿宋_GB2312" w:eastAsia="方正仿宋_GB2312" w:cs="方正仿宋_GB2312"/>
          <w:color w:val="000000" w:themeColor="text1"/>
          <w:spacing w:val="6"/>
          <w:sz w:val="32"/>
          <w:szCs w:val="32"/>
          <w:highlight w:val="none"/>
          <w14:textFill>
            <w14:solidFill>
              <w14:schemeClr w14:val="tx1"/>
            </w14:solidFill>
          </w14:textFill>
        </w:rPr>
        <w:t>通用要求</w:t>
      </w: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进行临床调研、会议交流以及对标准编制方案目录框架论证。</w:t>
      </w:r>
    </w:p>
    <w:p w14:paraId="30C89452">
      <w:pPr>
        <w:numPr>
          <w:ilvl w:val="0"/>
          <w:numId w:val="0"/>
        </w:num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2025年3月25日，以线下主会场（重庆市铂而斐细胞生物技术有限公司会议室）＋线上视频的形式召开围产期组织细胞采集储存技术要求专家咨询会，重庆医科大学附属妇女儿童医院、</w:t>
      </w:r>
      <w:r>
        <w:rPr>
          <w:rFonts w:hint="eastAsia" w:ascii="方正仿宋_GB2312" w:hAnsi="方正仿宋_GB2312" w:eastAsia="方正仿宋_GB2312" w:cs="方正仿宋_GB2312"/>
          <w:color w:val="000000" w:themeColor="text1"/>
          <w:sz w:val="32"/>
          <w:szCs w:val="32"/>
          <w14:textFill>
            <w14:solidFill>
              <w14:schemeClr w14:val="tx1"/>
            </w14:solidFill>
          </w14:textFill>
        </w:rPr>
        <w:t>重庆市铂而斐细胞生物技术有限公司</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sz w:val="32"/>
          <w:szCs w:val="32"/>
        </w:rPr>
        <w:t>西南大学医学研究院，山东省泉溪生物技术</w:t>
      </w:r>
      <w:r>
        <w:rPr>
          <w:rFonts w:hint="eastAsia" w:ascii="方正仿宋_GB2312" w:hAnsi="方正仿宋_GB2312" w:eastAsia="方正仿宋_GB2312" w:cs="方正仿宋_GB2312"/>
          <w:spacing w:val="6"/>
          <w:sz w:val="32"/>
          <w:szCs w:val="32"/>
          <w:highlight w:val="none"/>
          <w:lang w:val="en-US" w:eastAsia="zh-CN"/>
        </w:rPr>
        <w:t>有限公司</w:t>
      </w: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相关负责人、专家参加此次会议，根据之前工作组商讨的标准编制方案目录框架完成了标准草案的内容细则制定。</w:t>
      </w:r>
    </w:p>
    <w:p w14:paraId="3CF84ABA">
      <w:pPr>
        <w:numPr>
          <w:ilvl w:val="0"/>
          <w:numId w:val="0"/>
        </w:numPr>
        <w:spacing w:line="300" w:lineRule="auto"/>
        <w:ind w:firstLine="664" w:firstLineChars="200"/>
        <w:jc w:val="both"/>
        <w:rPr>
          <w:rFonts w:hint="default"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2025年4月20日，重庆医科大学附属妇女儿童医院联合</w:t>
      </w:r>
      <w:r>
        <w:rPr>
          <w:rFonts w:hint="eastAsia" w:ascii="方正仿宋_GB2312" w:hAnsi="方正仿宋_GB2312" w:eastAsia="方正仿宋_GB2312" w:cs="方正仿宋_GB2312"/>
          <w:color w:val="000000" w:themeColor="text1"/>
          <w:sz w:val="32"/>
          <w:szCs w:val="32"/>
          <w14:textFill>
            <w14:solidFill>
              <w14:schemeClr w14:val="tx1"/>
            </w14:solidFill>
          </w14:textFill>
        </w:rPr>
        <w:t>重庆市铂而斐细胞生物技术有限公司</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sz w:val="32"/>
          <w:szCs w:val="32"/>
        </w:rPr>
        <w:t>西南大学医学研究院，山东省泉溪生物技术</w:t>
      </w:r>
      <w:r>
        <w:rPr>
          <w:rFonts w:hint="eastAsia" w:ascii="方正仿宋_GB2312" w:hAnsi="方正仿宋_GB2312" w:eastAsia="方正仿宋_GB2312" w:cs="方正仿宋_GB2312"/>
          <w:spacing w:val="6"/>
          <w:sz w:val="32"/>
          <w:szCs w:val="32"/>
          <w:highlight w:val="none"/>
          <w:lang w:val="en-US" w:eastAsia="zh-CN"/>
        </w:rPr>
        <w:t>有限公司等单位负责人和专家组织线上腾讯会议（腾讯会议号：848698088），对该标准草案进行讨论修改。此次会议主要针对标准的“规范性引用文件”、“术语定义”和附录“供者样本采集表”内容进行了修改完善。</w:t>
      </w:r>
    </w:p>
    <w:p w14:paraId="3B329D8A">
      <w:pPr>
        <w:numPr>
          <w:ilvl w:val="0"/>
          <w:numId w:val="0"/>
        </w:num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2025年4月28日，就修改后的标准草案以邮件形式进一步征求重庆医科大学附属妇女儿童医院、</w:t>
      </w:r>
      <w:r>
        <w:rPr>
          <w:rFonts w:hint="eastAsia" w:ascii="方正仿宋_GB2312" w:hAnsi="方正仿宋_GB2312" w:eastAsia="方正仿宋_GB2312" w:cs="方正仿宋_GB2312"/>
          <w:color w:val="000000" w:themeColor="text1"/>
          <w:sz w:val="32"/>
          <w:szCs w:val="32"/>
          <w14:textFill>
            <w14:solidFill>
              <w14:schemeClr w14:val="tx1"/>
            </w14:solidFill>
          </w14:textFill>
        </w:rPr>
        <w:t>重庆市铂而斐细胞生物技术有限公司</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西南大学医学研究院、山东齐鲁医院、</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山东省泉溪生物技术</w:t>
      </w: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有限公司等单位相关专家的意见。根据收集整理的专家意见，对标准草案的“细胞采集要求”、“细胞制备要求”和“细胞储存要求”内容进行了修订完善。</w:t>
      </w:r>
    </w:p>
    <w:p w14:paraId="3B6F2D2A">
      <w:pPr>
        <w:pStyle w:val="27"/>
        <w:keepNext w:val="0"/>
        <w:keepLines w:val="0"/>
        <w:pageBreakBefore w:val="0"/>
        <w:widowControl/>
        <w:numPr>
          <w:ilvl w:val="0"/>
          <w:numId w:val="0"/>
        </w:numPr>
        <w:kinsoku/>
        <w:wordWrap/>
        <w:overflowPunct/>
        <w:topLinePunct w:val="0"/>
        <w:autoSpaceDE w:val="0"/>
        <w:autoSpaceDN w:val="0"/>
        <w:bidi w:val="0"/>
        <w:adjustRightInd/>
        <w:snapToGrid/>
        <w:spacing w:after="240" w:afterLines="100" w:line="560" w:lineRule="exact"/>
        <w:ind w:left="0" w:leftChars="0" w:firstLine="664" w:firstLineChars="200"/>
        <w:textAlignment w:val="auto"/>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2025 年5月23日，</w:t>
      </w:r>
      <w:r>
        <w:rPr>
          <w:rFonts w:hint="eastAsia" w:ascii="方正仿宋_GB2312" w:hAnsi="方正仿宋_GB2312" w:eastAsia="方正仿宋_GB2312" w:cs="方正仿宋_GB2312"/>
          <w:sz w:val="32"/>
          <w:szCs w:val="32"/>
          <w:lang w:val="en-US" w:eastAsia="zh-CN"/>
        </w:rPr>
        <w:t>中国民族卫生协会发布《围产期组织细胞采集储存技术要求》立项公告，标志《围产期组织细胞采集储存技术要求》正式立项。</w:t>
      </w:r>
    </w:p>
    <w:p w14:paraId="0D6CFFD3">
      <w:pPr>
        <w:numPr>
          <w:ilvl w:val="0"/>
          <w:numId w:val="0"/>
        </w:num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2025年7月18日，标准起草工作小组为进一步扩大草案征求范围，向重庆医科大学附属第一医院、 重庆医科大学附属第二医院、重庆大学附属三峡医院、重庆医科大学附属涪陵医院、重庆医科大学附属大足医院</w:t>
      </w:r>
      <w:bookmarkStart w:id="2" w:name="_GoBack"/>
      <w:bookmarkEnd w:id="2"/>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发函征集编制组相关专家的意见，根据征集意见对标准草案“采集前准备”、“伦理与知情同意”和“质控体系”等内容进行了修改完善。</w:t>
      </w:r>
    </w:p>
    <w:p w14:paraId="1EBB6FA0">
      <w:pPr>
        <w:numPr>
          <w:ilvl w:val="0"/>
          <w:numId w:val="0"/>
        </w:numPr>
        <w:spacing w:line="300" w:lineRule="auto"/>
        <w:ind w:firstLine="664" w:firstLineChars="200"/>
        <w:jc w:val="both"/>
        <w:rPr>
          <w:rFonts w:hint="eastAsia" w:ascii="方正仿宋_GB2312" w:hAnsi="方正仿宋_GB2312" w:eastAsia="方正仿宋_GB2312" w:cs="方正仿宋_GB2312"/>
          <w:strike w:val="0"/>
          <w:dstrike w:val="0"/>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strike w:val="0"/>
          <w:dstrike w:val="0"/>
          <w:color w:val="000000" w:themeColor="text1"/>
          <w:spacing w:val="6"/>
          <w:sz w:val="32"/>
          <w:szCs w:val="32"/>
          <w:highlight w:val="none"/>
          <w:lang w:val="en-US" w:eastAsia="zh-CN"/>
          <w14:textFill>
            <w14:solidFill>
              <w14:schemeClr w14:val="tx1"/>
            </w14:solidFill>
          </w14:textFill>
        </w:rPr>
        <w:t>2025年9月29日，标准起草小组由</w:t>
      </w: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重庆医科大学附属妇女儿童医院牵头，联系</w:t>
      </w:r>
      <w:r>
        <w:rPr>
          <w:rFonts w:hint="eastAsia" w:ascii="方正仿宋_GB2312" w:hAnsi="方正仿宋_GB2312" w:eastAsia="方正仿宋_GB2312" w:cs="方正仿宋_GB2312"/>
          <w:color w:val="000000" w:themeColor="text1"/>
          <w:sz w:val="32"/>
          <w:szCs w:val="32"/>
          <w14:textFill>
            <w14:solidFill>
              <w14:schemeClr w14:val="tx1"/>
            </w14:solidFill>
          </w14:textFill>
        </w:rPr>
        <w:t>重庆市铂而斐细胞生物技术有限公司</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西南大学医学研究院、山东齐鲁医院、</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山东省泉溪生物技术</w:t>
      </w: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有限公司等单位相关专家通过腾讯会议（腾讯会议号：153322212，时间15：00-17：30）</w:t>
      </w:r>
      <w:r>
        <w:rPr>
          <w:rFonts w:hint="eastAsia" w:ascii="方正仿宋_GB2312" w:hAnsi="方正仿宋_GB2312" w:eastAsia="方正仿宋_GB2312" w:cs="方正仿宋_GB2312"/>
          <w:strike w:val="0"/>
          <w:dstrike w:val="0"/>
          <w:color w:val="000000" w:themeColor="text1"/>
          <w:spacing w:val="6"/>
          <w:sz w:val="32"/>
          <w:szCs w:val="32"/>
          <w:highlight w:val="none"/>
          <w:lang w:val="en-US" w:eastAsia="zh-CN"/>
          <w14:textFill>
            <w14:solidFill>
              <w14:schemeClr w14:val="tx1"/>
            </w14:solidFill>
          </w14:textFill>
        </w:rPr>
        <w:t>再次对草案内容进行了认真科学整理，并对标准草案进行了修改完善。</w:t>
      </w:r>
    </w:p>
    <w:p w14:paraId="1572F2A2">
      <w:pPr>
        <w:spacing w:line="300" w:lineRule="auto"/>
        <w:rPr>
          <w:rFonts w:hint="eastAsia" w:ascii="仿宋" w:hAnsi="仿宋" w:eastAsia="仿宋" w:cs="仿宋"/>
          <w:b/>
          <w:sz w:val="24"/>
        </w:rPr>
      </w:pPr>
    </w:p>
    <w:p w14:paraId="0B95BBB1">
      <w:pPr>
        <w:spacing w:line="300" w:lineRule="auto"/>
        <w:rPr>
          <w:rFonts w:ascii="仿宋" w:hAnsi="仿宋" w:eastAsia="仿宋" w:cs="仿宋"/>
          <w:spacing w:val="6"/>
          <w:sz w:val="24"/>
          <w:highlight w:val="lightGray"/>
        </w:rPr>
      </w:pPr>
      <w:r>
        <w:rPr>
          <w:rFonts w:hint="eastAsia" w:ascii="仿宋" w:hAnsi="仿宋" w:eastAsia="仿宋" w:cs="仿宋"/>
          <w:spacing w:val="6"/>
          <w:sz w:val="24"/>
          <w:highlight w:val="lightGray"/>
        </w:rPr>
        <w:t>（</w:t>
      </w:r>
      <w:r>
        <w:rPr>
          <w:rFonts w:hint="eastAsia" w:ascii="仿宋" w:hAnsi="仿宋" w:eastAsia="仿宋" w:cs="仿宋"/>
          <w:sz w:val="24"/>
          <w:highlight w:val="lightGray"/>
        </w:rPr>
        <w:t>讲清标准的编制过程，明确意见已获得充分沟通，</w:t>
      </w:r>
      <w:r>
        <w:rPr>
          <w:rFonts w:hint="eastAsia" w:ascii="仿宋" w:hAnsi="仿宋" w:eastAsia="仿宋" w:cs="仿宋"/>
          <w:spacing w:val="6"/>
          <w:sz w:val="24"/>
          <w:highlight w:val="lightGray"/>
        </w:rPr>
        <w:t>包括但不限于编制过程信息；各阶段主要争议问题的处理情况，征求意见或审查意见的处理情况；送审稿编写情况、审查后标准内容修改情况等）</w:t>
      </w:r>
    </w:p>
    <w:p w14:paraId="4DF81577">
      <w:pPr>
        <w:spacing w:line="300" w:lineRule="auto"/>
        <w:rPr>
          <w:rFonts w:ascii="仿宋" w:hAnsi="仿宋" w:eastAsia="仿宋" w:cs="仿宋"/>
          <w:sz w:val="24"/>
        </w:rPr>
      </w:pPr>
    </w:p>
    <w:p w14:paraId="0FC0FEFC">
      <w:pPr>
        <w:spacing w:line="300" w:lineRule="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4  标准编制原则及与国家法律法规和强制性标准及有关标准的关系</w:t>
      </w:r>
    </w:p>
    <w:p w14:paraId="49DDF0A8">
      <w:pPr>
        <w:numPr>
          <w:ilvl w:val="0"/>
          <w:numId w:val="0"/>
        </w:numPr>
        <w:spacing w:line="300" w:lineRule="auto"/>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4.1标准编制原则</w:t>
      </w:r>
    </w:p>
    <w:p w14:paraId="3EF59C9D">
      <w:pPr>
        <w:numPr>
          <w:ilvl w:val="0"/>
          <w:numId w:val="21"/>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 统一性原则</w:t>
      </w:r>
    </w:p>
    <w:p w14:paraId="7077FEA1">
      <w:pPr>
        <w:spacing w:line="360" w:lineRule="auto"/>
        <w:ind w:firstLine="664" w:firstLineChars="200"/>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参考</w:t>
      </w: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《中华人民共和国传染病防治法》、《中华人民共和国生物安全法》、《医疗废物管理条例》、《人类遗传资源管理条例》、《人类生物样本管理规范》等文件</w:t>
      </w:r>
      <w:r>
        <w:rPr>
          <w:rFonts w:hint="eastAsia" w:ascii="方正仿宋_GB2312" w:hAnsi="方正仿宋_GB2312" w:eastAsia="方正仿宋_GB2312" w:cs="方正仿宋_GB2312"/>
          <w:spacing w:val="6"/>
          <w:sz w:val="32"/>
          <w:szCs w:val="32"/>
          <w:highlight w:val="none"/>
          <w:lang w:val="en-US" w:eastAsia="zh-CN"/>
        </w:rPr>
        <w:t>将共性技术要求整合的经验，确保</w:t>
      </w: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围产期组织细胞采集制备存储方法标</w:t>
      </w:r>
      <w:r>
        <w:rPr>
          <w:rFonts w:hint="eastAsia" w:ascii="方正仿宋_GB2312" w:hAnsi="方正仿宋_GB2312" w:eastAsia="方正仿宋_GB2312" w:cs="方正仿宋_GB2312"/>
          <w:spacing w:val="6"/>
          <w:sz w:val="32"/>
          <w:szCs w:val="32"/>
          <w:highlight w:val="none"/>
          <w:lang w:val="en-US" w:eastAsia="zh-CN"/>
        </w:rPr>
        <w:t>准在术语、工作流程、岗位要求等方面实现统一 。如在质量管理的校准制度、临床检测、数据报告、质控等方面，采用统一规范，便于不同实验室间数据的互认与交流，避免因标准差异导致的检测结果不一致。</w:t>
      </w:r>
    </w:p>
    <w:p w14:paraId="12ADC328">
      <w:pPr>
        <w:numPr>
          <w:ilvl w:val="0"/>
          <w:numId w:val="21"/>
        </w:numPr>
        <w:spacing w:line="300" w:lineRule="auto"/>
        <w:ind w:left="0" w:leftChars="0"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 协调性原则</w:t>
      </w:r>
    </w:p>
    <w:p w14:paraId="73AC1840">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编制过程充分考虑与</w:t>
      </w: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中华人民共和国传染病防治法》、《中华人民共和国生物安全法》、《医疗废物管理条例》、《人类遗传资源管理条例》、《脐带血造血干细胞库管理办法》、《脐带血造血干细胞库技术规范》、《实验室生物安全通用要求》、《病原微生物实验室生物安全通用准则》、《人源干细胞产品非临床研究技术指导原则》、《人源间充质干细胞库建设与管理规范》、《细胞制备中心建设与管理规范》、《人类成体干细胞临床试验和应用的伦理准则》、《干细胞制剂制备质量管理自律规范》等法律法规的协调，同时注重与国际标准（BSISO24603-2022）的衔接。保证国内标准与国际先进理念和技术要求相协调，促进围产期组织采集和制备的国际化发展。</w:t>
      </w:r>
    </w:p>
    <w:p w14:paraId="26DDEFA3">
      <w:pPr>
        <w:numPr>
          <w:ilvl w:val="0"/>
          <w:numId w:val="21"/>
        </w:numPr>
        <w:spacing w:line="300" w:lineRule="auto"/>
        <w:ind w:left="0" w:leftChars="0"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 适用性原则</w:t>
      </w:r>
    </w:p>
    <w:p w14:paraId="03DF10FF">
      <w:pPr>
        <w:numPr>
          <w:ilvl w:val="0"/>
          <w:numId w:val="0"/>
        </w:num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立足我国细胞生物医药产业的实际需求，制定符合国情的生物样本采集制备标准。根据围产期组织的特点，明确其特殊采集、检测、制备要求，确保标准能有效指导围产期组织采集、制备和质量控制。</w:t>
      </w:r>
    </w:p>
    <w:p w14:paraId="60D41B53">
      <w:pPr>
        <w:numPr>
          <w:ilvl w:val="0"/>
          <w:numId w:val="21"/>
        </w:numPr>
        <w:spacing w:line="300" w:lineRule="auto"/>
        <w:ind w:left="0" w:leftChars="0"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 一致性原则</w:t>
      </w:r>
    </w:p>
    <w:p w14:paraId="3A7CCF7D">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保证标准在不同环节（</w:t>
      </w: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医疗机构中采集、样本的运输、接收、检测、制备、送</w:t>
      </w:r>
      <w:r>
        <w:rPr>
          <w:rFonts w:hint="eastAsia" w:ascii="方正仿宋_GB2312" w:hAnsi="方正仿宋_GB2312" w:eastAsia="方正仿宋_GB2312" w:cs="方正仿宋_GB2312"/>
          <w:color w:val="000000" w:themeColor="text1"/>
          <w:spacing w:val="6"/>
          <w:sz w:val="32"/>
          <w:szCs w:val="32"/>
          <w:highlight w:val="none"/>
          <w:u w:val="none"/>
          <w:lang w:val="en-US" w:eastAsia="zh-CN"/>
          <w14:textFill>
            <w14:solidFill>
              <w14:schemeClr w14:val="tx1"/>
            </w14:solidFill>
          </w14:textFill>
        </w:rPr>
        <w:t>样外检</w:t>
      </w:r>
      <w:r>
        <w:rPr>
          <w:rFonts w:hint="eastAsia" w:ascii="方正仿宋_GB2312" w:hAnsi="方正仿宋_GB2312" w:eastAsia="方正仿宋_GB2312" w:cs="方正仿宋_GB2312"/>
          <w:spacing w:val="6"/>
          <w:sz w:val="32"/>
          <w:szCs w:val="32"/>
          <w:highlight w:val="none"/>
          <w:lang w:val="en-US" w:eastAsia="zh-CN"/>
        </w:rPr>
        <w:t>）的一致性要求，避免出现矛盾和冲突。</w:t>
      </w:r>
    </w:p>
    <w:p w14:paraId="58E37B06">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（5）. 规范性原则</w:t>
      </w:r>
    </w:p>
    <w:p w14:paraId="45DAD1BD">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按照国家</w:t>
      </w: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有关部门</w:t>
      </w:r>
      <w:r>
        <w:rPr>
          <w:rFonts w:hint="eastAsia" w:ascii="方正仿宋_GB2312" w:hAnsi="方正仿宋_GB2312" w:eastAsia="方正仿宋_GB2312" w:cs="方正仿宋_GB2312"/>
          <w:spacing w:val="6"/>
          <w:sz w:val="32"/>
          <w:szCs w:val="32"/>
          <w:highlight w:val="none"/>
          <w:lang w:val="en-US" w:eastAsia="zh-CN"/>
        </w:rPr>
        <w:t>颁布的法律、规范和指导原则要求，规范标准的</w:t>
      </w:r>
      <w:r>
        <w:rPr>
          <w:rFonts w:hint="eastAsia" w:ascii="方正仿宋_GB2312" w:hAnsi="方正仿宋_GB2312" w:eastAsia="方正仿宋_GB2312" w:cs="方正仿宋_GB2312"/>
          <w:color w:val="000000" w:themeColor="text1"/>
          <w:spacing w:val="6"/>
          <w:sz w:val="32"/>
          <w:szCs w:val="32"/>
          <w:highlight w:val="none"/>
          <w:u w:val="none"/>
          <w:lang w:val="en-US" w:eastAsia="zh-CN"/>
          <w14:textFill>
            <w14:solidFill>
              <w14:schemeClr w14:val="tx1"/>
            </w14:solidFill>
          </w14:textFill>
        </w:rPr>
        <w:t>体例格式、</w:t>
      </w:r>
      <w:r>
        <w:rPr>
          <w:rFonts w:hint="eastAsia" w:ascii="方正仿宋_GB2312" w:hAnsi="方正仿宋_GB2312" w:eastAsia="方正仿宋_GB2312" w:cs="方正仿宋_GB2312"/>
          <w:spacing w:val="6"/>
          <w:sz w:val="32"/>
          <w:szCs w:val="32"/>
          <w:highlight w:val="none"/>
          <w:lang w:val="en-US" w:eastAsia="zh-CN"/>
        </w:rPr>
        <w:t>文字术语、检测流程等内容。例如在《</w:t>
      </w: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脐带血造血干细胞库技术规范（试行）》</w:t>
      </w:r>
      <w:r>
        <w:rPr>
          <w:rFonts w:hint="eastAsia" w:ascii="方正仿宋_GB2312" w:hAnsi="方正仿宋_GB2312" w:eastAsia="方正仿宋_GB2312" w:cs="方正仿宋_GB2312"/>
          <w:spacing w:val="6"/>
          <w:sz w:val="32"/>
          <w:szCs w:val="32"/>
          <w:highlight w:val="none"/>
          <w:lang w:val="en-US" w:eastAsia="zh-CN"/>
        </w:rPr>
        <w:t>说明中，明确规定需包含概况、生产工艺、质量标准制定意见等内容，并规范其表述方式，使标准具有严谨性和权威性。</w:t>
      </w:r>
    </w:p>
    <w:p w14:paraId="0D17D74B">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（6）. 目标性原则</w:t>
      </w:r>
    </w:p>
    <w:p w14:paraId="01322EB4">
      <w:pPr>
        <w:numPr>
          <w:ilvl w:val="0"/>
          <w:numId w:val="0"/>
        </w:num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以保障围产期组织安全和对应细胞质量可控为核心目标，围绕围产期组织细胞需求制定标准。通过设置科学的检测项目（如有效性、均一性、纯度、安全性检查）和合理的限度要求，为围产期组织制备提供准确依据，如通过规定对应细胞的代次、纯度、活性等指标，确保围产期组织细胞的稳定性。</w:t>
      </w:r>
    </w:p>
    <w:p w14:paraId="63C3DC1B">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（7）. 目的性原则</w:t>
      </w:r>
    </w:p>
    <w:p w14:paraId="5628D98D">
      <w:pPr>
        <w:numPr>
          <w:ilvl w:val="0"/>
          <w:numId w:val="0"/>
        </w:num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技术要素的确定需紧密围绕围产期组织采集和制备的目的，即准确评估围产期组织安全性、完整性、保障后期制备安全有效。例如在选择采集方法时，需考虑该方法能否准确判断采集时间、采集流程、采集量作专属设定；在确定采集项目时，优先选择所需围产期组织的存储容器、保存试剂、保存方式、运输方式等进行准备，以确保采集过程和后期制备过程的安全。</w:t>
      </w:r>
    </w:p>
    <w:p w14:paraId="5717F14A">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（8）. 性能特性原则</w:t>
      </w:r>
    </w:p>
    <w:p w14:paraId="28FF24FD">
      <w:pPr>
        <w:numPr>
          <w:ilvl w:val="0"/>
          <w:numId w:val="0"/>
        </w:num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spacing w:val="6"/>
          <w:sz w:val="32"/>
          <w:szCs w:val="32"/>
          <w:highlight w:val="none"/>
          <w:lang w:val="en-US" w:eastAsia="zh-CN"/>
        </w:rPr>
        <w:t>依据</w:t>
      </w: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围产期组织细胞特性（如安全性、流式表型、生物活性等）选</w:t>
      </w:r>
      <w:r>
        <w:rPr>
          <w:rFonts w:hint="eastAsia" w:ascii="方正仿宋_GB2312" w:hAnsi="方正仿宋_GB2312" w:eastAsia="方正仿宋_GB2312" w:cs="方正仿宋_GB2312"/>
          <w:spacing w:val="6"/>
          <w:sz w:val="32"/>
          <w:szCs w:val="32"/>
          <w:highlight w:val="none"/>
          <w:lang w:val="en-US" w:eastAsia="zh-CN"/>
        </w:rPr>
        <w:t>择合适的技术要素。对于安</w:t>
      </w: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全性，</w:t>
      </w:r>
      <w:r>
        <w:rPr>
          <w:rFonts w:hint="eastAsia" w:ascii="方正仿宋_GB2312" w:hAnsi="方正仿宋_GB2312" w:eastAsia="方正仿宋_GB2312" w:cs="方正仿宋_GB2312"/>
          <w:color w:val="000000" w:themeColor="text1"/>
          <w:spacing w:val="6"/>
          <w:sz w:val="32"/>
          <w:szCs w:val="32"/>
          <w:highlight w:val="none"/>
          <w:u w:val="none"/>
          <w:lang w:val="en-US" w:eastAsia="zh-CN"/>
          <w14:textFill>
            <w14:solidFill>
              <w14:schemeClr w14:val="tx1"/>
            </w14:solidFill>
          </w14:textFill>
        </w:rPr>
        <w:t>确保采集环节对供者和组织细胞不造成伤害，</w:t>
      </w: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应对无菌性、内毒素水平、病毒安全性、成瘤性、致瘤性、促瘤性进行质量控制</w:t>
      </w:r>
      <w:r>
        <w:rPr>
          <w:rFonts w:hint="eastAsia" w:ascii="方正仿宋_GB2312" w:hAnsi="方正仿宋_GB2312" w:eastAsia="方正仿宋_GB2312" w:cs="方正仿宋_GB2312"/>
          <w:spacing w:val="6"/>
          <w:sz w:val="32"/>
          <w:szCs w:val="32"/>
          <w:highlight w:val="none"/>
          <w:lang w:val="en-US" w:eastAsia="zh-CN"/>
        </w:rPr>
        <w:t>；</w:t>
      </w: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对于纯度鉴别，一般采用流式方法来鉴别细胞特有的标志物；对于活性鉴别可采用台盼蓝或者荧光染料流式技术来完成；对于生物活性，就包含免疫调节功能（混合淋巴细胞反应试验）、分化潜能（成骨、成脂、成软骨分化的能力）、分泌功能等效力指标与预期的治疗机制相关联；质量一致性就是确保不同批次间细胞的产品的稳定可控，细胞形态（镜下观察MSCs应为长梭形、成纤维细胞样）、细胞浓度、群体倍增时间等。</w:t>
      </w:r>
    </w:p>
    <w:p w14:paraId="72EDB9D0">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（9）. 可证实性原则</w:t>
      </w:r>
    </w:p>
    <w:p w14:paraId="4CED436E">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所有技术要素需具备可证实性，即</w:t>
      </w: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采集方法、制备方法、检测方法等能</w:t>
      </w:r>
      <w:r>
        <w:rPr>
          <w:rFonts w:hint="eastAsia" w:ascii="方正仿宋_GB2312" w:hAnsi="方正仿宋_GB2312" w:eastAsia="方正仿宋_GB2312" w:cs="方正仿宋_GB2312"/>
          <w:spacing w:val="6"/>
          <w:sz w:val="32"/>
          <w:szCs w:val="32"/>
          <w:highlight w:val="none"/>
          <w:lang w:val="en-US" w:eastAsia="zh-CN"/>
        </w:rPr>
        <w:t>够通过实验验证其科学性和可靠性 。在方法验证中，需对准确度、精密度、专属性、检测限、定量限、线性、范围和耐用性等关键参数进行严格验证，确保检测结果稳定可靠，使标准中的技术要素经得起实践检验。</w:t>
      </w:r>
    </w:p>
    <w:p w14:paraId="7EE2DD2B">
      <w:pPr>
        <w:spacing w:line="300" w:lineRule="auto"/>
        <w:rPr>
          <w:rFonts w:hint="default" w:ascii="仿宋" w:hAnsi="仿宋" w:eastAsia="仿宋" w:cs="仿宋"/>
          <w:spacing w:val="6"/>
          <w:sz w:val="24"/>
          <w:lang w:val="en-US" w:eastAsia="zh-CN"/>
        </w:rPr>
      </w:pPr>
    </w:p>
    <w:p w14:paraId="53F5F2F4">
      <w:pPr>
        <w:spacing w:line="300" w:lineRule="auto"/>
        <w:rPr>
          <w:rFonts w:ascii="仿宋" w:hAnsi="仿宋" w:eastAsia="仿宋" w:cs="仿宋"/>
          <w:spacing w:val="6"/>
          <w:sz w:val="24"/>
          <w:highlight w:val="lightGray"/>
        </w:rPr>
      </w:pPr>
      <w:r>
        <w:rPr>
          <w:rFonts w:hint="eastAsia" w:ascii="仿宋" w:hAnsi="仿宋" w:eastAsia="仿宋" w:cs="仿宋"/>
          <w:spacing w:val="6"/>
          <w:sz w:val="24"/>
          <w:highlight w:val="lightGray"/>
        </w:rPr>
        <w:t>（4.1 建议从统一性、协调性、适用性、一致性、规范性、目标性等方面写编制原则；</w:t>
      </w:r>
    </w:p>
    <w:p w14:paraId="3596530F">
      <w:pPr>
        <w:spacing w:line="300" w:lineRule="auto"/>
        <w:rPr>
          <w:rFonts w:hint="eastAsia" w:ascii="仿宋" w:hAnsi="仿宋" w:eastAsia="仿宋" w:cs="仿宋"/>
          <w:spacing w:val="6"/>
          <w:sz w:val="24"/>
          <w:highlight w:val="lightGray"/>
          <w:lang w:eastAsia="zh-CN"/>
        </w:rPr>
      </w:pPr>
      <w:r>
        <w:rPr>
          <w:rFonts w:hint="eastAsia" w:ascii="仿宋" w:hAnsi="仿宋" w:eastAsia="仿宋" w:cs="仿宋"/>
          <w:spacing w:val="6"/>
          <w:sz w:val="24"/>
          <w:highlight w:val="lightGray"/>
        </w:rPr>
        <w:t>建议从目的性原则、性能特性原则、可证实性原则的角度写确定技术要素的原则。</w:t>
      </w:r>
      <w:r>
        <w:rPr>
          <w:rFonts w:hint="eastAsia" w:ascii="仿宋" w:hAnsi="仿宋" w:eastAsia="仿宋" w:cs="仿宋"/>
          <w:spacing w:val="6"/>
          <w:sz w:val="24"/>
          <w:highlight w:val="lightGray"/>
          <w:lang w:eastAsia="zh-CN"/>
        </w:rPr>
        <w:t>）</w:t>
      </w:r>
    </w:p>
    <w:p w14:paraId="037824D3">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4.2 本标准与涉及到的法律法规、强制性标准的关系</w:t>
      </w:r>
    </w:p>
    <w:p w14:paraId="5D0F0939">
      <w:pPr>
        <w:numPr>
          <w:ilvl w:val="0"/>
          <w:numId w:val="0"/>
        </w:num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spacing w:val="6"/>
          <w:sz w:val="32"/>
          <w:szCs w:val="32"/>
          <w:highlight w:val="none"/>
          <w:lang w:val="en-US" w:eastAsia="zh-CN"/>
        </w:rPr>
        <w:t>本标准在编制和实施过程中，与多项法律法规、强制性标准紧密关联，形成科学严谨的监管与技术支撑体系：</w:t>
      </w:r>
    </w:p>
    <w:p w14:paraId="05DD7217">
      <w:pPr>
        <w:numPr>
          <w:ilvl w:val="0"/>
          <w:numId w:val="22"/>
        </w:num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 法律层面的核心依据：以《中华人民共和国传染病防治法》《中华人民共和国生物安全法》为根本遵循，明确围产期组织在采集过程中安全可控的总体要求。《干细胞临床研究管理办法（试行）》为其核心管理文件。《干细胞制剂质量控制和临床前研究指导原则（试行）》对应质量要求。</w:t>
      </w:r>
    </w:p>
    <w:p w14:paraId="1E697324">
      <w:pPr>
        <w:numPr>
          <w:ilvl w:val="0"/>
          <w:numId w:val="0"/>
        </w:numPr>
        <w:spacing w:line="300" w:lineRule="auto"/>
        <w:ind w:firstLine="664" w:firstLineChars="200"/>
        <w:jc w:val="both"/>
        <w:rPr>
          <w:rFonts w:hint="eastAsia" w:ascii="仿宋" w:hAnsi="仿宋" w:eastAsia="仿宋" w:cs="仿宋"/>
          <w:color w:val="000000" w:themeColor="text1"/>
          <w:spacing w:val="6"/>
          <w:sz w:val="24"/>
          <w:highlight w:val="none"/>
          <w:lang w:val="en-US" w:eastAsia="zh-CN"/>
          <w14:textFill>
            <w14:solidFill>
              <w14:schemeClr w14:val="tx1"/>
            </w14:solidFill>
          </w14:textFill>
        </w:rPr>
      </w:pPr>
      <w:r>
        <w:rPr>
          <w:rFonts w:hint="eastAsia" w:ascii="方正仿宋_GB2312" w:hAnsi="方正仿宋_GB2312" w:eastAsia="方正仿宋_GB2312" w:cs="方正仿宋_GB2312"/>
          <w:spacing w:val="6"/>
          <w:sz w:val="32"/>
          <w:szCs w:val="32"/>
          <w:highlight w:val="none"/>
          <w:lang w:val="en-US" w:eastAsia="zh-CN"/>
        </w:rPr>
        <w:t>（2）. 标准管理与协调机制：</w:t>
      </w: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必须在符合《药品生产质量管理规范》(GMP) 的车间进行。这意味着对厂房设施、设备、环境、人员、流程、文件记录有极其严格的要求。必须建立全面的质量控制体系，包括安全性（无菌、支原体、内毒素、病毒检测等）、纯度、鉴别、效力（活性）和数量等放行标准。必须按照药物临床试验的规定，申请临床试验批件，并在获批后在符合要求的临床机构开展。要求从供体到受者全程的双向可追溯系统。</w:t>
      </w:r>
    </w:p>
    <w:p w14:paraId="138E9184">
      <w:pPr>
        <w:spacing w:line="360" w:lineRule="auto"/>
        <w:ind w:firstLine="664"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pacing w:val="6"/>
          <w:sz w:val="32"/>
          <w:szCs w:val="32"/>
          <w:highlight w:val="none"/>
          <w:lang w:val="en-US" w:eastAsia="zh-CN"/>
        </w:rPr>
        <w:t xml:space="preserve">（3）. </w:t>
      </w: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规范性引用文件：引用了GB 19489《实验室生物安全通用要求》、GB/T 37864《生物样本库质量和能力通用要求》等关键国家标准，同时引用了</w:t>
      </w:r>
      <w:r>
        <w:rPr>
          <w:rFonts w:hint="eastAsia" w:ascii="方正仿宋_GB2312" w:hAnsi="方正仿宋_GB2312" w:eastAsia="方正仿宋_GB2312" w:cs="方正仿宋_GB2312"/>
          <w:sz w:val="32"/>
          <w:szCs w:val="32"/>
        </w:rPr>
        <w:t>GB/T 1.1—2020《标准化工作导则》</w:t>
      </w:r>
      <w:r>
        <w:rPr>
          <w:rFonts w:hint="eastAsia" w:ascii="方正仿宋_GB2312" w:hAnsi="方正仿宋_GB2312" w:eastAsia="方正仿宋_GB2312" w:cs="方正仿宋_GB2312"/>
          <w:sz w:val="32"/>
          <w:szCs w:val="32"/>
          <w:lang w:eastAsia="zh-CN"/>
        </w:rPr>
        <w:t>、</w:t>
      </w:r>
    </w:p>
    <w:p w14:paraId="46A5BB60">
      <w:pPr>
        <w:spacing w:line="360" w:lineRule="auto"/>
        <w:ind w:left="0" w:leftChars="0" w:firstLine="0" w:firstLineChars="0"/>
        <w:rPr>
          <w:rFonts w:hint="eastAsia" w:ascii="仿宋" w:hAnsi="仿宋" w:eastAsia="仿宋" w:cs="仿宋"/>
          <w:spacing w:val="6"/>
          <w:sz w:val="24"/>
          <w:highlight w:val="none"/>
          <w:lang w:val="en-US" w:eastAsia="zh-CN"/>
        </w:rPr>
      </w:pPr>
      <w:r>
        <w:rPr>
          <w:rFonts w:hint="eastAsia" w:ascii="方正仿宋_GB2312" w:hAnsi="方正仿宋_GB2312" w:eastAsia="方正仿宋_GB2312" w:cs="方正仿宋_GB2312"/>
          <w:sz w:val="32"/>
          <w:szCs w:val="32"/>
        </w:rPr>
        <w:t>GB/T 20000.1-2014《标准化工作指南》</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T/CSCB 0003-2021 《人</w:t>
      </w:r>
      <w:r>
        <w:rPr>
          <w:rFonts w:hint="eastAsia" w:ascii="方正仿宋_GB2312" w:hAnsi="方正仿宋_GB2312" w:eastAsia="方正仿宋_GB2312" w:cs="方正仿宋_GB2312"/>
          <w:sz w:val="32"/>
          <w:szCs w:val="32"/>
          <w:lang w:val="en-US" w:eastAsia="zh-CN"/>
        </w:rPr>
        <w:t>源</w:t>
      </w:r>
      <w:r>
        <w:rPr>
          <w:rFonts w:hint="eastAsia" w:ascii="方正仿宋_GB2312" w:hAnsi="方正仿宋_GB2312" w:eastAsia="方正仿宋_GB2312" w:cs="方正仿宋_GB2312"/>
          <w:sz w:val="32"/>
          <w:szCs w:val="32"/>
        </w:rPr>
        <w:t>间充质干细胞》</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CDE 《人源干细胞产品药学研究与评价技术指导原则（试行）》</w:t>
      </w:r>
      <w:r>
        <w:rPr>
          <w:rFonts w:hint="eastAsia" w:ascii="方正仿宋_GB2312" w:hAnsi="方正仿宋_GB2312" w:eastAsia="方正仿宋_GB2312" w:cs="方正仿宋_GB2312"/>
          <w:sz w:val="32"/>
          <w:szCs w:val="32"/>
          <w:lang w:val="en-US" w:eastAsia="zh-CN"/>
        </w:rPr>
        <w:t>等文件，</w:t>
      </w: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确保了本标准在生物安全、样本库建设等方面与更高层级的标准体系相衔接，增强了标准的权威性、完整性和执行力。</w:t>
      </w:r>
    </w:p>
    <w:p w14:paraId="17B390C1">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通过与上述法律法规、强制性标准的紧密衔接，《</w:t>
      </w:r>
      <w:r>
        <w:rPr>
          <w:rFonts w:hint="eastAsia" w:ascii="方正仿宋_GB2312" w:hAnsi="方正仿宋_GB2312" w:eastAsia="方正仿宋_GB2312" w:cs="方正仿宋_GB2312"/>
          <w:sz w:val="32"/>
          <w:szCs w:val="32"/>
          <w:lang w:val="en-US" w:eastAsia="zh-CN"/>
        </w:rPr>
        <w:t>围产期组织细胞采集制备存储技术规范</w:t>
      </w:r>
      <w:r>
        <w:rPr>
          <w:rFonts w:hint="eastAsia" w:ascii="方正仿宋_GB2312" w:hAnsi="方正仿宋_GB2312" w:eastAsia="方正仿宋_GB2312" w:cs="方正仿宋_GB2312"/>
          <w:spacing w:val="6"/>
          <w:sz w:val="32"/>
          <w:szCs w:val="32"/>
          <w:highlight w:val="none"/>
          <w:lang w:val="en-US" w:eastAsia="zh-CN"/>
        </w:rPr>
        <w:t>》得以在合法合规的框架下，实现技术要求的科学性、实践应用的适用性以及行业监管的协同性，全面提升临床药物分析检测的标准化水平。</w:t>
      </w:r>
    </w:p>
    <w:p w14:paraId="02BCA824">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p>
    <w:p w14:paraId="0054292C">
      <w:pPr>
        <w:spacing w:line="300" w:lineRule="auto"/>
        <w:rPr>
          <w:rFonts w:hint="eastAsia" w:ascii="仿宋" w:hAnsi="仿宋" w:eastAsia="仿宋" w:cs="仿宋"/>
          <w:spacing w:val="6"/>
          <w:sz w:val="24"/>
          <w:highlight w:val="lightGray"/>
          <w:lang w:eastAsia="zh-CN"/>
        </w:rPr>
      </w:pPr>
      <w:r>
        <w:rPr>
          <w:rFonts w:hint="eastAsia" w:ascii="仿宋" w:hAnsi="仿宋" w:eastAsia="仿宋" w:cs="仿宋"/>
          <w:spacing w:val="6"/>
          <w:sz w:val="24"/>
          <w:highlight w:val="lightGray"/>
          <w:lang w:eastAsia="zh-CN"/>
        </w:rPr>
        <w:t>（</w:t>
      </w:r>
      <w:r>
        <w:rPr>
          <w:rFonts w:hint="eastAsia" w:ascii="仿宋" w:hAnsi="仿宋" w:eastAsia="仿宋" w:cs="仿宋"/>
          <w:spacing w:val="6"/>
          <w:sz w:val="24"/>
          <w:highlight w:val="lightGray"/>
        </w:rPr>
        <w:t>4.2 写出本标准与标准编制和实施过程涉及到的法律法规、强制性标准的关系。</w:t>
      </w:r>
      <w:r>
        <w:rPr>
          <w:rFonts w:hint="eastAsia" w:ascii="仿宋" w:hAnsi="仿宋" w:eastAsia="仿宋" w:cs="仿宋"/>
          <w:spacing w:val="6"/>
          <w:sz w:val="24"/>
          <w:highlight w:val="lightGray"/>
          <w:lang w:eastAsia="zh-CN"/>
        </w:rPr>
        <w:t>）</w:t>
      </w:r>
    </w:p>
    <w:p w14:paraId="00FBC8C5">
      <w:pPr>
        <w:spacing w:line="300" w:lineRule="auto"/>
        <w:rPr>
          <w:rFonts w:hint="eastAsia" w:ascii="仿宋" w:hAnsi="仿宋" w:eastAsia="仿宋" w:cs="仿宋"/>
          <w:spacing w:val="6"/>
          <w:sz w:val="24"/>
          <w:highlight w:val="lightGray"/>
        </w:rPr>
      </w:pPr>
    </w:p>
    <w:p w14:paraId="640C1F74">
      <w:pPr>
        <w:numPr>
          <w:ilvl w:val="0"/>
          <w:numId w:val="0"/>
        </w:numPr>
        <w:spacing w:line="300" w:lineRule="auto"/>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4.3 本标准与上位标准或其他相关标准相比较，主要技术指标的不同点</w:t>
      </w:r>
    </w:p>
    <w:p w14:paraId="0F8F1B64">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本标准在主要技术指标上呈现出填补空白、细化补充及</w:t>
      </w: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创新</w:t>
      </w:r>
      <w:r>
        <w:rPr>
          <w:rFonts w:hint="eastAsia" w:ascii="方正仿宋_GB2312" w:hAnsi="方正仿宋_GB2312" w:eastAsia="方正仿宋_GB2312" w:cs="方正仿宋_GB2312"/>
          <w:spacing w:val="6"/>
          <w:sz w:val="32"/>
          <w:szCs w:val="32"/>
          <w:highlight w:val="none"/>
          <w:lang w:val="en-US" w:eastAsia="zh-CN"/>
        </w:rPr>
        <w:t>等显著特点，具体如下：</w:t>
      </w:r>
    </w:p>
    <w:p w14:paraId="7AB37BF5">
      <w:pPr>
        <w:numPr>
          <w:ilvl w:val="0"/>
          <w:numId w:val="0"/>
        </w:numPr>
        <w:tabs>
          <w:tab w:val="left" w:pos="811"/>
        </w:tabs>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(1).填补行业标准空白</w:t>
      </w:r>
    </w:p>
    <w:p w14:paraId="716129C6">
      <w:pPr>
        <w:numPr>
          <w:ilvl w:val="0"/>
          <w:numId w:val="0"/>
        </w:num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随着再生医学与细胞治疗技术的迅猛发展，围产期组织（包括胎盘、脐带、脐带血等）作为宝贵的生物资源，其巨大的医学应用潜力已成为全球共识。然而，与产业热情和临床需求形成鲜明对比的是，我国在该领域长期缺乏一部全国统一的、专门针对围产期组织细胞采集、制备和储存技术操作的全流程规范。</w:t>
      </w:r>
    </w:p>
    <w:p w14:paraId="700EE24F">
      <w:pPr>
        <w:numPr>
          <w:ilvl w:val="0"/>
          <w:numId w:val="0"/>
        </w:num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当前现状是“有标准，但不专用；有要求，但不系统”：</w:t>
      </w:r>
    </w:p>
    <w:p w14:paraId="59EBE9A5">
      <w:pPr>
        <w:numPr>
          <w:ilvl w:val="0"/>
          <w:numId w:val="0"/>
        </w:num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1、通用标准无法满足专业需求：现有的《干细胞临床研究管理办法》等是管理框架，而《中国药典》通则主要关注药品终产品安全，对于“如何从围产期组织中规范地分离、扩增、鉴定和存储干细胞”这一具体过程，缺乏细致的技术标准指导。</w:t>
      </w:r>
    </w:p>
    <w:p w14:paraId="2A498B20">
      <w:pPr>
        <w:numPr>
          <w:ilvl w:val="0"/>
          <w:numId w:val="0"/>
        </w:num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2、行业实践无序化：各机构、细胞库遵循自定规程或参考国外指南，在供者筛查项目、细胞分离方法、质量控制标准（如细胞纯度、活性判定标准）、存储条件等关键环节上存在巨大差异。这种“各自为政”的局面导致细胞质量参差不齐，为后续的科学研究、临床转化及产业化发展埋下了严重隐患，也极大地阻碍了行业健康有序发展。</w:t>
      </w:r>
    </w:p>
    <w:p w14:paraId="3BA7435E">
      <w:pPr>
        <w:numPr>
          <w:ilvl w:val="0"/>
          <w:numId w:val="0"/>
        </w:num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标准的制定，其首要和核心的意义在于填补了国内在围产期组织细胞采集制备储存技术领域的标准空白。为细胞生物医药行业发展提供了统一、科学、可遵循的技术依据，对保障细胞质量安全、促进技术转化、保护消费者权益具有重要意义。</w:t>
      </w:r>
    </w:p>
    <w:p w14:paraId="79B06117">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(2).细化现有标准要求</w:t>
      </w:r>
    </w:p>
    <w:p w14:paraId="5C070508">
      <w:pPr>
        <w:numPr>
          <w:ilvl w:val="0"/>
          <w:numId w:val="0"/>
        </w:num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在制剂检测方面，《围产期组织细胞采集制备存储技术规范》以《中国药典》2020年版、2025年版为基础，进一步系统适用性试验质量控制要点。除遵循《中国药典》2025年版通则9101等规定的准确性、精密度等验证项目外，针对临床复杂样本特点，细化生物样本中内源性物质干扰、基质效应等特殊情况的处理流程和验证标准。</w:t>
      </w:r>
    </w:p>
    <w:p w14:paraId="62C49670">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(3).提升检测技术指标</w:t>
      </w:r>
    </w:p>
    <w:p w14:paraId="2AD7F798">
      <w:pPr>
        <w:numPr>
          <w:ilvl w:val="0"/>
          <w:numId w:val="0"/>
        </w:num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我国在细胞治疗领域已建立初步的标准框架，包括《干细胞临床研究管理办法》、《细胞治疗产品研究与评价技术指导原则》等管理规范，以及《中国药典》中的通用质量要求。然而，这些标准多为横向的、原则性的规定，对于围产期组织细胞这一纵向的、技术密集的特定领域，缺乏可直接落地的技术细则。本标准的制定，其核心价值在于对现有标准体系进行不可或缺的重要补充和深化细化。从“管理框架”到“技术细则”的补充，从“通用要求”到“专业定制”的细化。</w:t>
      </w:r>
    </w:p>
    <w:p w14:paraId="74BF8661">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(4).强化临床应用导向</w:t>
      </w:r>
    </w:p>
    <w:p w14:paraId="17DDD583">
      <w:pPr>
        <w:numPr>
          <w:ilvl w:val="0"/>
          <w:numId w:val="0"/>
        </w:numPr>
        <w:spacing w:line="300" w:lineRule="auto"/>
        <w:ind w:firstLine="664" w:firstLineChars="200"/>
        <w:jc w:val="both"/>
        <w:rPr>
          <w:rFonts w:hint="eastAsia" w:ascii="方正仿宋_GB2312" w:hAnsi="方正仿宋_GB2312" w:eastAsia="方正仿宋_GB2312" w:cs="方正仿宋_GB2312"/>
          <w:strike/>
          <w:dstrike w:val="0"/>
          <w:color w:val="FF0000"/>
          <w:spacing w:val="6"/>
          <w:sz w:val="32"/>
          <w:szCs w:val="32"/>
          <w:highlight w:val="none"/>
          <w:u w:val="single"/>
          <w:lang w:val="en-US" w:eastAsia="zh-CN"/>
        </w:rPr>
      </w:pPr>
      <w:r>
        <w:rPr>
          <w:rFonts w:hint="eastAsia" w:ascii="方正仿宋_GB2312" w:hAnsi="方正仿宋_GB2312" w:eastAsia="方正仿宋_GB2312" w:cs="方正仿宋_GB2312"/>
          <w:spacing w:val="6"/>
          <w:sz w:val="32"/>
          <w:szCs w:val="32"/>
          <w:highlight w:val="none"/>
          <w:lang w:val="en-US" w:eastAsia="zh-CN"/>
        </w:rPr>
        <w:t>与侧重药品生产和质量控制的《药品生产质量管理规范》（GMP）、《药品经营质量管理规范》（GSP）不同，本标准聚焦临床应用场景，重点规范药物在人体样本检测中的关键技术指标。例如，结合临床治疗药物监测需求，制定样本采集、处理、保存的全流程规范，明确溶血、污染等因素对检测结果的影响及处理措施；</w:t>
      </w:r>
    </w:p>
    <w:p w14:paraId="09BE12AA">
      <w:pPr>
        <w:spacing w:line="300" w:lineRule="auto"/>
        <w:rPr>
          <w:rFonts w:hint="eastAsia" w:ascii="仿宋" w:hAnsi="仿宋" w:eastAsia="仿宋" w:cs="仿宋"/>
          <w:spacing w:val="6"/>
          <w:sz w:val="24"/>
          <w:highlight w:val="lightGray"/>
        </w:rPr>
      </w:pPr>
    </w:p>
    <w:p w14:paraId="7A336656">
      <w:pPr>
        <w:spacing w:line="300" w:lineRule="auto"/>
        <w:rPr>
          <w:rFonts w:ascii="仿宋" w:hAnsi="仿宋" w:eastAsia="仿宋" w:cs="仿宋"/>
          <w:spacing w:val="6"/>
          <w:sz w:val="24"/>
          <w:highlight w:val="lightGray"/>
        </w:rPr>
      </w:pPr>
      <w:r>
        <w:rPr>
          <w:rFonts w:hint="eastAsia" w:ascii="仿宋" w:hAnsi="仿宋" w:eastAsia="仿宋" w:cs="仿宋"/>
          <w:spacing w:val="6"/>
          <w:sz w:val="24"/>
          <w:highlight w:val="lightGray"/>
          <w:lang w:eastAsia="zh-CN"/>
        </w:rPr>
        <w:t>（</w:t>
      </w:r>
      <w:r>
        <w:rPr>
          <w:rFonts w:hint="eastAsia" w:ascii="仿宋" w:hAnsi="仿宋" w:eastAsia="仿宋" w:cs="仿宋"/>
          <w:spacing w:val="6"/>
          <w:sz w:val="24"/>
          <w:highlight w:val="lightGray"/>
        </w:rPr>
        <w:t>4.3 写出本标准与上位标准或其他相关标准相比较，主要技术指标的不同点，如：填补空白、在某标准的基础上细化、提升等。）</w:t>
      </w:r>
    </w:p>
    <w:p w14:paraId="3FDFF17E">
      <w:pPr>
        <w:spacing w:line="300" w:lineRule="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5  标准主要技术内容的论据或依据；修订标准时，应增加新、旧标准水平的对比情况</w:t>
      </w:r>
    </w:p>
    <w:p w14:paraId="616F755B">
      <w:pPr>
        <w:spacing w:line="300" w:lineRule="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5.1  标准主要技术内容的论据或依据</w:t>
      </w:r>
    </w:p>
    <w:p w14:paraId="50755C41">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（1）理论依据</w:t>
      </w:r>
    </w:p>
    <w:p w14:paraId="40EE29D2">
      <w:pPr>
        <w:numPr>
          <w:ilvl w:val="0"/>
          <w:numId w:val="0"/>
        </w:num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技术理论革新：采用流式细胞术是一种能够对悬浮于流体中的单个细胞或其他微小颗粒进行快速、多参数定量分析和分选的技术；实时荧光定量PCR检测技术是用荧光信号积累来实时监测整个PCR进程，最后通过特定的数学方法对未知模板的浓度或含量进行精确定量的分析技术；全自动细胞计数仪；免疫学检测技术基于抗原 - 抗体特异性结合反应，像酶联免疫吸附试验（ELISA）通过酶标记抗体或抗原，实现药物快速定量检测。这些新技术为样本存储检测提供了更精准的理论支撑。</w:t>
      </w:r>
    </w:p>
    <w:p w14:paraId="2041BB1C">
      <w:pPr>
        <w:numPr>
          <w:ilvl w:val="0"/>
          <w:numId w:val="0"/>
        </w:num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（2）试验依据</w:t>
      </w:r>
    </w:p>
    <w:p w14:paraId="69435C80">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方法验证试验：依据《人源干细胞产品非临床研究技术指导原则》、《脐带血造血干细胞库技术规范》、《人间充质干细胞药品生产和质量控制规范》、《细胞治疗产品生产检查指南2025》的要求对样本采集、制备、检测、存储过程进行全面验证。</w:t>
      </w:r>
      <w:r>
        <w:rPr>
          <w:rFonts w:hint="eastAsia" w:ascii="方正仿宋_GB2312" w:hAnsi="方正仿宋_GB2312" w:eastAsia="方正仿宋_GB2312" w:cs="方正仿宋_GB2312"/>
          <w:spacing w:val="6"/>
          <w:sz w:val="32"/>
          <w:szCs w:val="32"/>
          <w:highlight w:val="none"/>
          <w:lang w:val="en-US" w:eastAsia="zh-CN"/>
        </w:rPr>
        <w:t>通过多次重复试验，确定方法的可靠性。</w:t>
      </w:r>
    </w:p>
    <w:p w14:paraId="01EF190B">
      <w:pPr>
        <w:numPr>
          <w:ilvl w:val="0"/>
          <w:numId w:val="0"/>
        </w:num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（3）数据依据</w:t>
      </w:r>
    </w:p>
    <w:p w14:paraId="4076F227">
      <w:pPr>
        <w:numPr>
          <w:ilvl w:val="0"/>
          <w:numId w:val="0"/>
        </w:num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数据统计：整合大量存储样本的数据，不同年龄样本的培养细胞的生长能力、理化指标以及复苏活率的统计分析，为培养制备冻存方法提供稳定性依据。</w:t>
      </w:r>
    </w:p>
    <w:p w14:paraId="61C524AF">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质控数据分析：通过室内质控和室间比对的大量数据积累，评估检测系统的稳定性和准确性。室内质控中，对不同浓度质控品的检测数据进行统计分析，计算均值、标准差等指标；室间比对则通过与其他实验室检测结果对比，分析不同检测系统或方法之间的偏倚和一致性 ，从而优化检测流程和质量控制标准。</w:t>
      </w:r>
    </w:p>
    <w:p w14:paraId="04E5E11D">
      <w:pPr>
        <w:numPr>
          <w:ilvl w:val="0"/>
          <w:numId w:val="0"/>
        </w:num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（4）伦理和法律依据</w:t>
      </w:r>
    </w:p>
    <w:p w14:paraId="7277113D">
      <w:pPr>
        <w:numPr>
          <w:ilvl w:val="0"/>
          <w:numId w:val="0"/>
        </w:num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确保程序的合规性和可追溯性应遵守《世界卫生组织人体细胞、组织、器官移植指导原则》、《涉及人的生物医学研究伦理审查办法》、《中华人民共和国生物安全法2024》等法规，保障人权。围产期组织属于人体组织，采集和使用必须充分尊重捐献者的自主权。为每一份采集的组织样本赋予唯一编码，并与捐献者的基本健康信息关联。实现从“供者”到“最终细胞产品”的全程双向追溯，是质量管理体系的基本要求。</w:t>
      </w:r>
    </w:p>
    <w:p w14:paraId="16F8395D">
      <w:pPr>
        <w:numPr>
          <w:ilvl w:val="0"/>
          <w:numId w:val="0"/>
        </w:numPr>
        <w:spacing w:line="300" w:lineRule="auto"/>
        <w:ind w:firstLine="504" w:firstLineChars="200"/>
        <w:jc w:val="both"/>
        <w:rPr>
          <w:rFonts w:hint="eastAsia" w:ascii="仿宋" w:hAnsi="仿宋" w:eastAsia="仿宋" w:cs="仿宋"/>
          <w:spacing w:val="6"/>
          <w:sz w:val="24"/>
          <w:highlight w:val="none"/>
          <w:lang w:val="en-US" w:eastAsia="zh-CN"/>
        </w:rPr>
      </w:pPr>
    </w:p>
    <w:p w14:paraId="7CE89F64">
      <w:pPr>
        <w:spacing w:line="300" w:lineRule="auto"/>
        <w:rPr>
          <w:rFonts w:ascii="仿宋" w:hAnsi="仿宋" w:eastAsia="仿宋" w:cs="仿宋"/>
          <w:spacing w:val="6"/>
          <w:sz w:val="24"/>
          <w:highlight w:val="lightGray"/>
        </w:rPr>
      </w:pPr>
      <w:r>
        <w:rPr>
          <w:rFonts w:hint="eastAsia" w:ascii="仿宋" w:hAnsi="仿宋" w:eastAsia="仿宋" w:cs="仿宋"/>
          <w:spacing w:val="6"/>
          <w:sz w:val="24"/>
          <w:highlight w:val="lightGray"/>
        </w:rPr>
        <w:t>（论据如技术指标、参数、公式、性能要求、实验方法、检验规则等；依据包括试验、统计数据。</w:t>
      </w:r>
    </w:p>
    <w:p w14:paraId="3C442F30">
      <w:pPr>
        <w:spacing w:line="360" w:lineRule="auto"/>
        <w:ind w:firstLine="480" w:firstLineChars="200"/>
        <w:rPr>
          <w:rFonts w:ascii="仿宋" w:hAnsi="仿宋" w:eastAsia="仿宋" w:cs="仿宋"/>
          <w:spacing w:val="6"/>
          <w:sz w:val="24"/>
          <w:highlight w:val="lightGray"/>
        </w:rPr>
      </w:pPr>
      <w:r>
        <w:rPr>
          <w:rFonts w:hint="eastAsia" w:ascii="仿宋" w:hAnsi="仿宋" w:eastAsia="仿宋" w:cs="仿宋"/>
          <w:sz w:val="24"/>
          <w:highlight w:val="lightGray"/>
        </w:rPr>
        <w:t>说明标准的技术思路，明确主要技术内容及其确定依据，</w:t>
      </w:r>
      <w:r>
        <w:rPr>
          <w:rFonts w:hint="eastAsia" w:ascii="仿宋" w:hAnsi="仿宋" w:eastAsia="仿宋" w:cs="仿宋"/>
          <w:spacing w:val="6"/>
          <w:sz w:val="24"/>
          <w:highlight w:val="lightGray"/>
        </w:rPr>
        <w:t>主要编写“标准为什么这样规定”，可从以下四方面的角度编写：</w:t>
      </w:r>
    </w:p>
    <w:p w14:paraId="2E5C7408">
      <w:pPr>
        <w:spacing w:line="360" w:lineRule="auto"/>
        <w:ind w:firstLine="504" w:firstLineChars="200"/>
        <w:rPr>
          <w:rFonts w:ascii="仿宋" w:hAnsi="仿宋" w:eastAsia="仿宋" w:cs="仿宋"/>
          <w:spacing w:val="6"/>
          <w:sz w:val="24"/>
          <w:highlight w:val="lightGray"/>
        </w:rPr>
      </w:pPr>
      <w:r>
        <w:rPr>
          <w:rFonts w:hint="eastAsia" w:ascii="仿宋" w:hAnsi="仿宋" w:eastAsia="仿宋" w:cs="仿宋"/>
          <w:spacing w:val="6"/>
          <w:sz w:val="24"/>
          <w:highlight w:val="lightGray"/>
        </w:rPr>
        <w:t>一是理论依据，如新的原理、新的方案、新的模型、新的技术要求等；</w:t>
      </w:r>
    </w:p>
    <w:p w14:paraId="408DCD39">
      <w:pPr>
        <w:spacing w:line="360" w:lineRule="auto"/>
        <w:ind w:firstLine="504" w:firstLineChars="200"/>
        <w:rPr>
          <w:rFonts w:ascii="仿宋" w:hAnsi="仿宋" w:eastAsia="仿宋" w:cs="仿宋"/>
          <w:spacing w:val="6"/>
          <w:sz w:val="24"/>
          <w:highlight w:val="lightGray"/>
        </w:rPr>
      </w:pPr>
      <w:r>
        <w:rPr>
          <w:rFonts w:hint="eastAsia" w:ascii="仿宋" w:hAnsi="仿宋" w:eastAsia="仿宋" w:cs="仿宋"/>
          <w:spacing w:val="6"/>
          <w:sz w:val="24"/>
          <w:highlight w:val="lightGray"/>
        </w:rPr>
        <w:t>二是试验依据，例如试验验证情况及结论；</w:t>
      </w:r>
    </w:p>
    <w:p w14:paraId="25BD2CA1">
      <w:pPr>
        <w:spacing w:line="360" w:lineRule="auto"/>
        <w:ind w:firstLine="504" w:firstLineChars="200"/>
        <w:rPr>
          <w:rFonts w:ascii="仿宋" w:hAnsi="仿宋" w:eastAsia="仿宋" w:cs="仿宋"/>
          <w:spacing w:val="6"/>
          <w:sz w:val="24"/>
          <w:highlight w:val="lightGray"/>
        </w:rPr>
      </w:pPr>
      <w:r>
        <w:rPr>
          <w:rFonts w:hint="eastAsia" w:ascii="仿宋" w:hAnsi="仿宋" w:eastAsia="仿宋" w:cs="仿宋"/>
          <w:spacing w:val="6"/>
          <w:sz w:val="24"/>
          <w:highlight w:val="lightGray"/>
        </w:rPr>
        <w:t>三是数据依据，例如基于数据样本的统计分析结论；</w:t>
      </w:r>
    </w:p>
    <w:p w14:paraId="79F9995A">
      <w:pPr>
        <w:spacing w:line="360" w:lineRule="auto"/>
        <w:ind w:firstLine="504" w:firstLineChars="200"/>
        <w:rPr>
          <w:rFonts w:ascii="仿宋" w:hAnsi="仿宋" w:eastAsia="仿宋" w:cs="仿宋"/>
          <w:spacing w:val="6"/>
          <w:sz w:val="24"/>
          <w:highlight w:val="lightGray"/>
        </w:rPr>
      </w:pPr>
      <w:r>
        <w:rPr>
          <w:rFonts w:hint="eastAsia" w:ascii="仿宋" w:hAnsi="仿宋" w:eastAsia="仿宋" w:cs="仿宋"/>
          <w:spacing w:val="6"/>
          <w:sz w:val="24"/>
          <w:highlight w:val="lightGray"/>
        </w:rPr>
        <w:t>四是实践依据，例如经过多型产品应用验证获得结论、经验等。</w:t>
      </w:r>
    </w:p>
    <w:p w14:paraId="13993FB8">
      <w:pPr>
        <w:spacing w:line="360" w:lineRule="auto"/>
        <w:ind w:firstLine="504" w:firstLineChars="200"/>
        <w:rPr>
          <w:rFonts w:ascii="仿宋" w:hAnsi="仿宋" w:eastAsia="仿宋" w:cs="仿宋"/>
          <w:color w:val="000000" w:themeColor="text1"/>
          <w:spacing w:val="6"/>
          <w:sz w:val="24"/>
          <w:highlight w:val="lightGray"/>
          <w14:textFill>
            <w14:solidFill>
              <w14:schemeClr w14:val="tx1"/>
            </w14:solidFill>
          </w14:textFill>
        </w:rPr>
      </w:pPr>
      <w:r>
        <w:rPr>
          <w:rFonts w:hint="eastAsia" w:ascii="仿宋" w:hAnsi="仿宋" w:eastAsia="仿宋" w:cs="仿宋"/>
          <w:color w:val="000000" w:themeColor="text1"/>
          <w:spacing w:val="6"/>
          <w:sz w:val="24"/>
          <w:highlight w:val="lightGray"/>
          <w14:textFill>
            <w14:solidFill>
              <w14:schemeClr w14:val="tx1"/>
            </w14:solidFill>
          </w14:textFill>
        </w:rPr>
        <w:t>以上根据各标准的实际情况选择编写）</w:t>
      </w:r>
    </w:p>
    <w:p w14:paraId="4C109C43">
      <w:pPr>
        <w:spacing w:line="300" w:lineRule="auto"/>
        <w:rPr>
          <w:rFonts w:ascii="仿宋" w:hAnsi="仿宋" w:eastAsia="仿宋" w:cs="仿宋"/>
          <w:spacing w:val="6"/>
          <w:sz w:val="24"/>
        </w:rPr>
      </w:pPr>
    </w:p>
    <w:p w14:paraId="290547C3">
      <w:pPr>
        <w:spacing w:line="300" w:lineRule="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5.2  修订标准时，应增加新、旧标准水平的对比</w:t>
      </w:r>
    </w:p>
    <w:p w14:paraId="75680DCD">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（1）.技术指标提升</w:t>
      </w:r>
    </w:p>
    <w:p w14:paraId="38116B72">
      <w:pPr>
        <w:numPr>
          <w:ilvl w:val="0"/>
          <w:numId w:val="0"/>
        </w:num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旧标准主要聚焦于“采集”和“存储”两个相对独立的环节。 《围产期组织细胞采集制备存储技术规范》系统性地覆盖从供者评估、组织采集、细胞制备、质量检验到存储运输的全链条。进步点体现在从局部扩展到全局。新增“制备”这一核心环节，将原本割裂的环节串联成完整的、有机的质量管理体系，解决了以往标准“管两头不管中间”的关键缺陷，实现了真正意义上的全过程控制。</w:t>
      </w:r>
    </w:p>
    <w:p w14:paraId="336AC268">
      <w:pPr>
        <w:numPr>
          <w:ilvl w:val="0"/>
          <w:numId w:val="0"/>
        </w:num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（2）.检测内容扩展</w:t>
      </w:r>
    </w:p>
    <w:p w14:paraId="3B5B93DC">
      <w:pPr>
        <w:numPr>
          <w:ilvl w:val="0"/>
          <w:numId w:val="0"/>
        </w:num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旧标准质量控制指标较为单一，主要关注细胞活率、无菌、支原体等基础安全性指标。应该安全与效能并重。本规范在安全性指标基础上强化并细化了细胞身份鉴定（表面标志物）、纯度、功能性指标（如增殖能力、分化潜能） 等。质控理念从“保障存活”升级为“保障有效”。新增的效能指标确保了细胞产品的“身份真实性”和“功能有效性”。</w:t>
      </w:r>
    </w:p>
    <w:p w14:paraId="2BCC094D">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（3）.质量控制强化</w:t>
      </w:r>
    </w:p>
    <w:p w14:paraId="71264131">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旧标准质量控制体系相对简单，主要关注室内质控。新标准完善了质控管理标准，不仅细化室内质控实施方案（设立多浓度质控品、定期检测、数据分析及纠正措施），还强化了室间比对验证机制 ，要求定期参加省级室间质评，通过外部样本比对和内部样本比对，全面评估实验室检测能力，确保检测结果的准确性和一致性。</w:t>
      </w:r>
    </w:p>
    <w:p w14:paraId="7EF51528">
      <w:pPr>
        <w:spacing w:line="300" w:lineRule="auto"/>
        <w:rPr>
          <w:rFonts w:ascii="仿宋" w:hAnsi="仿宋" w:eastAsia="仿宋" w:cs="仿宋"/>
          <w:spacing w:val="6"/>
          <w:sz w:val="24"/>
        </w:rPr>
      </w:pPr>
    </w:p>
    <w:p w14:paraId="3EEA041F">
      <w:pPr>
        <w:spacing w:line="300" w:lineRule="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6  主要试验（验证）的分析、综述报告，技术经济论证，预期的经济效果</w:t>
      </w:r>
    </w:p>
    <w:p w14:paraId="075A539C">
      <w:pPr>
        <w:spacing w:line="300" w:lineRule="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6.1  主要试验（验证）的分析</w:t>
      </w:r>
    </w:p>
    <w:p w14:paraId="59FAB1D0">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(1). 分析方法验证试验</w:t>
      </w:r>
    </w:p>
    <w:p w14:paraId="72B1D81A">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 试验设计：依据《中国药典》2025年版通则、ICH Q2（R1）指导原则，对流式细胞术、qPCR、全自动细胞计数仪、ELISA、无菌检查等核心检测方法开展全面验证。针对不同组织类型（如胎盘组织、脐带组织），设计涵盖准确度、精密度、专属性、检测限（LOD）、定量限（LOQ）、线性范围等指标的验证方案。</w:t>
      </w:r>
    </w:p>
    <w:p w14:paraId="41199AE8">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 试验结果：在某脐带组织的样本安全性检测（无菌检测）中，无菌检查法的准确性100%，准确度100%之间；LOD达到100CFU/mL，专属性和重复性均满足药典要求。</w:t>
      </w:r>
    </w:p>
    <w:p w14:paraId="47F86F72">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 结论：验证后的方法符合检测要求，为标准中方法学参数的设定提供直接依据。</w:t>
      </w:r>
    </w:p>
    <w:p w14:paraId="6FA26E70">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(2). 样本适用性试验</w:t>
      </w:r>
    </w:p>
    <w:p w14:paraId="6C65CA8A">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 试验设计：收集不同年龄、孕周、新生儿性别等的围产期组织样本，针对不同来源的样本进行测试，评估样本处理流程（如保存液的选择、样本保存温度和时间）对检测结果的影响。同时，对比不同实验室对同一样本的检测结果，验证方法的重复性和再现性。</w:t>
      </w:r>
    </w:p>
    <w:p w14:paraId="0A48F0DB">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 试验结果：研究发现，保存于生理盐水中的样本在4℃保存24小时后，部分细胞活率下降超过20%，而保存于PBS中的样本稳定性更佳；多中心实验室比对显示，采用标准化操作流程后，检测结果一致性提升至98%以上。</w:t>
      </w:r>
    </w:p>
    <w:p w14:paraId="4EDA781E">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 结论：标准中明确规定样本采集、处理和保存的标准化流程，可有效降低检测误差。</w:t>
      </w:r>
    </w:p>
    <w:p w14:paraId="488D39EC">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(3). 质控体系有效性试验</w:t>
      </w:r>
    </w:p>
    <w:p w14:paraId="1D8D412F">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 试验设计：通过室内质控（IQC）和室间质量评价（EQA）验证质量控制体系。在IQC中，连续30天检测高、中、低浓度质控品；在EQA中，参与重庆市临检中心组织的室间质评活动，对比不同实验室检测结果。</w:t>
      </w:r>
    </w:p>
    <w:p w14:paraId="6DDFC120">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 试验结果：IQC数据显示，质控品检测结果均在±2SD范围内，失控率低于0.5%；EQA活动中，实验室在10个药物检测项目上的成绩均达到优秀（PT≥90%）。</w:t>
      </w:r>
    </w:p>
    <w:p w14:paraId="7F4349C5">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 结论：标准中提出的质控方案可有效保障检测结果的准确性和可靠性。</w:t>
      </w:r>
    </w:p>
    <w:p w14:paraId="1F449CC5">
      <w:pPr>
        <w:spacing w:line="300" w:lineRule="auto"/>
        <w:rPr>
          <w:rFonts w:hint="eastAsia" w:ascii="方正仿宋_GB2312" w:hAnsi="方正仿宋_GB2312" w:eastAsia="方正仿宋_GB2312" w:cs="方正仿宋_GB2312"/>
          <w:spacing w:val="6"/>
          <w:sz w:val="32"/>
          <w:szCs w:val="32"/>
          <w:highlight w:val="lightGray"/>
        </w:rPr>
      </w:pPr>
    </w:p>
    <w:p w14:paraId="1AC82746">
      <w:pPr>
        <w:spacing w:line="300" w:lineRule="auto"/>
        <w:rPr>
          <w:rFonts w:hint="eastAsia" w:ascii="方正仿宋_GB2312" w:hAnsi="方正仿宋_GB2312" w:eastAsia="方正仿宋_GB2312" w:cs="方正仿宋_GB2312"/>
          <w:spacing w:val="6"/>
          <w:sz w:val="32"/>
          <w:szCs w:val="32"/>
          <w:highlight w:val="lightGray"/>
        </w:rPr>
      </w:pPr>
      <w:r>
        <w:rPr>
          <w:rFonts w:hint="eastAsia" w:ascii="方正仿宋_GB2312" w:hAnsi="方正仿宋_GB2312" w:eastAsia="方正仿宋_GB2312" w:cs="方正仿宋_GB2312"/>
          <w:spacing w:val="6"/>
          <w:sz w:val="32"/>
          <w:szCs w:val="32"/>
          <w:highlight w:val="lightGray"/>
        </w:rPr>
        <w:t>（说明试验验证工作开展情况、试验验证报告或分析验证报告等。）</w:t>
      </w:r>
    </w:p>
    <w:p w14:paraId="5AAD2E5D">
      <w:pPr>
        <w:spacing w:line="300" w:lineRule="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6.2  综述报告</w:t>
      </w:r>
    </w:p>
    <w:p w14:paraId="0877AF5F">
      <w:pPr>
        <w:spacing w:line="300" w:lineRule="auto"/>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w:t>
      </w:r>
      <w:r>
        <w:rPr>
          <w:rFonts w:hint="eastAsia" w:ascii="方正仿宋_GB2312" w:hAnsi="方正仿宋_GB2312" w:eastAsia="方正仿宋_GB2312" w:cs="方正仿宋_GB2312"/>
          <w:b w:val="0"/>
          <w:bCs/>
          <w:sz w:val="32"/>
          <w:szCs w:val="32"/>
          <w:lang w:val="en-US" w:eastAsia="zh-CN"/>
        </w:rPr>
        <w:t>1</w:t>
      </w:r>
      <w:r>
        <w:rPr>
          <w:rFonts w:hint="eastAsia" w:ascii="方正仿宋_GB2312" w:hAnsi="方正仿宋_GB2312" w:eastAsia="方正仿宋_GB2312" w:cs="方正仿宋_GB2312"/>
          <w:b w:val="0"/>
          <w:bCs/>
          <w:sz w:val="32"/>
          <w:szCs w:val="32"/>
        </w:rPr>
        <w:t>）</w:t>
      </w:r>
      <w:r>
        <w:rPr>
          <w:rFonts w:hint="eastAsia" w:ascii="方正仿宋_GB2312" w:hAnsi="方正仿宋_GB2312" w:eastAsia="方正仿宋_GB2312" w:cs="方正仿宋_GB2312"/>
          <w:b w:val="0"/>
          <w:bCs/>
          <w:sz w:val="32"/>
          <w:szCs w:val="32"/>
          <w:lang w:val="en-US" w:eastAsia="zh-CN"/>
        </w:rPr>
        <w:t>.</w:t>
      </w:r>
      <w:r>
        <w:rPr>
          <w:rFonts w:hint="eastAsia" w:ascii="方正仿宋_GB2312" w:hAnsi="方正仿宋_GB2312" w:eastAsia="方正仿宋_GB2312" w:cs="方正仿宋_GB2312"/>
          <w:b w:val="0"/>
          <w:bCs/>
          <w:sz w:val="32"/>
          <w:szCs w:val="32"/>
        </w:rPr>
        <w:t>检测方法与验证</w:t>
      </w:r>
    </w:p>
    <w:p w14:paraId="4339E23F">
      <w:pPr>
        <w:spacing w:line="300" w:lineRule="auto"/>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lang w:val="en-US" w:eastAsia="zh-CN"/>
        </w:rPr>
        <w:t>用于物料、原材料和产品的检测方法均应经过验证或确认，确保检测结果可靠。检测与验证方法可</w:t>
      </w:r>
      <w:r>
        <w:rPr>
          <w:rFonts w:hint="eastAsia" w:ascii="方正仿宋_GB2312" w:hAnsi="方正仿宋_GB2312" w:eastAsia="方正仿宋_GB2312" w:cs="方正仿宋_GB2312"/>
          <w:b w:val="0"/>
          <w:bCs/>
          <w:sz w:val="32"/>
          <w:szCs w:val="32"/>
        </w:rPr>
        <w:t>参考《中国药典》</w:t>
      </w:r>
      <w:r>
        <w:rPr>
          <w:rFonts w:hint="eastAsia" w:ascii="方正仿宋_GB2312" w:hAnsi="方正仿宋_GB2312" w:eastAsia="方正仿宋_GB2312" w:cs="方正仿宋_GB2312"/>
          <w:b w:val="0"/>
          <w:bCs/>
          <w:sz w:val="32"/>
          <w:szCs w:val="32"/>
          <w:lang w:eastAsia="zh-CN"/>
        </w:rPr>
        <w:t>、</w:t>
      </w:r>
      <w:r>
        <w:rPr>
          <w:rFonts w:hint="eastAsia" w:ascii="方正仿宋_GB2312" w:hAnsi="方正仿宋_GB2312" w:eastAsia="方正仿宋_GB2312" w:cs="方正仿宋_GB2312"/>
          <w:b w:val="0"/>
          <w:bCs/>
          <w:sz w:val="32"/>
          <w:szCs w:val="32"/>
        </w:rPr>
        <w:t>ICH Q2</w:t>
      </w:r>
      <w:r>
        <w:rPr>
          <w:rFonts w:hint="eastAsia" w:ascii="方正仿宋_GB2312" w:hAnsi="方正仿宋_GB2312" w:eastAsia="方正仿宋_GB2312" w:cs="方正仿宋_GB2312"/>
          <w:b w:val="0"/>
          <w:bCs/>
          <w:sz w:val="32"/>
          <w:szCs w:val="32"/>
          <w:lang w:val="en-US" w:eastAsia="zh-CN"/>
        </w:rPr>
        <w:t>等文件要求</w:t>
      </w:r>
      <w:r>
        <w:rPr>
          <w:rFonts w:hint="eastAsia" w:ascii="方正仿宋_GB2312" w:hAnsi="方正仿宋_GB2312" w:eastAsia="方正仿宋_GB2312" w:cs="方正仿宋_GB2312"/>
          <w:b w:val="0"/>
          <w:bCs/>
          <w:sz w:val="32"/>
          <w:szCs w:val="32"/>
        </w:rPr>
        <w:t>，明确方法验证</w:t>
      </w:r>
      <w:r>
        <w:rPr>
          <w:rFonts w:hint="eastAsia" w:ascii="方正仿宋_GB2312" w:hAnsi="方正仿宋_GB2312" w:eastAsia="方正仿宋_GB2312" w:cs="方正仿宋_GB2312"/>
          <w:b w:val="0"/>
          <w:bCs/>
          <w:sz w:val="32"/>
          <w:szCs w:val="32"/>
          <w:lang w:val="en-US" w:eastAsia="zh-CN"/>
        </w:rPr>
        <w:t>的各项指标，如</w:t>
      </w:r>
      <w:r>
        <w:rPr>
          <w:rFonts w:hint="eastAsia" w:ascii="方正仿宋_GB2312" w:hAnsi="方正仿宋_GB2312" w:eastAsia="方正仿宋_GB2312" w:cs="方正仿宋_GB2312"/>
          <w:b w:val="0"/>
          <w:bCs/>
          <w:sz w:val="32"/>
          <w:szCs w:val="32"/>
        </w:rPr>
        <w:t>准确性、精密度、重复性、专属性、检测限与定量限等。</w:t>
      </w:r>
      <w:r>
        <w:rPr>
          <w:rFonts w:hint="eastAsia" w:ascii="方正仿宋_GB2312" w:hAnsi="方正仿宋_GB2312" w:eastAsia="方正仿宋_GB2312" w:cs="方正仿宋_GB2312"/>
          <w:b w:val="0"/>
          <w:bCs/>
          <w:sz w:val="32"/>
          <w:szCs w:val="32"/>
          <w:lang w:val="en-US" w:eastAsia="zh-CN"/>
        </w:rPr>
        <w:t>同时应</w:t>
      </w:r>
      <w:r>
        <w:rPr>
          <w:rFonts w:hint="eastAsia" w:ascii="方正仿宋_GB2312" w:hAnsi="方正仿宋_GB2312" w:eastAsia="方正仿宋_GB2312" w:cs="方正仿宋_GB2312"/>
          <w:b w:val="0"/>
          <w:bCs/>
          <w:sz w:val="32"/>
          <w:szCs w:val="32"/>
        </w:rPr>
        <w:t>结合</w:t>
      </w:r>
      <w:r>
        <w:rPr>
          <w:rFonts w:hint="eastAsia" w:ascii="方正仿宋_GB2312" w:hAnsi="方正仿宋_GB2312" w:eastAsia="方正仿宋_GB2312" w:cs="方正仿宋_GB2312"/>
          <w:b w:val="0"/>
          <w:bCs/>
          <w:sz w:val="32"/>
          <w:szCs w:val="32"/>
          <w:lang w:val="en-US" w:eastAsia="zh-CN"/>
        </w:rPr>
        <w:t>qPCR、流式细胞术、全自动细胞计数仪、ELISA</w:t>
      </w:r>
      <w:r>
        <w:rPr>
          <w:rFonts w:hint="eastAsia" w:ascii="方正仿宋_GB2312" w:hAnsi="方正仿宋_GB2312" w:eastAsia="方正仿宋_GB2312" w:cs="方正仿宋_GB2312"/>
          <w:b w:val="0"/>
          <w:bCs/>
          <w:sz w:val="32"/>
          <w:szCs w:val="32"/>
        </w:rPr>
        <w:t>等</w:t>
      </w:r>
      <w:r>
        <w:rPr>
          <w:rFonts w:hint="eastAsia" w:ascii="方正仿宋_GB2312" w:hAnsi="方正仿宋_GB2312" w:eastAsia="方正仿宋_GB2312" w:cs="方正仿宋_GB2312"/>
          <w:b w:val="0"/>
          <w:bCs/>
          <w:sz w:val="32"/>
          <w:szCs w:val="32"/>
          <w:lang w:val="en-US" w:eastAsia="zh-CN"/>
        </w:rPr>
        <w:t>先进</w:t>
      </w:r>
      <w:r>
        <w:rPr>
          <w:rFonts w:hint="eastAsia" w:ascii="方正仿宋_GB2312" w:hAnsi="方正仿宋_GB2312" w:eastAsia="方正仿宋_GB2312" w:cs="方正仿宋_GB2312"/>
          <w:b w:val="0"/>
          <w:bCs/>
          <w:sz w:val="32"/>
          <w:szCs w:val="32"/>
        </w:rPr>
        <w:t>技术特性，制定适用于</w:t>
      </w:r>
      <w:r>
        <w:rPr>
          <w:rFonts w:hint="eastAsia" w:ascii="方正仿宋_GB2312" w:hAnsi="方正仿宋_GB2312" w:eastAsia="方正仿宋_GB2312" w:cs="方正仿宋_GB2312"/>
          <w:b w:val="0"/>
          <w:bCs/>
          <w:sz w:val="32"/>
          <w:szCs w:val="32"/>
          <w:lang w:val="en-US" w:eastAsia="zh-CN"/>
        </w:rPr>
        <w:t>围产期组织</w:t>
      </w:r>
      <w:r>
        <w:rPr>
          <w:rFonts w:hint="eastAsia" w:ascii="方正仿宋_GB2312" w:hAnsi="方正仿宋_GB2312" w:eastAsia="方正仿宋_GB2312" w:cs="方正仿宋_GB2312"/>
          <w:b w:val="0"/>
          <w:bCs/>
          <w:sz w:val="32"/>
          <w:szCs w:val="32"/>
        </w:rPr>
        <w:t>样本的检测方法</w:t>
      </w:r>
      <w:r>
        <w:rPr>
          <w:rFonts w:hint="eastAsia" w:ascii="方正仿宋_GB2312" w:hAnsi="方正仿宋_GB2312" w:eastAsia="方正仿宋_GB2312" w:cs="方正仿宋_GB2312"/>
          <w:b w:val="0"/>
          <w:bCs/>
          <w:sz w:val="32"/>
          <w:szCs w:val="32"/>
          <w:lang w:val="en-US" w:eastAsia="zh-CN"/>
        </w:rPr>
        <w:t>及</w:t>
      </w:r>
      <w:r>
        <w:rPr>
          <w:rFonts w:hint="eastAsia" w:ascii="方正仿宋_GB2312" w:hAnsi="方正仿宋_GB2312" w:eastAsia="方正仿宋_GB2312" w:cs="方正仿宋_GB2312"/>
          <w:b w:val="0"/>
          <w:bCs/>
          <w:sz w:val="32"/>
          <w:szCs w:val="32"/>
        </w:rPr>
        <w:t>验证流程，</w:t>
      </w:r>
      <w:r>
        <w:rPr>
          <w:rFonts w:hint="eastAsia" w:ascii="方正仿宋_GB2312" w:hAnsi="方正仿宋_GB2312" w:eastAsia="方正仿宋_GB2312" w:cs="方正仿宋_GB2312"/>
          <w:b w:val="0"/>
          <w:bCs/>
          <w:sz w:val="32"/>
          <w:szCs w:val="32"/>
          <w:lang w:val="en-US" w:eastAsia="zh-CN"/>
        </w:rPr>
        <w:t>同时应进行方法学可比性研究，</w:t>
      </w:r>
      <w:r>
        <w:rPr>
          <w:rFonts w:hint="eastAsia" w:ascii="方正仿宋_GB2312" w:hAnsi="方正仿宋_GB2312" w:eastAsia="方正仿宋_GB2312" w:cs="方正仿宋_GB2312"/>
          <w:b w:val="0"/>
          <w:bCs/>
          <w:sz w:val="32"/>
          <w:szCs w:val="32"/>
        </w:rPr>
        <w:t>确保检测结果的</w:t>
      </w:r>
      <w:r>
        <w:rPr>
          <w:rFonts w:hint="eastAsia" w:ascii="方正仿宋_GB2312" w:hAnsi="方正仿宋_GB2312" w:eastAsia="方正仿宋_GB2312" w:cs="方正仿宋_GB2312"/>
          <w:b w:val="0"/>
          <w:bCs/>
          <w:sz w:val="32"/>
          <w:szCs w:val="32"/>
          <w:lang w:val="en-US" w:eastAsia="zh-CN"/>
        </w:rPr>
        <w:t>灵敏度与准确性</w:t>
      </w:r>
      <w:r>
        <w:rPr>
          <w:rFonts w:hint="eastAsia" w:ascii="方正仿宋_GB2312" w:hAnsi="方正仿宋_GB2312" w:eastAsia="方正仿宋_GB2312" w:cs="方正仿宋_GB2312"/>
          <w:b w:val="0"/>
          <w:bCs/>
          <w:sz w:val="32"/>
          <w:szCs w:val="32"/>
        </w:rPr>
        <w:t>。</w:t>
      </w:r>
    </w:p>
    <w:p w14:paraId="23F615D2">
      <w:pPr>
        <w:spacing w:line="300" w:lineRule="auto"/>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w:t>
      </w:r>
      <w:r>
        <w:rPr>
          <w:rFonts w:hint="eastAsia" w:ascii="方正仿宋_GB2312" w:hAnsi="方正仿宋_GB2312" w:eastAsia="方正仿宋_GB2312" w:cs="方正仿宋_GB2312"/>
          <w:b w:val="0"/>
          <w:bCs/>
          <w:sz w:val="32"/>
          <w:szCs w:val="32"/>
          <w:lang w:val="en-US" w:eastAsia="zh-CN"/>
        </w:rPr>
        <w:t>2</w:t>
      </w:r>
      <w:r>
        <w:rPr>
          <w:rFonts w:hint="eastAsia" w:ascii="方正仿宋_GB2312" w:hAnsi="方正仿宋_GB2312" w:eastAsia="方正仿宋_GB2312" w:cs="方正仿宋_GB2312"/>
          <w:b w:val="0"/>
          <w:bCs/>
          <w:sz w:val="32"/>
          <w:szCs w:val="32"/>
        </w:rPr>
        <w:t>）</w:t>
      </w:r>
      <w:r>
        <w:rPr>
          <w:rFonts w:hint="eastAsia" w:ascii="方正仿宋_GB2312" w:hAnsi="方正仿宋_GB2312" w:eastAsia="方正仿宋_GB2312" w:cs="方正仿宋_GB2312"/>
          <w:b w:val="0"/>
          <w:bCs/>
          <w:sz w:val="32"/>
          <w:szCs w:val="32"/>
          <w:lang w:val="en-US" w:eastAsia="zh-CN"/>
        </w:rPr>
        <w:t>.</w:t>
      </w:r>
      <w:r>
        <w:rPr>
          <w:rFonts w:hint="eastAsia" w:ascii="方正仿宋_GB2312" w:hAnsi="方正仿宋_GB2312" w:eastAsia="方正仿宋_GB2312" w:cs="方正仿宋_GB2312"/>
          <w:b w:val="0"/>
          <w:bCs/>
          <w:sz w:val="32"/>
          <w:szCs w:val="32"/>
        </w:rPr>
        <w:t>质量控制体系</w:t>
      </w:r>
    </w:p>
    <w:p w14:paraId="1F129F0A">
      <w:pPr>
        <w:spacing w:line="300" w:lineRule="auto"/>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构建涵盖室内质控（IQC）与室间质量评价（EQA）的全流程质量控制体系。参考国家临检中心室间质评标准，制定临床药物分析实验室的定期比对方案，确保不同实验室间检测结果的可比性。同时，结合信息化技术，建立检测数据的实时监控与追溯机制，保障数据完整性与可溯源性。</w:t>
      </w:r>
    </w:p>
    <w:p w14:paraId="4FF53378">
      <w:pPr>
        <w:spacing w:line="300" w:lineRule="auto"/>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w:t>
      </w:r>
      <w:r>
        <w:rPr>
          <w:rFonts w:hint="eastAsia" w:ascii="方正仿宋_GB2312" w:hAnsi="方正仿宋_GB2312" w:eastAsia="方正仿宋_GB2312" w:cs="方正仿宋_GB2312"/>
          <w:b w:val="0"/>
          <w:bCs/>
          <w:sz w:val="32"/>
          <w:szCs w:val="32"/>
          <w:lang w:val="en-US" w:eastAsia="zh-CN"/>
        </w:rPr>
        <w:t>3</w:t>
      </w:r>
      <w:r>
        <w:rPr>
          <w:rFonts w:hint="eastAsia" w:ascii="方正仿宋_GB2312" w:hAnsi="方正仿宋_GB2312" w:eastAsia="方正仿宋_GB2312" w:cs="方正仿宋_GB2312"/>
          <w:b w:val="0"/>
          <w:bCs/>
          <w:sz w:val="32"/>
          <w:szCs w:val="32"/>
        </w:rPr>
        <w:t>）</w:t>
      </w:r>
      <w:r>
        <w:rPr>
          <w:rFonts w:hint="eastAsia" w:ascii="方正仿宋_GB2312" w:hAnsi="方正仿宋_GB2312" w:eastAsia="方正仿宋_GB2312" w:cs="方正仿宋_GB2312"/>
          <w:b w:val="0"/>
          <w:bCs/>
          <w:sz w:val="32"/>
          <w:szCs w:val="32"/>
          <w:lang w:val="en-US" w:eastAsia="zh-CN"/>
        </w:rPr>
        <w:t>.</w:t>
      </w:r>
      <w:r>
        <w:rPr>
          <w:rFonts w:hint="eastAsia" w:ascii="方正仿宋_GB2312" w:hAnsi="方正仿宋_GB2312" w:eastAsia="方正仿宋_GB2312" w:cs="方正仿宋_GB2312"/>
          <w:b w:val="0"/>
          <w:bCs/>
          <w:sz w:val="32"/>
          <w:szCs w:val="32"/>
        </w:rPr>
        <w:t>技术指标提升</w:t>
      </w:r>
    </w:p>
    <w:p w14:paraId="23DF661C">
      <w:pPr>
        <w:spacing w:line="300" w:lineRule="auto"/>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相比现行标准，本草案进一步明确</w:t>
      </w:r>
      <w:r>
        <w:rPr>
          <w:rFonts w:hint="eastAsia" w:ascii="方正仿宋_GB2312" w:hAnsi="方正仿宋_GB2312" w:eastAsia="方正仿宋_GB2312" w:cs="方正仿宋_GB2312"/>
          <w:b w:val="0"/>
          <w:bCs/>
          <w:sz w:val="32"/>
          <w:szCs w:val="32"/>
          <w:lang w:val="en-US" w:eastAsia="zh-CN"/>
        </w:rPr>
        <w:t>流式细胞术、ELISA、全自动细胞计数仪、qPCR</w:t>
      </w:r>
      <w:r>
        <w:rPr>
          <w:rFonts w:hint="eastAsia" w:ascii="方正仿宋_GB2312" w:hAnsi="方正仿宋_GB2312" w:eastAsia="方正仿宋_GB2312" w:cs="方正仿宋_GB2312"/>
          <w:b w:val="0"/>
          <w:bCs/>
          <w:sz w:val="32"/>
          <w:szCs w:val="32"/>
        </w:rPr>
        <w:t>等先进技术的应用规范，提高检测灵敏度与特异性。例如，针对生物样本中</w:t>
      </w:r>
      <w:r>
        <w:rPr>
          <w:rFonts w:hint="eastAsia" w:ascii="方正仿宋_GB2312" w:hAnsi="方正仿宋_GB2312" w:eastAsia="方正仿宋_GB2312" w:cs="方正仿宋_GB2312"/>
          <w:b w:val="0"/>
          <w:bCs/>
          <w:sz w:val="32"/>
          <w:szCs w:val="32"/>
          <w:lang w:val="en-US" w:eastAsia="zh-CN"/>
        </w:rPr>
        <w:t>安全性检测</w:t>
      </w:r>
      <w:r>
        <w:rPr>
          <w:rFonts w:hint="eastAsia" w:ascii="方正仿宋_GB2312" w:hAnsi="方正仿宋_GB2312" w:eastAsia="方正仿宋_GB2312" w:cs="方正仿宋_GB2312"/>
          <w:b w:val="0"/>
          <w:bCs/>
          <w:sz w:val="32"/>
          <w:szCs w:val="32"/>
        </w:rPr>
        <w:t>，</w:t>
      </w:r>
      <w:r>
        <w:rPr>
          <w:rFonts w:hint="eastAsia" w:ascii="方正仿宋_GB2312" w:hAnsi="方正仿宋_GB2312" w:eastAsia="方正仿宋_GB2312" w:cs="方正仿宋_GB2312"/>
          <w:b w:val="0"/>
          <w:bCs/>
          <w:sz w:val="32"/>
          <w:szCs w:val="32"/>
          <w:lang w:val="en-US" w:eastAsia="zh-CN"/>
        </w:rPr>
        <w:t>药典方法需要14天才能出具报告，但是通过qPCR</w:t>
      </w:r>
      <w:r>
        <w:rPr>
          <w:rFonts w:hint="eastAsia" w:ascii="方正仿宋_GB2312" w:hAnsi="方正仿宋_GB2312" w:eastAsia="方正仿宋_GB2312" w:cs="方正仿宋_GB2312"/>
          <w:b w:val="0"/>
          <w:bCs/>
          <w:sz w:val="32"/>
          <w:szCs w:val="32"/>
        </w:rPr>
        <w:t>方法</w:t>
      </w:r>
      <w:r>
        <w:rPr>
          <w:rFonts w:hint="eastAsia" w:ascii="方正仿宋_GB2312" w:hAnsi="方正仿宋_GB2312" w:eastAsia="方正仿宋_GB2312" w:cs="方正仿宋_GB2312"/>
          <w:b w:val="0"/>
          <w:bCs/>
          <w:sz w:val="32"/>
          <w:szCs w:val="32"/>
          <w:lang w:eastAsia="zh-CN"/>
        </w:rPr>
        <w:t>，</w:t>
      </w:r>
      <w:r>
        <w:rPr>
          <w:rFonts w:hint="eastAsia" w:ascii="方正仿宋_GB2312" w:hAnsi="方正仿宋_GB2312" w:eastAsia="方正仿宋_GB2312" w:cs="方正仿宋_GB2312"/>
          <w:b w:val="0"/>
          <w:bCs/>
          <w:sz w:val="32"/>
          <w:szCs w:val="32"/>
          <w:lang w:val="en-US" w:eastAsia="zh-CN"/>
        </w:rPr>
        <w:t>可在几小时内</w:t>
      </w:r>
      <w:r>
        <w:rPr>
          <w:rFonts w:hint="eastAsia" w:ascii="方正仿宋_GB2312" w:hAnsi="方正仿宋_GB2312" w:eastAsia="方正仿宋_GB2312" w:cs="方正仿宋_GB2312"/>
          <w:b w:val="0"/>
          <w:bCs/>
          <w:sz w:val="32"/>
          <w:szCs w:val="32"/>
        </w:rPr>
        <w:t>检出，满足</w:t>
      </w:r>
      <w:r>
        <w:rPr>
          <w:rFonts w:hint="eastAsia" w:ascii="方正仿宋_GB2312" w:hAnsi="方正仿宋_GB2312" w:eastAsia="方正仿宋_GB2312" w:cs="方正仿宋_GB2312"/>
          <w:b w:val="0"/>
          <w:bCs/>
          <w:sz w:val="32"/>
          <w:szCs w:val="32"/>
          <w:lang w:val="en-US" w:eastAsia="zh-CN"/>
        </w:rPr>
        <w:t>生物制品有效期短、需快速检测放行的</w:t>
      </w:r>
      <w:r>
        <w:rPr>
          <w:rFonts w:hint="eastAsia" w:ascii="方正仿宋_GB2312" w:hAnsi="方正仿宋_GB2312" w:eastAsia="方正仿宋_GB2312" w:cs="方正仿宋_GB2312"/>
          <w:b w:val="0"/>
          <w:bCs/>
          <w:sz w:val="32"/>
          <w:szCs w:val="32"/>
        </w:rPr>
        <w:t>需求。</w:t>
      </w:r>
    </w:p>
    <w:p w14:paraId="1CBF6BCF">
      <w:pPr>
        <w:spacing w:line="300" w:lineRule="auto"/>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w:t>
      </w:r>
      <w:r>
        <w:rPr>
          <w:rFonts w:hint="eastAsia" w:ascii="方正仿宋_GB2312" w:hAnsi="方正仿宋_GB2312" w:eastAsia="方正仿宋_GB2312" w:cs="方正仿宋_GB2312"/>
          <w:b w:val="0"/>
          <w:bCs/>
          <w:sz w:val="32"/>
          <w:szCs w:val="32"/>
          <w:lang w:val="en-US" w:eastAsia="zh-CN"/>
        </w:rPr>
        <w:t>4</w:t>
      </w:r>
      <w:r>
        <w:rPr>
          <w:rFonts w:hint="eastAsia" w:ascii="方正仿宋_GB2312" w:hAnsi="方正仿宋_GB2312" w:eastAsia="方正仿宋_GB2312" w:cs="方正仿宋_GB2312"/>
          <w:b w:val="0"/>
          <w:bCs/>
          <w:sz w:val="32"/>
          <w:szCs w:val="32"/>
        </w:rPr>
        <w:t>）</w:t>
      </w:r>
      <w:r>
        <w:rPr>
          <w:rFonts w:hint="eastAsia" w:ascii="方正仿宋_GB2312" w:hAnsi="方正仿宋_GB2312" w:eastAsia="方正仿宋_GB2312" w:cs="方正仿宋_GB2312"/>
          <w:b w:val="0"/>
          <w:bCs/>
          <w:sz w:val="32"/>
          <w:szCs w:val="32"/>
          <w:lang w:val="en-US" w:eastAsia="zh-CN"/>
        </w:rPr>
        <w:t>.样本</w:t>
      </w:r>
      <w:r>
        <w:rPr>
          <w:rFonts w:hint="eastAsia" w:ascii="方正仿宋_GB2312" w:hAnsi="方正仿宋_GB2312" w:eastAsia="方正仿宋_GB2312" w:cs="方正仿宋_GB2312"/>
          <w:b w:val="0"/>
          <w:bCs/>
          <w:sz w:val="32"/>
          <w:szCs w:val="32"/>
        </w:rPr>
        <w:t>适用性增强</w:t>
      </w:r>
    </w:p>
    <w:p w14:paraId="524FCE13">
      <w:pPr>
        <w:spacing w:line="300" w:lineRule="auto"/>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立足</w:t>
      </w:r>
      <w:r>
        <w:rPr>
          <w:rFonts w:hint="eastAsia" w:ascii="方正仿宋_GB2312" w:hAnsi="方正仿宋_GB2312" w:eastAsia="方正仿宋_GB2312" w:cs="方正仿宋_GB2312"/>
          <w:b w:val="0"/>
          <w:bCs/>
          <w:sz w:val="32"/>
          <w:szCs w:val="32"/>
          <w:lang w:val="en-US" w:eastAsia="zh-CN"/>
        </w:rPr>
        <w:t>生物制品检测</w:t>
      </w:r>
      <w:r>
        <w:rPr>
          <w:rFonts w:hint="eastAsia" w:ascii="方正仿宋_GB2312" w:hAnsi="方正仿宋_GB2312" w:eastAsia="方正仿宋_GB2312" w:cs="方正仿宋_GB2312"/>
          <w:b w:val="0"/>
          <w:bCs/>
          <w:sz w:val="32"/>
          <w:szCs w:val="32"/>
        </w:rPr>
        <w:t>实际需求，新增真实世界研究相关检测要求。参考真实世界数据（RWD）与真实世界证据（RWE）的应用指南，规范</w:t>
      </w:r>
      <w:r>
        <w:rPr>
          <w:rFonts w:hint="eastAsia" w:ascii="方正仿宋_GB2312" w:hAnsi="方正仿宋_GB2312" w:eastAsia="方正仿宋_GB2312" w:cs="方正仿宋_GB2312"/>
          <w:b w:val="0"/>
          <w:bCs/>
          <w:sz w:val="32"/>
          <w:szCs w:val="32"/>
          <w:lang w:val="en-US" w:eastAsia="zh-CN"/>
        </w:rPr>
        <w:t>实际检测</w:t>
      </w:r>
      <w:r>
        <w:rPr>
          <w:rFonts w:hint="eastAsia" w:ascii="方正仿宋_GB2312" w:hAnsi="方正仿宋_GB2312" w:eastAsia="方正仿宋_GB2312" w:cs="方正仿宋_GB2312"/>
          <w:b w:val="0"/>
          <w:bCs/>
          <w:sz w:val="32"/>
          <w:szCs w:val="32"/>
        </w:rPr>
        <w:t>监测中</w:t>
      </w:r>
      <w:r>
        <w:rPr>
          <w:rFonts w:hint="eastAsia" w:ascii="方正仿宋_GB2312" w:hAnsi="方正仿宋_GB2312" w:eastAsia="方正仿宋_GB2312" w:cs="方正仿宋_GB2312"/>
          <w:b w:val="0"/>
          <w:bCs/>
          <w:sz w:val="32"/>
          <w:szCs w:val="32"/>
          <w:lang w:val="en-US" w:eastAsia="zh-CN"/>
        </w:rPr>
        <w:t>的</w:t>
      </w:r>
      <w:r>
        <w:rPr>
          <w:rFonts w:hint="eastAsia" w:ascii="方正仿宋_GB2312" w:hAnsi="方正仿宋_GB2312" w:eastAsia="方正仿宋_GB2312" w:cs="方正仿宋_GB2312"/>
          <w:b w:val="0"/>
          <w:bCs/>
          <w:sz w:val="32"/>
          <w:szCs w:val="32"/>
        </w:rPr>
        <w:t>数据采集、分析与报告流程，为</w:t>
      </w:r>
      <w:r>
        <w:rPr>
          <w:rFonts w:hint="eastAsia" w:ascii="方正仿宋_GB2312" w:hAnsi="方正仿宋_GB2312" w:eastAsia="方正仿宋_GB2312" w:cs="方正仿宋_GB2312"/>
          <w:b w:val="0"/>
          <w:bCs/>
          <w:sz w:val="32"/>
          <w:szCs w:val="32"/>
          <w:lang w:val="en-US" w:eastAsia="zh-CN"/>
        </w:rPr>
        <w:t>生物安全、稳定性</w:t>
      </w:r>
      <w:r>
        <w:rPr>
          <w:rFonts w:hint="eastAsia" w:ascii="方正仿宋_GB2312" w:hAnsi="方正仿宋_GB2312" w:eastAsia="方正仿宋_GB2312" w:cs="方正仿宋_GB2312"/>
          <w:b w:val="0"/>
          <w:bCs/>
          <w:sz w:val="32"/>
          <w:szCs w:val="32"/>
        </w:rPr>
        <w:t>评估和监管决策提供更充分的证据支持 。</w:t>
      </w:r>
    </w:p>
    <w:p w14:paraId="5A96055B">
      <w:pPr>
        <w:spacing w:line="300" w:lineRule="auto"/>
        <w:ind w:firstLine="640" w:firstLineChars="200"/>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标准编制，紧密结合国家法规、技术发展与实践需求，通过整合现行标准、引入先进技术、强化</w:t>
      </w:r>
      <w:r>
        <w:rPr>
          <w:rFonts w:hint="eastAsia" w:ascii="方正仿宋_GB2312" w:hAnsi="方正仿宋_GB2312" w:eastAsia="方正仿宋_GB2312" w:cs="方正仿宋_GB2312"/>
          <w:b w:val="0"/>
          <w:bCs/>
          <w:sz w:val="32"/>
          <w:szCs w:val="32"/>
          <w:lang w:val="en-US" w:eastAsia="zh-CN"/>
        </w:rPr>
        <w:t>结果</w:t>
      </w:r>
      <w:r>
        <w:rPr>
          <w:rFonts w:hint="eastAsia" w:ascii="方正仿宋_GB2312" w:hAnsi="方正仿宋_GB2312" w:eastAsia="方正仿宋_GB2312" w:cs="方正仿宋_GB2312"/>
          <w:b w:val="0"/>
          <w:bCs/>
          <w:sz w:val="32"/>
          <w:szCs w:val="32"/>
        </w:rPr>
        <w:t>导向，构建了一套科学、规范的通用技术体系。本标准的实施将有助于提升</w:t>
      </w:r>
      <w:r>
        <w:rPr>
          <w:rFonts w:hint="eastAsia" w:ascii="方正仿宋_GB2312" w:hAnsi="方正仿宋_GB2312" w:eastAsia="方正仿宋_GB2312" w:cs="方正仿宋_GB2312"/>
          <w:b w:val="0"/>
          <w:bCs/>
          <w:sz w:val="32"/>
          <w:szCs w:val="32"/>
          <w:lang w:val="en-US" w:eastAsia="zh-CN"/>
        </w:rPr>
        <w:t>围产期组织</w:t>
      </w:r>
      <w:r>
        <w:rPr>
          <w:rFonts w:hint="eastAsia" w:ascii="方正仿宋_GB2312" w:hAnsi="方正仿宋_GB2312" w:eastAsia="方正仿宋_GB2312" w:cs="方正仿宋_GB2312"/>
          <w:b w:val="0"/>
          <w:bCs/>
          <w:sz w:val="32"/>
          <w:szCs w:val="32"/>
        </w:rPr>
        <w:t>分析检测质量，推动</w:t>
      </w:r>
      <w:r>
        <w:rPr>
          <w:rFonts w:hint="eastAsia" w:ascii="方正仿宋_GB2312" w:hAnsi="方正仿宋_GB2312" w:eastAsia="方正仿宋_GB2312" w:cs="方正仿宋_GB2312"/>
          <w:b w:val="0"/>
          <w:bCs/>
          <w:sz w:val="32"/>
          <w:szCs w:val="32"/>
          <w:lang w:val="en-US" w:eastAsia="zh-CN"/>
        </w:rPr>
        <w:t>生物制品</w:t>
      </w:r>
      <w:r>
        <w:rPr>
          <w:rFonts w:hint="eastAsia" w:ascii="方正仿宋_GB2312" w:hAnsi="方正仿宋_GB2312" w:eastAsia="方正仿宋_GB2312" w:cs="方正仿宋_GB2312"/>
          <w:b w:val="0"/>
          <w:bCs/>
          <w:sz w:val="32"/>
          <w:szCs w:val="32"/>
        </w:rPr>
        <w:t>发展，为保障</w:t>
      </w:r>
      <w:r>
        <w:rPr>
          <w:rFonts w:hint="eastAsia" w:ascii="方正仿宋_GB2312" w:hAnsi="方正仿宋_GB2312" w:eastAsia="方正仿宋_GB2312" w:cs="方正仿宋_GB2312"/>
          <w:b w:val="0"/>
          <w:bCs/>
          <w:sz w:val="32"/>
          <w:szCs w:val="32"/>
          <w:lang w:val="en-US" w:eastAsia="zh-CN"/>
        </w:rPr>
        <w:t>生物</w:t>
      </w:r>
      <w:r>
        <w:rPr>
          <w:rFonts w:hint="eastAsia" w:ascii="方正仿宋_GB2312" w:hAnsi="方正仿宋_GB2312" w:eastAsia="方正仿宋_GB2312" w:cs="方正仿宋_GB2312"/>
          <w:b w:val="0"/>
          <w:bCs/>
          <w:sz w:val="32"/>
          <w:szCs w:val="32"/>
        </w:rPr>
        <w:t>安全提供重要支撑。未来需进一步结合实践反馈，持续优化标准内容，确保其有效性与前瞻性。</w:t>
      </w:r>
    </w:p>
    <w:p w14:paraId="3EDB62E4">
      <w:pPr>
        <w:spacing w:line="300" w:lineRule="auto"/>
        <w:rPr>
          <w:rFonts w:hint="eastAsia" w:ascii="方正仿宋_GB2312" w:hAnsi="方正仿宋_GB2312" w:eastAsia="方正仿宋_GB2312" w:cs="方正仿宋_GB2312"/>
          <w:spacing w:val="6"/>
          <w:sz w:val="32"/>
          <w:szCs w:val="32"/>
        </w:rPr>
      </w:pPr>
    </w:p>
    <w:p w14:paraId="3C06BBA2">
      <w:pPr>
        <w:spacing w:line="300" w:lineRule="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6.3  技术经济论证</w:t>
      </w:r>
    </w:p>
    <w:p w14:paraId="4DB1B2A4">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(1). 技术可行性</w:t>
      </w:r>
    </w:p>
    <w:p w14:paraId="0DA53201">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 现有技术基础：国内三甲医院、第三方检测机构已广泛配备流式细胞仪、qPCR、全自动细胞计数仪、酶标仪等先进设备，具备执行标准的硬件条件；高校和科研机构在细胞分析领域的技术储备（如新型样本前处理技术、人工智能辅助数据分析）为标准实施提供技术支持。</w:t>
      </w:r>
    </w:p>
    <w:p w14:paraId="2CC64E03">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 技术难点突破：针对不同来源样本复杂性导致的检测干扰问题，通过优化前处理流程（如稳定的制备工艺、筛选一致的细胞样本），有效解决基质效应；通过建立标准化操作流程（SOP），降低不同实验室间的技术差异。</w:t>
      </w:r>
    </w:p>
    <w:p w14:paraId="2B6260B5">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(2). 经济合理性</w:t>
      </w:r>
    </w:p>
    <w:p w14:paraId="74D0BE3B">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 成本分析：</w:t>
      </w:r>
    </w:p>
    <w:p w14:paraId="27B2B885">
      <w:pPr>
        <w:numPr>
          <w:ilvl w:val="0"/>
          <w:numId w:val="0"/>
        </w:num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u w:val="none"/>
          <w:lang w:val="en-US" w:eastAsia="zh-CN"/>
          <w14:textFill>
            <w14:solidFill>
              <w14:schemeClr w14:val="tx1"/>
            </w14:solidFill>
          </w14:textFill>
        </w:rPr>
      </w:pPr>
      <w:r>
        <w:rPr>
          <w:rFonts w:hint="eastAsia" w:ascii="方正仿宋_GB2312" w:hAnsi="方正仿宋_GB2312" w:eastAsia="方正仿宋_GB2312" w:cs="方正仿宋_GB2312"/>
          <w:spacing w:val="6"/>
          <w:sz w:val="32"/>
          <w:szCs w:val="32"/>
          <w:highlight w:val="none"/>
          <w:lang w:val="en-US" w:eastAsia="zh-CN"/>
        </w:rPr>
        <w:t>• 前期投入：</w:t>
      </w: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围产期组织细胞采集、制备、检测及储存设备</w:t>
      </w:r>
      <w:r>
        <w:rPr>
          <w:rFonts w:hint="eastAsia" w:ascii="方正仿宋_GB2312" w:hAnsi="方正仿宋_GB2312" w:eastAsia="方正仿宋_GB2312" w:cs="方正仿宋_GB2312"/>
          <w:color w:val="000000" w:themeColor="text1"/>
          <w:spacing w:val="6"/>
          <w:sz w:val="32"/>
          <w:szCs w:val="32"/>
          <w:highlight w:val="none"/>
          <w:u w:val="none"/>
          <w:lang w:val="en-US" w:eastAsia="zh-CN"/>
          <w14:textFill>
            <w14:solidFill>
              <w14:schemeClr w14:val="tx1"/>
            </w14:solidFill>
          </w14:textFill>
        </w:rPr>
        <w:t>一次性购置成本约100 - 150万元（如流式细胞仪、qPCR设备、液氮罐等），洁净实验室改造及人员培训费用约50 - 100万元。</w:t>
      </w:r>
    </w:p>
    <w:p w14:paraId="6280A487">
      <w:pPr>
        <w:numPr>
          <w:ilvl w:val="0"/>
          <w:numId w:val="0"/>
        </w:num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6"/>
          <w:sz w:val="32"/>
          <w:szCs w:val="32"/>
          <w:highlight w:val="none"/>
          <w:u w:val="none"/>
          <w:lang w:val="en-US" w:eastAsia="zh-CN"/>
          <w14:textFill>
            <w14:solidFill>
              <w14:schemeClr w14:val="tx1"/>
            </w14:solidFill>
          </w14:textFill>
        </w:rPr>
        <w:t>• 运行成本：单次检测试剂成本约150 - 200元/例，质控品</w:t>
      </w: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和耗材成本约占检测费用的55% - 65%。</w:t>
      </w:r>
    </w:p>
    <w:p w14:paraId="2108BCC9">
      <w:pPr>
        <w:numPr>
          <w:ilvl w:val="0"/>
          <w:numId w:val="0"/>
        </w:num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 收益分析：</w:t>
      </w:r>
    </w:p>
    <w:p w14:paraId="3CE4E876">
      <w:pPr>
        <w:numPr>
          <w:ilvl w:val="0"/>
          <w:numId w:val="0"/>
        </w:num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u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 直接收益：</w:t>
      </w:r>
      <w:r>
        <w:rPr>
          <w:rFonts w:hint="eastAsia" w:ascii="方正仿宋_GB2312" w:hAnsi="方正仿宋_GB2312" w:eastAsia="方正仿宋_GB2312" w:cs="方正仿宋_GB2312"/>
          <w:color w:val="000000" w:themeColor="text1"/>
          <w:spacing w:val="6"/>
          <w:sz w:val="32"/>
          <w:szCs w:val="32"/>
          <w:highlight w:val="none"/>
          <w:u w:val="none"/>
          <w:lang w:val="en-US" w:eastAsia="zh-CN"/>
          <w14:textFill>
            <w14:solidFill>
              <w14:schemeClr w14:val="tx1"/>
            </w14:solidFill>
          </w14:textFill>
        </w:rPr>
        <w:t>围产期组织样本检测收费标准按例数计算，为300 - 500元/次，假设年检测量5000例，年收入可达150万- 250万元。</w:t>
      </w:r>
    </w:p>
    <w:p w14:paraId="2B9310A7">
      <w:pPr>
        <w:numPr>
          <w:ilvl w:val="0"/>
          <w:numId w:val="0"/>
        </w:num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spacing w:val="6"/>
          <w:sz w:val="32"/>
          <w:szCs w:val="32"/>
          <w:highlight w:val="none"/>
          <w:lang w:val="en-US" w:eastAsia="zh-CN"/>
        </w:rPr>
        <w:t>◦ 间接收益：</w:t>
      </w: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通过采集制备储存技术标准控制，可减少样本不合格率发生，降低不合格样本的重复检测成本，提高医疗资源利用效率。</w:t>
      </w:r>
    </w:p>
    <w:p w14:paraId="613EACB5">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(3). 社会效益</w:t>
      </w:r>
    </w:p>
    <w:p w14:paraId="1958D89A">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 提升医疗质量：通过标准化控制流程，提升围产期组织细胞在临床应用中的质量标准，提高临床治疗的有效性和安全性。</w:t>
      </w:r>
    </w:p>
    <w:p w14:paraId="4A456EE1">
      <w:pPr>
        <w:numPr>
          <w:ilvl w:val="0"/>
          <w:numId w:val="0"/>
        </w:numPr>
        <w:spacing w:line="300" w:lineRule="auto"/>
        <w:ind w:firstLine="664" w:firstLineChars="200"/>
        <w:jc w:val="both"/>
        <w:rPr>
          <w:rFonts w:ascii="仿宋" w:hAnsi="仿宋" w:eastAsia="仿宋" w:cs="仿宋"/>
          <w:spacing w:val="6"/>
          <w:sz w:val="24"/>
        </w:rPr>
      </w:pPr>
      <w:r>
        <w:rPr>
          <w:rFonts w:hint="eastAsia" w:ascii="方正仿宋_GB2312" w:hAnsi="方正仿宋_GB2312" w:eastAsia="方正仿宋_GB2312" w:cs="方正仿宋_GB2312"/>
          <w:spacing w:val="6"/>
          <w:sz w:val="32"/>
          <w:szCs w:val="32"/>
          <w:highlight w:val="none"/>
          <w:lang w:val="en-US" w:eastAsia="zh-CN"/>
        </w:rPr>
        <w:t>• 推动精准医疗：支持细胞药物标准监测（TDM），助力个体化细胞药物定制方案，符合国家“健康中国2030”战略需求。</w:t>
      </w:r>
    </w:p>
    <w:p w14:paraId="22125387">
      <w:pPr>
        <w:spacing w:line="300" w:lineRule="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6.4  预期的经济效果</w:t>
      </w:r>
    </w:p>
    <w:p w14:paraId="098E4FB7">
      <w:pPr>
        <w:numPr>
          <w:ilvl w:val="0"/>
          <w:numId w:val="0"/>
        </w:num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(1). 短期效果（1 - 3年）：标准实施初期，检测机构需投入设备和人员培训成本150万-250万左右，但随着检测量增长，预计3年内可实现盈亏平衡。以区域中心实验室为例，年检测量达到5000例时，毛利率可提升至35% - 45%。</w:t>
      </w:r>
    </w:p>
    <w:p w14:paraId="110E1644">
      <w:pPr>
        <w:numPr>
          <w:ilvl w:val="0"/>
          <w:numId w:val="0"/>
        </w:num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(2). 长期效果（3 - 5年）：行业标准化程度提高后，检测成本将逐步下降（预计试剂成本降低10% - 15%），市场规模扩大（预计年增长率15% - 20%），形成规模效应。</w:t>
      </w:r>
    </w:p>
    <w:p w14:paraId="21C7EE19">
      <w:pPr>
        <w:numPr>
          <w:ilvl w:val="0"/>
          <w:numId w:val="0"/>
        </w:numPr>
        <w:spacing w:line="300" w:lineRule="auto"/>
        <w:ind w:firstLine="664" w:firstLineChars="200"/>
        <w:jc w:val="both"/>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(3). 产业带动效应：推动国产围产期组织细胞采集制备</w:t>
      </w:r>
      <w:r>
        <w:rPr>
          <w:rFonts w:hint="eastAsia" w:ascii="方正仿宋_GB2312" w:hAnsi="方正仿宋_GB2312" w:eastAsia="方正仿宋_GB2312" w:cs="方正仿宋_GB2312"/>
          <w:spacing w:val="6"/>
          <w:sz w:val="32"/>
          <w:szCs w:val="32"/>
          <w:highlight w:val="none"/>
          <w:lang w:val="en-US" w:eastAsia="zh-CN"/>
        </w:rPr>
        <w:t>、检测储存设备和试剂研发，促进样本采集运输、细胞制备检测试剂等相关产业发展，预计带动上下游产业链年产值增长</w:t>
      </w:r>
      <w:r>
        <w:rPr>
          <w:rFonts w:hint="eastAsia" w:ascii="方正仿宋_GB2312" w:hAnsi="方正仿宋_GB2312" w:eastAsia="方正仿宋_GB2312" w:cs="方正仿宋_GB2312"/>
          <w:color w:val="000000" w:themeColor="text1"/>
          <w:spacing w:val="6"/>
          <w:sz w:val="32"/>
          <w:szCs w:val="32"/>
          <w:highlight w:val="none"/>
          <w:lang w:val="en-US" w:eastAsia="zh-CN"/>
          <w14:textFill>
            <w14:solidFill>
              <w14:schemeClr w14:val="tx1"/>
            </w14:solidFill>
          </w14:textFill>
        </w:rPr>
        <w:t>15% - 20%。</w:t>
      </w:r>
    </w:p>
    <w:p w14:paraId="0B55A3BA">
      <w:pPr>
        <w:numPr>
          <w:ilvl w:val="0"/>
          <w:numId w:val="0"/>
        </w:numPr>
        <w:spacing w:line="300" w:lineRule="auto"/>
        <w:ind w:firstLine="664" w:firstLineChars="200"/>
        <w:jc w:val="both"/>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spacing w:val="6"/>
          <w:sz w:val="32"/>
          <w:szCs w:val="32"/>
          <w:highlight w:val="none"/>
          <w:lang w:val="en-US" w:eastAsia="zh-CN"/>
        </w:rPr>
        <w:t>通过以上试验验证和经济分析，《临床应用药物分析检测通用要求》标准在技术上可行、经济上合理，具有显著的经济效益和社会效益。</w:t>
      </w:r>
    </w:p>
    <w:p w14:paraId="7A19FA8E">
      <w:pPr>
        <w:spacing w:line="300" w:lineRule="auto"/>
        <w:rPr>
          <w:rFonts w:ascii="仿宋" w:hAnsi="仿宋" w:eastAsia="仿宋" w:cs="仿宋"/>
          <w:spacing w:val="6"/>
          <w:sz w:val="24"/>
          <w:highlight w:val="lightGray"/>
        </w:rPr>
      </w:pPr>
      <w:r>
        <w:rPr>
          <w:rFonts w:hint="eastAsia" w:ascii="仿宋" w:hAnsi="仿宋" w:eastAsia="仿宋" w:cs="仿宋"/>
          <w:spacing w:val="6"/>
          <w:sz w:val="24"/>
          <w:highlight w:val="lightGray"/>
        </w:rPr>
        <w:t>（说明该标准实施后能带来的经济效益。）</w:t>
      </w:r>
    </w:p>
    <w:p w14:paraId="54AB2AC4">
      <w:pPr>
        <w:spacing w:line="300" w:lineRule="auto"/>
        <w:rPr>
          <w:rFonts w:hint="eastAsia" w:ascii="仿宋" w:hAnsi="仿宋" w:eastAsia="仿宋" w:cs="仿宋"/>
          <w:b/>
          <w:sz w:val="24"/>
        </w:rPr>
      </w:pPr>
    </w:p>
    <w:p w14:paraId="07AF157A">
      <w:pPr>
        <w:spacing w:line="300" w:lineRule="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7  采用国际标准的程度及水平的简要说明</w:t>
      </w:r>
    </w:p>
    <w:p w14:paraId="3BBE012C">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本标准在编制过程中，以满足国内围产期组织细胞采集制备储存技术需求为核心，坚持“非必要不采标”原则，优先整合国内现行法规与技术规范。若涉及国际标准引用，均严格遵循版权相关规定，确保引用合法合规。目前该标准对国际标准的采用程度及水平具体如下：</w:t>
      </w:r>
    </w:p>
    <w:p w14:paraId="7931A5AC">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(1).国际标准采用原则</w:t>
      </w:r>
    </w:p>
    <w:p w14:paraId="61D5C140">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必要性评估：仅在国内尚无对应技术规范、且国际标准对解决临床实际问题具有显著指导意义时，才考虑引用国际标准内容。</w:t>
      </w:r>
    </w:p>
    <w:p w14:paraId="7ACC13A3">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本土化适配：引用的国际标准内容需结合我国医药产业发展水平、临床实践特点及法规要求进行适应性调整，避免直接照搬。</w:t>
      </w:r>
    </w:p>
    <w:p w14:paraId="2A10CBE3">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版权合规：若引用国际标准原文，严格通过正规渠道获取版权授权，或采用等效转化方式，确保标准编制及实施符合知识产权相关规定。</w:t>
      </w:r>
    </w:p>
    <w:p w14:paraId="6DA9FCEA">
      <w:pPr>
        <w:numPr>
          <w:ilvl w:val="0"/>
          <w:numId w:val="23"/>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.国际标准采用情况</w:t>
      </w:r>
    </w:p>
    <w:p w14:paraId="4A7E4B60">
      <w:pPr>
        <w:numPr>
          <w:ilvl w:val="0"/>
          <w:numId w:val="0"/>
        </w:numPr>
        <w:spacing w:line="300" w:lineRule="auto"/>
        <w:jc w:val="both"/>
        <w:rPr>
          <w:rFonts w:hint="default" w:ascii="方正仿宋_GB2312" w:hAnsi="方正仿宋_GB2312" w:eastAsia="方正仿宋_GB2312" w:cs="方正仿宋_GB2312"/>
          <w:strike/>
          <w:dstrike w:val="0"/>
          <w:color w:val="FF0000"/>
          <w:spacing w:val="6"/>
          <w:sz w:val="32"/>
          <w:szCs w:val="32"/>
          <w:highlight w:val="none"/>
          <w:u w:val="single"/>
          <w:lang w:val="en-US" w:eastAsia="zh-CN"/>
        </w:rPr>
      </w:pPr>
    </w:p>
    <w:p w14:paraId="5485A01A">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标准在编制过程中，以“立足国内需求、适度对标国际”为原则，对国际标准的采用以参考借鉴和等效转化为主，避免直接采标带来的版权风险与适用性问题。通过将国际先进技术理念与我国临床实践相结合，既保障标准的技术先进性，又确保其符合国内法规要求。</w:t>
      </w:r>
    </w:p>
    <w:p w14:paraId="018EB573">
      <w:pPr>
        <w:spacing w:line="300" w:lineRule="auto"/>
        <w:rPr>
          <w:rFonts w:hint="eastAsia" w:ascii="仿宋" w:hAnsi="仿宋" w:eastAsia="仿宋" w:cs="仿宋"/>
          <w:spacing w:val="6"/>
          <w:sz w:val="24"/>
          <w:highlight w:val="lightGray"/>
        </w:rPr>
      </w:pPr>
      <w:r>
        <w:rPr>
          <w:rFonts w:hint="eastAsia" w:ascii="仿宋" w:hAnsi="仿宋" w:eastAsia="仿宋" w:cs="仿宋"/>
          <w:spacing w:val="6"/>
          <w:sz w:val="24"/>
          <w:highlight w:val="lightGray"/>
        </w:rPr>
        <w:t>（协会团体标准要采用国际标准或国外标准前，需先解决版权问题。因此非必要，不采标。）</w:t>
      </w:r>
    </w:p>
    <w:p w14:paraId="7827DDFE">
      <w:pPr>
        <w:spacing w:line="300" w:lineRule="auto"/>
        <w:rPr>
          <w:rFonts w:hint="eastAsia" w:ascii="仿宋" w:hAnsi="仿宋" w:eastAsia="仿宋" w:cs="仿宋"/>
          <w:spacing w:val="6"/>
          <w:sz w:val="24"/>
          <w:highlight w:val="lightGray"/>
        </w:rPr>
      </w:pPr>
    </w:p>
    <w:p w14:paraId="3584A86D">
      <w:pPr>
        <w:spacing w:line="300" w:lineRule="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8  重大分歧意见的处理经过和依据</w:t>
      </w:r>
    </w:p>
    <w:p w14:paraId="0058A540">
      <w:pPr>
        <w:spacing w:line="300" w:lineRule="auto"/>
        <w:ind w:firstLine="664" w:firstLineChars="200"/>
        <w:rPr>
          <w:rFonts w:hint="eastAsia" w:ascii="仿宋" w:hAnsi="仿宋" w:eastAsia="仿宋" w:cs="仿宋"/>
          <w:b/>
          <w:sz w:val="24"/>
        </w:rPr>
      </w:pPr>
      <w:r>
        <w:rPr>
          <w:rFonts w:hint="eastAsia" w:ascii="方正仿宋_GB2312" w:hAnsi="方正仿宋_GB2312" w:eastAsia="方正仿宋_GB2312" w:cs="方正仿宋_GB2312"/>
          <w:spacing w:val="6"/>
          <w:sz w:val="32"/>
          <w:szCs w:val="32"/>
          <w:highlight w:val="none"/>
          <w:lang w:val="en-US" w:eastAsia="zh-CN"/>
        </w:rPr>
        <w:t>本标准在起草和讨论过程中尚未发现任何重大分歧意见，修改工作仅限于对一些技术问题进行修订和补充。</w:t>
      </w:r>
    </w:p>
    <w:p w14:paraId="5E26D7AF">
      <w:pPr>
        <w:spacing w:line="360" w:lineRule="auto"/>
        <w:rPr>
          <w:rFonts w:ascii="仿宋" w:hAnsi="仿宋" w:eastAsia="仿宋" w:cs="仿宋"/>
          <w:spacing w:val="6"/>
          <w:sz w:val="24"/>
          <w:highlight w:val="lightGray"/>
        </w:rPr>
      </w:pPr>
      <w:r>
        <w:rPr>
          <w:rFonts w:hint="eastAsia" w:ascii="仿宋" w:hAnsi="仿宋" w:eastAsia="仿宋" w:cs="仿宋"/>
          <w:spacing w:val="6"/>
          <w:sz w:val="24"/>
          <w:highlight w:val="lightGray"/>
        </w:rPr>
        <w:t>（什么时候在什么阶段与什么单位就标准的什么内容出现了重大分歧；分歧意见是什么；主编单位采取了什么方式与意见提出单位（或提出专家）进行沟通协商，达成什么样的结果；在标准中如何体现。）</w:t>
      </w:r>
    </w:p>
    <w:p w14:paraId="0EE3DA45">
      <w:pPr>
        <w:spacing w:line="300" w:lineRule="auto"/>
        <w:rPr>
          <w:rFonts w:ascii="仿宋" w:hAnsi="仿宋" w:eastAsia="仿宋" w:cs="仿宋"/>
          <w:spacing w:val="6"/>
          <w:sz w:val="24"/>
        </w:rPr>
      </w:pPr>
    </w:p>
    <w:p w14:paraId="615AC7E1">
      <w:pPr>
        <w:spacing w:line="300" w:lineRule="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9  贯彻标准的要求和措施建议（包括组织措施、技术措施、过渡办法等内容）</w:t>
      </w:r>
    </w:p>
    <w:p w14:paraId="0DD4ACED">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成立标准实施领导小组，由重庆医科大学附属妇女儿童医院牵头，联合重庆医科大学第一附属医院、重庆医科大学第二附属医院、山东大学齐鲁医院、西南大学医学研究院、重庆市铂而斐细胞生物技术有限公司，山东省泉溪生物技术有限公司，明确各方职责，制定实施计划；定期组织宣贯培训，提升从业人员对标准的理解与执行能力。设置过渡期，机构按原有标准完成在检项目；对部分复杂技术要求，提供分阶段达标指导；开展试点示范，总结经验后逐步推广，确保新旧标准平稳衔接。</w:t>
      </w:r>
    </w:p>
    <w:p w14:paraId="13741D75">
      <w:pPr>
        <w:spacing w:line="300" w:lineRule="auto"/>
        <w:rPr>
          <w:rFonts w:ascii="仿宋" w:hAnsi="仿宋" w:eastAsia="仿宋" w:cs="仿宋"/>
          <w:spacing w:val="6"/>
          <w:sz w:val="24"/>
          <w:highlight w:val="lightGray"/>
        </w:rPr>
      </w:pPr>
      <w:r>
        <w:rPr>
          <w:rFonts w:hint="eastAsia" w:ascii="仿宋" w:hAnsi="仿宋" w:eastAsia="仿宋" w:cs="仿宋"/>
          <w:spacing w:val="6"/>
          <w:sz w:val="24"/>
          <w:highlight w:val="lightGray"/>
        </w:rPr>
        <w:t>（</w:t>
      </w:r>
      <w:r>
        <w:rPr>
          <w:rFonts w:hint="eastAsia" w:ascii="仿宋" w:hAnsi="仿宋" w:eastAsia="仿宋" w:cs="仿宋"/>
          <w:sz w:val="24"/>
          <w:highlight w:val="lightGray"/>
        </w:rPr>
        <w:t>标准培训工作的要求和建议；关于推广应用标准的手段和方式建议；关于标准贯彻效果检查和评估的建议。</w:t>
      </w:r>
      <w:r>
        <w:rPr>
          <w:rFonts w:hint="eastAsia" w:ascii="仿宋" w:hAnsi="仿宋" w:eastAsia="仿宋" w:cs="仿宋"/>
          <w:spacing w:val="6"/>
          <w:sz w:val="24"/>
          <w:highlight w:val="lightGray"/>
        </w:rPr>
        <w:t>）</w:t>
      </w:r>
    </w:p>
    <w:p w14:paraId="24DC694A">
      <w:pPr>
        <w:spacing w:line="360" w:lineRule="auto"/>
        <w:ind w:firstLine="504" w:firstLineChars="200"/>
        <w:rPr>
          <w:rFonts w:ascii="仿宋" w:hAnsi="仿宋" w:eastAsia="仿宋" w:cs="仿宋"/>
          <w:spacing w:val="6"/>
          <w:sz w:val="24"/>
        </w:rPr>
      </w:pPr>
    </w:p>
    <w:p w14:paraId="361BAF86">
      <w:pPr>
        <w:spacing w:line="300" w:lineRule="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10  其他应予说明的事项，如涉及专利的处理等</w:t>
      </w:r>
    </w:p>
    <w:p w14:paraId="4FEACB87">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项目变更信息：本标准编制过程严格遵循《国家标准管理办法》相关规定，目前无重大项目变更。若后续因技术发展、法规更新需调整标准内容，将依据标准复审与修订程序，通过修改单或新版本形式发布，确保标准时效性与适用性。</w:t>
      </w:r>
    </w:p>
    <w:p w14:paraId="1F87EAA5">
      <w:pPr>
        <w:numPr>
          <w:ilvl w:val="0"/>
          <w:numId w:val="0"/>
        </w:numPr>
        <w:spacing w:line="300" w:lineRule="auto"/>
        <w:ind w:firstLine="664" w:firstLineChars="200"/>
        <w:jc w:val="both"/>
        <w:rPr>
          <w:rFonts w:hint="eastAsia" w:ascii="方正仿宋_GB2312" w:hAnsi="方正仿宋_GB2312" w:eastAsia="方正仿宋_GB2312" w:cs="方正仿宋_GB2312"/>
          <w:spacing w:val="6"/>
          <w:sz w:val="32"/>
          <w:szCs w:val="32"/>
          <w:highlight w:val="none"/>
          <w:lang w:val="en-US" w:eastAsia="zh-CN"/>
        </w:rPr>
      </w:pPr>
      <w:r>
        <w:rPr>
          <w:rFonts w:hint="eastAsia" w:ascii="方正仿宋_GB2312" w:hAnsi="方正仿宋_GB2312" w:eastAsia="方正仿宋_GB2312" w:cs="方正仿宋_GB2312"/>
          <w:spacing w:val="6"/>
          <w:sz w:val="32"/>
          <w:szCs w:val="32"/>
          <w:highlight w:val="none"/>
          <w:lang w:val="en-US" w:eastAsia="zh-CN"/>
        </w:rPr>
        <w:t>标准与专利的关系：本标准编制以通用技术要求为核心，尽量规避专利引用。仅当技术上无法避免涉及必要专利时，方考虑纳入。若涉及专利，需满足以下条件：其一，专利为实施标准必不可少的技术；其二，专利持有人需向标准发布机构提交书面声明，同意免费使用或在合理无歧视条款下进行授权许可谈判 。无论纳入专利属于何种情形，均将在标准编制说明中明确披露专利信息、持有人声明及授权条款，保障标准实施过程中专利使用的合规性与透明性。</w:t>
      </w:r>
    </w:p>
    <w:p w14:paraId="65DC1F67">
      <w:pPr>
        <w:numPr>
          <w:ilvl w:val="0"/>
          <w:numId w:val="0"/>
        </w:numPr>
        <w:spacing w:line="300" w:lineRule="auto"/>
        <w:ind w:firstLine="504" w:firstLineChars="200"/>
        <w:jc w:val="both"/>
        <w:rPr>
          <w:rFonts w:hint="eastAsia" w:ascii="仿宋" w:hAnsi="仿宋" w:eastAsia="仿宋" w:cs="仿宋"/>
          <w:spacing w:val="6"/>
          <w:sz w:val="24"/>
          <w:highlight w:val="none"/>
          <w:lang w:val="en-US" w:eastAsia="zh-CN"/>
        </w:rPr>
      </w:pPr>
    </w:p>
    <w:p w14:paraId="71648600">
      <w:pPr>
        <w:spacing w:line="300" w:lineRule="auto"/>
        <w:rPr>
          <w:rFonts w:ascii="仿宋" w:hAnsi="仿宋" w:eastAsia="仿宋" w:cs="仿宋"/>
          <w:sz w:val="24"/>
          <w:highlight w:val="lightGray"/>
        </w:rPr>
      </w:pPr>
      <w:r>
        <w:rPr>
          <w:rFonts w:hint="eastAsia" w:ascii="仿宋" w:hAnsi="仿宋" w:eastAsia="仿宋" w:cs="仿宋"/>
          <w:sz w:val="24"/>
          <w:highlight w:val="lightGray"/>
        </w:rPr>
        <w:t>（写出项目变更信息等。</w:t>
      </w:r>
    </w:p>
    <w:p w14:paraId="3F9A05B6">
      <w:pPr>
        <w:spacing w:line="360" w:lineRule="auto"/>
        <w:rPr>
          <w:rFonts w:ascii="仿宋" w:hAnsi="仿宋" w:eastAsia="仿宋" w:cs="仿宋"/>
          <w:spacing w:val="6"/>
          <w:sz w:val="24"/>
          <w:highlight w:val="lightGray"/>
        </w:rPr>
      </w:pPr>
      <w:r>
        <w:rPr>
          <w:rFonts w:hint="eastAsia" w:ascii="仿宋" w:hAnsi="仿宋" w:eastAsia="仿宋" w:cs="仿宋"/>
          <w:spacing w:val="6"/>
          <w:sz w:val="24"/>
          <w:highlight w:val="lightGray"/>
        </w:rPr>
        <w:t>写出标准与专利的关系。只有符合下列条件时才考虑在标准中纳入专利 ：</w:t>
      </w:r>
    </w:p>
    <w:p w14:paraId="16FEE3A4">
      <w:pPr>
        <w:spacing w:line="360" w:lineRule="auto"/>
        <w:ind w:firstLine="504" w:firstLineChars="200"/>
        <w:rPr>
          <w:rFonts w:ascii="仿宋" w:hAnsi="仿宋" w:eastAsia="仿宋" w:cs="仿宋"/>
          <w:spacing w:val="6"/>
          <w:sz w:val="24"/>
          <w:highlight w:val="lightGray"/>
        </w:rPr>
      </w:pPr>
      <w:r>
        <w:rPr>
          <w:rFonts w:hint="eastAsia" w:ascii="仿宋" w:hAnsi="仿宋" w:eastAsia="仿宋" w:cs="仿宋"/>
          <w:spacing w:val="6"/>
          <w:sz w:val="24"/>
          <w:highlight w:val="lightGray"/>
        </w:rPr>
        <w:t>一是从技术角度考虑确实无法避免涉及专利，即涉及的是必要专利；</w:t>
      </w:r>
    </w:p>
    <w:p w14:paraId="7D08B10C">
      <w:pPr>
        <w:spacing w:line="360" w:lineRule="auto"/>
        <w:ind w:firstLine="504" w:firstLineChars="200"/>
        <w:rPr>
          <w:rFonts w:ascii="仿宋" w:hAnsi="仿宋" w:eastAsia="仿宋" w:cs="仿宋"/>
          <w:spacing w:val="6"/>
          <w:sz w:val="24"/>
          <w:highlight w:val="lightGray"/>
        </w:rPr>
      </w:pPr>
      <w:r>
        <w:rPr>
          <w:rFonts w:hint="eastAsia" w:ascii="仿宋" w:hAnsi="仿宋" w:eastAsia="仿宋" w:cs="仿宋"/>
          <w:spacing w:val="6"/>
          <w:sz w:val="24"/>
          <w:highlight w:val="lightGray"/>
        </w:rPr>
        <w:t>二是专利持有人在自愿的基础上，向标准发布机构提交书面声明，同意可以免费使用其专利，或愿意同任何申请人在合理且无歧视的条款和条件下就专利授权许可进行谈判。</w:t>
      </w:r>
    </w:p>
    <w:p w14:paraId="7F824EAE">
      <w:pPr>
        <w:spacing w:line="360" w:lineRule="auto"/>
        <w:ind w:firstLine="504" w:firstLineChars="200"/>
        <w:rPr>
          <w:rFonts w:ascii="仿宋" w:hAnsi="仿宋" w:eastAsia="仿宋" w:cs="仿宋"/>
          <w:sz w:val="24"/>
          <w:highlight w:val="lightGray"/>
        </w:rPr>
      </w:pPr>
      <w:r>
        <w:rPr>
          <w:rFonts w:hint="eastAsia" w:ascii="仿宋" w:hAnsi="仿宋" w:eastAsia="仿宋" w:cs="仿宋"/>
          <w:spacing w:val="6"/>
          <w:sz w:val="24"/>
          <w:highlight w:val="lightGray"/>
        </w:rPr>
        <w:t>无论标准包含的</w:t>
      </w:r>
      <w:r>
        <w:rPr>
          <w:rFonts w:hint="eastAsia" w:ascii="仿宋" w:hAnsi="仿宋" w:eastAsia="仿宋" w:cs="仿宋"/>
          <w:spacing w:val="8"/>
          <w:sz w:val="24"/>
          <w:highlight w:val="lightGray"/>
          <w:shd w:val="clear" w:color="auto" w:fill="FFFFFF"/>
        </w:rPr>
        <w:t>专利属于上述哪种条件，都应当在标准编制说明中进行说明。</w:t>
      </w:r>
      <w:r>
        <w:rPr>
          <w:rFonts w:hint="eastAsia" w:ascii="仿宋" w:hAnsi="仿宋" w:eastAsia="仿宋" w:cs="仿宋"/>
          <w:sz w:val="24"/>
          <w:highlight w:val="lightGray"/>
        </w:rPr>
        <w:t>）</w:t>
      </w:r>
    </w:p>
    <w:p w14:paraId="79D4E903">
      <w:pPr>
        <w:spacing w:line="360" w:lineRule="auto"/>
        <w:ind w:firstLine="480" w:firstLineChars="200"/>
        <w:rPr>
          <w:rFonts w:ascii="仿宋" w:hAnsi="仿宋" w:eastAsia="仿宋" w:cs="仿宋"/>
          <w:sz w:val="24"/>
          <w:highlight w:val="lightGray"/>
        </w:rPr>
      </w:pPr>
    </w:p>
    <w:sectPr>
      <w:pgSz w:w="11906" w:h="16838"/>
      <w:pgMar w:top="1418" w:right="1134" w:bottom="1134" w:left="1418" w:header="993"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embedRegular r:id="rId1" w:fontKey="{BB73664E-732C-4843-803A-29962D7B6616}"/>
  </w:font>
  <w:font w:name="仿宋">
    <w:panose1 w:val="02010609060101010101"/>
    <w:charset w:val="86"/>
    <w:family w:val="modern"/>
    <w:pitch w:val="default"/>
    <w:sig w:usb0="800002BF" w:usb1="38CF7CFA" w:usb2="00000016" w:usb3="00000000" w:csb0="00040001" w:csb1="00000000"/>
    <w:embedRegular r:id="rId2" w:fontKey="{D022C815-AB0D-4F2A-8D09-820EF41DEDA7}"/>
  </w:font>
  <w:font w:name="方正小标宋简体">
    <w:altName w:val="黑体"/>
    <w:panose1 w:val="02010601030101010101"/>
    <w:charset w:val="86"/>
    <w:family w:val="auto"/>
    <w:pitch w:val="default"/>
    <w:sig w:usb0="00000000" w:usb1="00000000" w:usb2="0000001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30B637C9-7C12-4CE6-9A4A-CA1D6431111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46770"/>
    <w:multiLevelType w:val="singleLevel"/>
    <w:tmpl w:val="87246770"/>
    <w:lvl w:ilvl="0" w:tentative="0">
      <w:start w:val="2"/>
      <w:numFmt w:val="decimal"/>
      <w:lvlText w:val="(%1)"/>
      <w:lvlJc w:val="left"/>
      <w:pPr>
        <w:tabs>
          <w:tab w:val="left" w:pos="312"/>
        </w:tabs>
      </w:pPr>
    </w:lvl>
  </w:abstractNum>
  <w:abstractNum w:abstractNumId="1">
    <w:nsid w:val="BA38ECE7"/>
    <w:multiLevelType w:val="singleLevel"/>
    <w:tmpl w:val="BA38ECE7"/>
    <w:lvl w:ilvl="0" w:tentative="0">
      <w:start w:val="3"/>
      <w:numFmt w:val="decimal"/>
      <w:suff w:val="nothing"/>
      <w:lvlText w:val="（%1）"/>
      <w:lvlJc w:val="left"/>
    </w:lvl>
  </w:abstractNum>
  <w:abstractNum w:abstractNumId="2">
    <w:nsid w:val="CEE14B18"/>
    <w:multiLevelType w:val="singleLevel"/>
    <w:tmpl w:val="CEE14B18"/>
    <w:lvl w:ilvl="0" w:tentative="0">
      <w:start w:val="1"/>
      <w:numFmt w:val="decimal"/>
      <w:suff w:val="nothing"/>
      <w:lvlText w:val="（%1）"/>
      <w:lvlJc w:val="left"/>
    </w:lvl>
  </w:abstractNum>
  <w:abstractNum w:abstractNumId="3">
    <w:nsid w:val="079102AD"/>
    <w:multiLevelType w:val="multilevel"/>
    <w:tmpl w:val="079102AD"/>
    <w:lvl w:ilvl="0" w:tentative="0">
      <w:start w:val="1"/>
      <w:numFmt w:val="decimal"/>
      <w:pStyle w:val="64"/>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93C6778"/>
    <w:multiLevelType w:val="multilevel"/>
    <w:tmpl w:val="093C6778"/>
    <w:lvl w:ilvl="0" w:tentative="0">
      <w:start w:val="1"/>
      <w:numFmt w:val="decimal"/>
      <w:pStyle w:val="12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0AE367E9"/>
    <w:multiLevelType w:val="multilevel"/>
    <w:tmpl w:val="0AE367E9"/>
    <w:lvl w:ilvl="0" w:tentative="0">
      <w:start w:val="1"/>
      <w:numFmt w:val="none"/>
      <w:pStyle w:val="58"/>
      <w:suff w:val="nothing"/>
      <w:lvlText w:val="%1示例："/>
      <w:lvlJc w:val="left"/>
      <w:pPr>
        <w:ind w:left="0" w:firstLine="363"/>
      </w:pPr>
      <w:rPr>
        <w:rFonts w:hint="eastAsia" w:ascii="黑体" w:eastAsia="黑体"/>
        <w:b w:val="0"/>
        <w:i w:val="0"/>
        <w:sz w:val="18"/>
        <w:szCs w:val="18"/>
      </w:rPr>
    </w:lvl>
    <w:lvl w:ilvl="1" w:tentative="0">
      <w:start w:val="1"/>
      <w:numFmt w:val="lowerLetter"/>
      <w:pStyle w:val="3"/>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D983844"/>
    <w:multiLevelType w:val="multilevel"/>
    <w:tmpl w:val="0D983844"/>
    <w:lvl w:ilvl="0" w:tentative="0">
      <w:start w:val="1"/>
      <w:numFmt w:val="decimal"/>
      <w:pStyle w:val="134"/>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0DDE2B46"/>
    <w:multiLevelType w:val="multilevel"/>
    <w:tmpl w:val="0DDE2B46"/>
    <w:lvl w:ilvl="0" w:tentative="0">
      <w:start w:val="1"/>
      <w:numFmt w:val="lowerLetter"/>
      <w:pStyle w:val="127"/>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8">
    <w:nsid w:val="105E14EC"/>
    <w:multiLevelType w:val="multilevel"/>
    <w:tmpl w:val="105E14EC"/>
    <w:lvl w:ilvl="0" w:tentative="0">
      <w:start w:val="1"/>
      <w:numFmt w:val="lowerLetter"/>
      <w:pStyle w:val="170"/>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1DBF583A"/>
    <w:multiLevelType w:val="multilevel"/>
    <w:tmpl w:val="1DBF583A"/>
    <w:lvl w:ilvl="0" w:tentative="0">
      <w:start w:val="1"/>
      <w:numFmt w:val="decimal"/>
      <w:pStyle w:val="7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0">
    <w:nsid w:val="1FC91163"/>
    <w:multiLevelType w:val="multilevel"/>
    <w:tmpl w:val="1FC91163"/>
    <w:lvl w:ilvl="0" w:tentative="0">
      <w:start w:val="1"/>
      <w:numFmt w:val="decimal"/>
      <w:pStyle w:val="51"/>
      <w:suff w:val="nothing"/>
      <w:lvlText w:val="%1　"/>
      <w:lvlJc w:val="left"/>
      <w:pPr>
        <w:ind w:left="142" w:firstLine="0"/>
      </w:pPr>
      <w:rPr>
        <w:rFonts w:hint="eastAsia" w:ascii="黑体" w:hAnsi="Times New Roman" w:eastAsia="黑体"/>
        <w:b w:val="0"/>
        <w:i w:val="0"/>
        <w:sz w:val="21"/>
        <w:szCs w:val="21"/>
      </w:rPr>
    </w:lvl>
    <w:lvl w:ilvl="1" w:tentative="0">
      <w:start w:val="1"/>
      <w:numFmt w:val="decimal"/>
      <w:pStyle w:val="48"/>
      <w:suff w:val="nothing"/>
      <w:lvlText w:val="%1.%2　"/>
      <w:lvlJc w:val="left"/>
      <w:pPr>
        <w:ind w:left="284"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52"/>
      <w:suff w:val="nothing"/>
      <w:lvlText w:val="%1.%2.%3　"/>
      <w:lvlJc w:val="left"/>
      <w:pPr>
        <w:ind w:left="993" w:firstLine="0"/>
      </w:pPr>
      <w:rPr>
        <w:rFonts w:hint="eastAsia" w:ascii="黑体" w:hAnsi="Times New Roman" w:eastAsia="黑体"/>
        <w:b w:val="0"/>
        <w:i w:val="0"/>
        <w:sz w:val="21"/>
      </w:rPr>
    </w:lvl>
    <w:lvl w:ilvl="3" w:tentative="0">
      <w:start w:val="1"/>
      <w:numFmt w:val="decimal"/>
      <w:suff w:val="nothing"/>
      <w:lvlText w:val="%1.%2.%3.%4　"/>
      <w:lvlJc w:val="left"/>
      <w:pPr>
        <w:ind w:left="1276" w:firstLine="0"/>
      </w:pPr>
      <w:rPr>
        <w:rFonts w:hint="eastAsia" w:ascii="黑体" w:hAnsi="Times New Roman" w:eastAsia="黑体"/>
        <w:b w:val="0"/>
        <w:i w:val="0"/>
        <w:sz w:val="21"/>
      </w:rPr>
    </w:lvl>
    <w:lvl w:ilvl="4" w:tentative="0">
      <w:start w:val="1"/>
      <w:numFmt w:val="decimal"/>
      <w:pStyle w:val="61"/>
      <w:suff w:val="nothing"/>
      <w:lvlText w:val="%1.%2.%3.%4.%5　"/>
      <w:lvlJc w:val="left"/>
      <w:pPr>
        <w:ind w:left="0" w:firstLine="0"/>
      </w:pPr>
      <w:rPr>
        <w:rFonts w:hint="eastAsia" w:ascii="黑体" w:hAnsi="Times New Roman" w:eastAsia="黑体"/>
        <w:b w:val="0"/>
        <w:i w:val="0"/>
        <w:sz w:val="21"/>
      </w:rPr>
    </w:lvl>
    <w:lvl w:ilvl="5" w:tentative="0">
      <w:start w:val="1"/>
      <w:numFmt w:val="decimal"/>
      <w:pStyle w:val="62"/>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2827D5B"/>
    <w:multiLevelType w:val="multilevel"/>
    <w:tmpl w:val="22827D5B"/>
    <w:lvl w:ilvl="0" w:tentative="0">
      <w:start w:val="1"/>
      <w:numFmt w:val="none"/>
      <w:pStyle w:val="70"/>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2">
    <w:nsid w:val="2A8F7113"/>
    <w:multiLevelType w:val="multilevel"/>
    <w:tmpl w:val="2A8F7113"/>
    <w:lvl w:ilvl="0" w:tentative="0">
      <w:start w:val="1"/>
      <w:numFmt w:val="upperLetter"/>
      <w:pStyle w:val="104"/>
      <w:suff w:val="space"/>
      <w:lvlText w:val="%1"/>
      <w:lvlJc w:val="left"/>
      <w:pPr>
        <w:ind w:left="623" w:hanging="425"/>
      </w:pPr>
      <w:rPr>
        <w:rFonts w:hint="eastAsia"/>
      </w:rPr>
    </w:lvl>
    <w:lvl w:ilvl="1" w:tentative="0">
      <w:start w:val="1"/>
      <w:numFmt w:val="decimal"/>
      <w:pStyle w:val="10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3">
    <w:nsid w:val="2C5917C3"/>
    <w:multiLevelType w:val="multilevel"/>
    <w:tmpl w:val="2C5917C3"/>
    <w:lvl w:ilvl="0" w:tentative="0">
      <w:start w:val="1"/>
      <w:numFmt w:val="none"/>
      <w:pStyle w:val="54"/>
      <w:suff w:val="nothing"/>
      <w:lvlText w:val="%1——"/>
      <w:lvlJc w:val="left"/>
      <w:pPr>
        <w:ind w:left="833" w:hanging="408"/>
      </w:pPr>
      <w:rPr>
        <w:rFonts w:hint="eastAsia"/>
      </w:rPr>
    </w:lvl>
    <w:lvl w:ilvl="1" w:tentative="0">
      <w:start w:val="1"/>
      <w:numFmt w:val="bullet"/>
      <w:pStyle w:val="55"/>
      <w:lvlText w:val=""/>
      <w:lvlJc w:val="left"/>
      <w:pPr>
        <w:tabs>
          <w:tab w:val="left" w:pos="760"/>
        </w:tabs>
        <w:ind w:left="1264" w:hanging="413"/>
      </w:pPr>
      <w:rPr>
        <w:rFonts w:hint="default" w:ascii="Symbol" w:hAnsi="Symbol"/>
        <w:color w:val="auto"/>
      </w:rPr>
    </w:lvl>
    <w:lvl w:ilvl="2" w:tentative="0">
      <w:start w:val="1"/>
      <w:numFmt w:val="bullet"/>
      <w:pStyle w:val="6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D733618"/>
    <w:multiLevelType w:val="multilevel"/>
    <w:tmpl w:val="3D733618"/>
    <w:lvl w:ilvl="0" w:tentative="0">
      <w:start w:val="1"/>
      <w:numFmt w:val="decimal"/>
      <w:pStyle w:val="28"/>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5">
    <w:nsid w:val="41635734"/>
    <w:multiLevelType w:val="singleLevel"/>
    <w:tmpl w:val="41635734"/>
    <w:lvl w:ilvl="0" w:tentative="0">
      <w:start w:val="1"/>
      <w:numFmt w:val="decimal"/>
      <w:suff w:val="nothing"/>
      <w:lvlText w:val="（%1）"/>
      <w:lvlJc w:val="left"/>
    </w:lvl>
  </w:abstractNum>
  <w:abstractNum w:abstractNumId="16">
    <w:nsid w:val="4B733A5F"/>
    <w:multiLevelType w:val="multilevel"/>
    <w:tmpl w:val="4B733A5F"/>
    <w:lvl w:ilvl="0" w:tentative="0">
      <w:start w:val="1"/>
      <w:numFmt w:val="decimal"/>
      <w:pStyle w:val="6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7">
    <w:nsid w:val="60B55DC2"/>
    <w:multiLevelType w:val="multilevel"/>
    <w:tmpl w:val="60B55DC2"/>
    <w:lvl w:ilvl="0" w:tentative="0">
      <w:start w:val="1"/>
      <w:numFmt w:val="upperLetter"/>
      <w:pStyle w:val="92"/>
      <w:lvlText w:val="%1"/>
      <w:lvlJc w:val="left"/>
      <w:pPr>
        <w:tabs>
          <w:tab w:val="left" w:pos="0"/>
        </w:tabs>
        <w:ind w:left="0" w:hanging="425"/>
      </w:pPr>
      <w:rPr>
        <w:rFonts w:hint="eastAsia"/>
      </w:rPr>
    </w:lvl>
    <w:lvl w:ilvl="1" w:tentative="0">
      <w:start w:val="1"/>
      <w:numFmt w:val="decimal"/>
      <w:pStyle w:val="9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8">
    <w:nsid w:val="646260FA"/>
    <w:multiLevelType w:val="multilevel"/>
    <w:tmpl w:val="646260FA"/>
    <w:lvl w:ilvl="0" w:tentative="0">
      <w:start w:val="1"/>
      <w:numFmt w:val="decimal"/>
      <w:pStyle w:val="13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657D3FBC"/>
    <w:multiLevelType w:val="multilevel"/>
    <w:tmpl w:val="657D3FBC"/>
    <w:lvl w:ilvl="0" w:tentative="0">
      <w:start w:val="1"/>
      <w:numFmt w:val="upperLetter"/>
      <w:pStyle w:val="90"/>
      <w:suff w:val="nothing"/>
      <w:lvlText w:val="附　录　%1"/>
      <w:lvlJc w:val="left"/>
      <w:pPr>
        <w:ind w:left="840" w:firstLine="0"/>
      </w:pPr>
      <w:rPr>
        <w:rFonts w:hint="eastAsia" w:ascii="黑体" w:hAnsi="Times New Roman" w:eastAsia="黑体"/>
        <w:b w:val="0"/>
        <w:i w:val="0"/>
        <w:spacing w:val="0"/>
        <w:w w:val="100"/>
        <w:sz w:val="21"/>
      </w:rPr>
    </w:lvl>
    <w:lvl w:ilvl="1" w:tentative="0">
      <w:start w:val="1"/>
      <w:numFmt w:val="decimal"/>
      <w:pStyle w:val="108"/>
      <w:suff w:val="nothing"/>
      <w:lvlText w:val="%1.%2　"/>
      <w:lvlJc w:val="left"/>
      <w:pPr>
        <w:ind w:left="840" w:firstLine="0"/>
      </w:pPr>
      <w:rPr>
        <w:rFonts w:hint="eastAsia" w:ascii="黑体" w:hAnsi="Times New Roman" w:eastAsia="黑体"/>
        <w:b w:val="0"/>
        <w:i w:val="0"/>
        <w:snapToGrid/>
        <w:spacing w:val="0"/>
        <w:w w:val="100"/>
        <w:kern w:val="21"/>
        <w:sz w:val="21"/>
      </w:rPr>
    </w:lvl>
    <w:lvl w:ilvl="2" w:tentative="0">
      <w:start w:val="1"/>
      <w:numFmt w:val="decimal"/>
      <w:pStyle w:val="109"/>
      <w:suff w:val="nothing"/>
      <w:lvlText w:val="%1.%2.%3　"/>
      <w:lvlJc w:val="left"/>
      <w:pPr>
        <w:ind w:left="840" w:firstLine="0"/>
      </w:pPr>
      <w:rPr>
        <w:rFonts w:hint="eastAsia" w:ascii="黑体" w:hAnsi="Times New Roman" w:eastAsia="黑体"/>
        <w:b w:val="0"/>
        <w:i w:val="0"/>
        <w:sz w:val="21"/>
      </w:rPr>
    </w:lvl>
    <w:lvl w:ilvl="3" w:tentative="0">
      <w:start w:val="1"/>
      <w:numFmt w:val="decimal"/>
      <w:pStyle w:val="94"/>
      <w:suff w:val="nothing"/>
      <w:lvlText w:val="%1.%2.%3.%4　"/>
      <w:lvlJc w:val="left"/>
      <w:pPr>
        <w:ind w:left="840" w:firstLine="0"/>
      </w:pPr>
      <w:rPr>
        <w:rFonts w:hint="eastAsia" w:ascii="黑体" w:hAnsi="Times New Roman" w:eastAsia="黑体"/>
        <w:b w:val="0"/>
        <w:i w:val="0"/>
        <w:sz w:val="21"/>
      </w:rPr>
    </w:lvl>
    <w:lvl w:ilvl="4" w:tentative="0">
      <w:start w:val="1"/>
      <w:numFmt w:val="decimal"/>
      <w:pStyle w:val="99"/>
      <w:suff w:val="nothing"/>
      <w:lvlText w:val="%1.%2.%3.%4.%5　"/>
      <w:lvlJc w:val="left"/>
      <w:pPr>
        <w:ind w:left="840" w:firstLine="0"/>
      </w:pPr>
      <w:rPr>
        <w:rFonts w:hint="eastAsia" w:ascii="黑体" w:hAnsi="Times New Roman" w:eastAsia="黑体"/>
        <w:b w:val="0"/>
        <w:i w:val="0"/>
        <w:sz w:val="21"/>
      </w:rPr>
    </w:lvl>
    <w:lvl w:ilvl="5" w:tentative="0">
      <w:start w:val="1"/>
      <w:numFmt w:val="decimal"/>
      <w:pStyle w:val="102"/>
      <w:suff w:val="nothing"/>
      <w:lvlText w:val="%1.%2.%3.%4.%5.%6　"/>
      <w:lvlJc w:val="left"/>
      <w:pPr>
        <w:ind w:left="840" w:firstLine="0"/>
      </w:pPr>
      <w:rPr>
        <w:rFonts w:hint="eastAsia" w:ascii="黑体" w:hAnsi="Times New Roman" w:eastAsia="黑体"/>
        <w:b w:val="0"/>
        <w:i w:val="0"/>
        <w:sz w:val="21"/>
      </w:rPr>
    </w:lvl>
    <w:lvl w:ilvl="6" w:tentative="0">
      <w:start w:val="1"/>
      <w:numFmt w:val="decimal"/>
      <w:pStyle w:val="106"/>
      <w:suff w:val="nothing"/>
      <w:lvlText w:val="%1.%2.%3.%4.%5.%6.%7　"/>
      <w:lvlJc w:val="left"/>
      <w:pPr>
        <w:ind w:left="840" w:firstLine="0"/>
      </w:pPr>
      <w:rPr>
        <w:rFonts w:hint="eastAsia" w:ascii="黑体" w:hAnsi="Times New Roman" w:eastAsia="黑体"/>
        <w:b w:val="0"/>
        <w:i w:val="0"/>
        <w:sz w:val="21"/>
      </w:rPr>
    </w:lvl>
    <w:lvl w:ilvl="7" w:tentative="0">
      <w:start w:val="1"/>
      <w:numFmt w:val="decimal"/>
      <w:lvlText w:val="%1.%2.%3.%4.%5.%6.%7.%8"/>
      <w:lvlJc w:val="left"/>
      <w:pPr>
        <w:tabs>
          <w:tab w:val="left" w:pos="5234"/>
        </w:tabs>
        <w:ind w:left="5234" w:hanging="1418"/>
      </w:pPr>
      <w:rPr>
        <w:rFonts w:hint="eastAsia"/>
      </w:rPr>
    </w:lvl>
    <w:lvl w:ilvl="8" w:tentative="0">
      <w:start w:val="1"/>
      <w:numFmt w:val="decimal"/>
      <w:lvlText w:val="%1.%2.%3.%4.%5.%6.%7.%8.%9"/>
      <w:lvlJc w:val="left"/>
      <w:pPr>
        <w:tabs>
          <w:tab w:val="left" w:pos="5942"/>
        </w:tabs>
        <w:ind w:left="5942" w:hanging="1700"/>
      </w:pPr>
      <w:rPr>
        <w:rFonts w:hint="eastAsia"/>
      </w:rPr>
    </w:lvl>
  </w:abstractNum>
  <w:abstractNum w:abstractNumId="20">
    <w:nsid w:val="6D6C07CD"/>
    <w:multiLevelType w:val="multilevel"/>
    <w:tmpl w:val="6D6C07CD"/>
    <w:lvl w:ilvl="0" w:tentative="0">
      <w:start w:val="1"/>
      <w:numFmt w:val="lowerLetter"/>
      <w:pStyle w:val="111"/>
      <w:lvlText w:val="%1)"/>
      <w:lvlJc w:val="left"/>
      <w:pPr>
        <w:tabs>
          <w:tab w:val="left" w:pos="839"/>
        </w:tabs>
        <w:ind w:left="839" w:hanging="419"/>
      </w:pPr>
      <w:rPr>
        <w:rFonts w:hint="eastAsia" w:ascii="宋体" w:eastAsia="宋体"/>
        <w:b w:val="0"/>
        <w:i w:val="0"/>
        <w:sz w:val="21"/>
      </w:rPr>
    </w:lvl>
    <w:lvl w:ilvl="1" w:tentative="0">
      <w:start w:val="1"/>
      <w:numFmt w:val="decimal"/>
      <w:pStyle w:val="10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1">
    <w:nsid w:val="6DBF04F4"/>
    <w:multiLevelType w:val="multilevel"/>
    <w:tmpl w:val="6DBF04F4"/>
    <w:lvl w:ilvl="0" w:tentative="0">
      <w:start w:val="1"/>
      <w:numFmt w:val="none"/>
      <w:pStyle w:val="6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2">
    <w:nsid w:val="7933628F"/>
    <w:multiLevelType w:val="multilevel"/>
    <w:tmpl w:val="7933628F"/>
    <w:lvl w:ilvl="0" w:tentative="0">
      <w:start w:val="1"/>
      <w:numFmt w:val="lowerLetter"/>
      <w:pStyle w:val="6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0"/>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5"/>
  </w:num>
  <w:num w:numId="2">
    <w:abstractNumId w:val="14"/>
  </w:num>
  <w:num w:numId="3">
    <w:abstractNumId w:val="10"/>
  </w:num>
  <w:num w:numId="4">
    <w:abstractNumId w:val="13"/>
  </w:num>
  <w:num w:numId="5">
    <w:abstractNumId w:val="22"/>
  </w:num>
  <w:num w:numId="6">
    <w:abstractNumId w:val="21"/>
  </w:num>
  <w:num w:numId="7">
    <w:abstractNumId w:val="3"/>
  </w:num>
  <w:num w:numId="8">
    <w:abstractNumId w:val="16"/>
  </w:num>
  <w:num w:numId="9">
    <w:abstractNumId w:val="11"/>
  </w:num>
  <w:num w:numId="10">
    <w:abstractNumId w:val="9"/>
  </w:num>
  <w:num w:numId="11">
    <w:abstractNumId w:val="19"/>
  </w:num>
  <w:num w:numId="12">
    <w:abstractNumId w:val="17"/>
  </w:num>
  <w:num w:numId="13">
    <w:abstractNumId w:val="20"/>
  </w:num>
  <w:num w:numId="14">
    <w:abstractNumId w:val="12"/>
  </w:num>
  <w:num w:numId="15">
    <w:abstractNumId w:val="4"/>
  </w:num>
  <w:num w:numId="16">
    <w:abstractNumId w:val="7"/>
  </w:num>
  <w:num w:numId="17">
    <w:abstractNumId w:val="18"/>
  </w:num>
  <w:num w:numId="18">
    <w:abstractNumId w:val="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1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25"/>
    <w:rsid w:val="00000244"/>
    <w:rsid w:val="0000185F"/>
    <w:rsid w:val="00001E3D"/>
    <w:rsid w:val="00003F75"/>
    <w:rsid w:val="00004DA4"/>
    <w:rsid w:val="0000586F"/>
    <w:rsid w:val="0000693A"/>
    <w:rsid w:val="00010B01"/>
    <w:rsid w:val="00010F23"/>
    <w:rsid w:val="00011970"/>
    <w:rsid w:val="0001221C"/>
    <w:rsid w:val="000134DF"/>
    <w:rsid w:val="00013D86"/>
    <w:rsid w:val="00013E02"/>
    <w:rsid w:val="000143EA"/>
    <w:rsid w:val="000147DB"/>
    <w:rsid w:val="00015122"/>
    <w:rsid w:val="0001520A"/>
    <w:rsid w:val="00015C7E"/>
    <w:rsid w:val="000177A9"/>
    <w:rsid w:val="00017E89"/>
    <w:rsid w:val="0002143C"/>
    <w:rsid w:val="000218CD"/>
    <w:rsid w:val="00022755"/>
    <w:rsid w:val="0002336F"/>
    <w:rsid w:val="0002356C"/>
    <w:rsid w:val="000236DF"/>
    <w:rsid w:val="00023E88"/>
    <w:rsid w:val="00024255"/>
    <w:rsid w:val="00025A65"/>
    <w:rsid w:val="00026C31"/>
    <w:rsid w:val="00027280"/>
    <w:rsid w:val="000279E6"/>
    <w:rsid w:val="00027B9A"/>
    <w:rsid w:val="00030439"/>
    <w:rsid w:val="0003065D"/>
    <w:rsid w:val="00030F88"/>
    <w:rsid w:val="0003155D"/>
    <w:rsid w:val="0003165C"/>
    <w:rsid w:val="000317FF"/>
    <w:rsid w:val="00031B09"/>
    <w:rsid w:val="000320A7"/>
    <w:rsid w:val="000322CB"/>
    <w:rsid w:val="000329FB"/>
    <w:rsid w:val="0003318E"/>
    <w:rsid w:val="00033EE9"/>
    <w:rsid w:val="00035925"/>
    <w:rsid w:val="00036ECC"/>
    <w:rsid w:val="000432E4"/>
    <w:rsid w:val="00043348"/>
    <w:rsid w:val="00043715"/>
    <w:rsid w:val="00043D77"/>
    <w:rsid w:val="00045904"/>
    <w:rsid w:val="000461AD"/>
    <w:rsid w:val="000464FB"/>
    <w:rsid w:val="00047AB1"/>
    <w:rsid w:val="00051387"/>
    <w:rsid w:val="00052B1C"/>
    <w:rsid w:val="00052ED8"/>
    <w:rsid w:val="000570E4"/>
    <w:rsid w:val="000635DF"/>
    <w:rsid w:val="00064957"/>
    <w:rsid w:val="00065376"/>
    <w:rsid w:val="000674EB"/>
    <w:rsid w:val="00067CDF"/>
    <w:rsid w:val="000736F3"/>
    <w:rsid w:val="00074FBE"/>
    <w:rsid w:val="000754C0"/>
    <w:rsid w:val="000761CD"/>
    <w:rsid w:val="0008005C"/>
    <w:rsid w:val="00080A20"/>
    <w:rsid w:val="00080A8B"/>
    <w:rsid w:val="0008246B"/>
    <w:rsid w:val="00082615"/>
    <w:rsid w:val="00082645"/>
    <w:rsid w:val="0008346C"/>
    <w:rsid w:val="00083A09"/>
    <w:rsid w:val="00084A40"/>
    <w:rsid w:val="00084E22"/>
    <w:rsid w:val="0008532A"/>
    <w:rsid w:val="00086576"/>
    <w:rsid w:val="00086E54"/>
    <w:rsid w:val="000876FB"/>
    <w:rsid w:val="0009005E"/>
    <w:rsid w:val="0009265B"/>
    <w:rsid w:val="00092857"/>
    <w:rsid w:val="00092CD6"/>
    <w:rsid w:val="00092DC8"/>
    <w:rsid w:val="000958CD"/>
    <w:rsid w:val="000A1CD7"/>
    <w:rsid w:val="000A20A9"/>
    <w:rsid w:val="000A48B1"/>
    <w:rsid w:val="000A54CE"/>
    <w:rsid w:val="000A5604"/>
    <w:rsid w:val="000A5667"/>
    <w:rsid w:val="000A5704"/>
    <w:rsid w:val="000B0797"/>
    <w:rsid w:val="000B2A5E"/>
    <w:rsid w:val="000B3143"/>
    <w:rsid w:val="000B320E"/>
    <w:rsid w:val="000B3EA6"/>
    <w:rsid w:val="000B4860"/>
    <w:rsid w:val="000B4937"/>
    <w:rsid w:val="000B4FC5"/>
    <w:rsid w:val="000B514C"/>
    <w:rsid w:val="000B72C9"/>
    <w:rsid w:val="000B7822"/>
    <w:rsid w:val="000B7F97"/>
    <w:rsid w:val="000C0052"/>
    <w:rsid w:val="000C057D"/>
    <w:rsid w:val="000C0CC2"/>
    <w:rsid w:val="000C1148"/>
    <w:rsid w:val="000C2C7A"/>
    <w:rsid w:val="000C312D"/>
    <w:rsid w:val="000C3640"/>
    <w:rsid w:val="000C4D78"/>
    <w:rsid w:val="000C6B05"/>
    <w:rsid w:val="000C6CFC"/>
    <w:rsid w:val="000C6DD6"/>
    <w:rsid w:val="000C73D4"/>
    <w:rsid w:val="000C7924"/>
    <w:rsid w:val="000C7F3D"/>
    <w:rsid w:val="000D063A"/>
    <w:rsid w:val="000D07F3"/>
    <w:rsid w:val="000D1CE9"/>
    <w:rsid w:val="000D2CF3"/>
    <w:rsid w:val="000D339E"/>
    <w:rsid w:val="000D383A"/>
    <w:rsid w:val="000D3A3F"/>
    <w:rsid w:val="000D3D4C"/>
    <w:rsid w:val="000D4F51"/>
    <w:rsid w:val="000D5F7D"/>
    <w:rsid w:val="000D6EE1"/>
    <w:rsid w:val="000D718B"/>
    <w:rsid w:val="000E0C46"/>
    <w:rsid w:val="000E3624"/>
    <w:rsid w:val="000E5942"/>
    <w:rsid w:val="000E5B6F"/>
    <w:rsid w:val="000E651D"/>
    <w:rsid w:val="000E6D83"/>
    <w:rsid w:val="000E73F5"/>
    <w:rsid w:val="000E7840"/>
    <w:rsid w:val="000F030C"/>
    <w:rsid w:val="000F0A34"/>
    <w:rsid w:val="000F0E2F"/>
    <w:rsid w:val="000F129C"/>
    <w:rsid w:val="000F2ACC"/>
    <w:rsid w:val="000F2BB7"/>
    <w:rsid w:val="000F2D13"/>
    <w:rsid w:val="000F364E"/>
    <w:rsid w:val="000F47A8"/>
    <w:rsid w:val="000F4D6B"/>
    <w:rsid w:val="000F5F14"/>
    <w:rsid w:val="000F6470"/>
    <w:rsid w:val="000F727D"/>
    <w:rsid w:val="000F74A3"/>
    <w:rsid w:val="000F7C36"/>
    <w:rsid w:val="00101798"/>
    <w:rsid w:val="00101F50"/>
    <w:rsid w:val="0010213F"/>
    <w:rsid w:val="001025ED"/>
    <w:rsid w:val="001037AD"/>
    <w:rsid w:val="00104EAD"/>
    <w:rsid w:val="001056DE"/>
    <w:rsid w:val="00105908"/>
    <w:rsid w:val="00106B60"/>
    <w:rsid w:val="00107020"/>
    <w:rsid w:val="001074F4"/>
    <w:rsid w:val="00107B67"/>
    <w:rsid w:val="0011009A"/>
    <w:rsid w:val="00110978"/>
    <w:rsid w:val="001110DA"/>
    <w:rsid w:val="00111643"/>
    <w:rsid w:val="00111EFE"/>
    <w:rsid w:val="001124C0"/>
    <w:rsid w:val="001137DA"/>
    <w:rsid w:val="00113C83"/>
    <w:rsid w:val="0011457F"/>
    <w:rsid w:val="0011466F"/>
    <w:rsid w:val="00114A9A"/>
    <w:rsid w:val="00117046"/>
    <w:rsid w:val="001170C0"/>
    <w:rsid w:val="001209C6"/>
    <w:rsid w:val="00121884"/>
    <w:rsid w:val="0012219F"/>
    <w:rsid w:val="00122C27"/>
    <w:rsid w:val="0012432D"/>
    <w:rsid w:val="00126D28"/>
    <w:rsid w:val="00130849"/>
    <w:rsid w:val="00130B08"/>
    <w:rsid w:val="00130FD7"/>
    <w:rsid w:val="0013175F"/>
    <w:rsid w:val="001336B0"/>
    <w:rsid w:val="001343AE"/>
    <w:rsid w:val="00135EF0"/>
    <w:rsid w:val="00136DB9"/>
    <w:rsid w:val="001424A2"/>
    <w:rsid w:val="001425CD"/>
    <w:rsid w:val="00143527"/>
    <w:rsid w:val="00144756"/>
    <w:rsid w:val="001463DE"/>
    <w:rsid w:val="00146DD6"/>
    <w:rsid w:val="0015021D"/>
    <w:rsid w:val="001504ED"/>
    <w:rsid w:val="001509DF"/>
    <w:rsid w:val="00151128"/>
    <w:rsid w:val="001512B4"/>
    <w:rsid w:val="00151319"/>
    <w:rsid w:val="00151D25"/>
    <w:rsid w:val="00152ACD"/>
    <w:rsid w:val="00156336"/>
    <w:rsid w:val="00160EF0"/>
    <w:rsid w:val="00160FA1"/>
    <w:rsid w:val="001620A5"/>
    <w:rsid w:val="0016235F"/>
    <w:rsid w:val="001628C1"/>
    <w:rsid w:val="00162D21"/>
    <w:rsid w:val="00162EAF"/>
    <w:rsid w:val="00163DE7"/>
    <w:rsid w:val="00164CAA"/>
    <w:rsid w:val="00164E53"/>
    <w:rsid w:val="0016699D"/>
    <w:rsid w:val="00166DCA"/>
    <w:rsid w:val="00166E63"/>
    <w:rsid w:val="001677DD"/>
    <w:rsid w:val="0017023C"/>
    <w:rsid w:val="00170C74"/>
    <w:rsid w:val="00173AD6"/>
    <w:rsid w:val="00173EDB"/>
    <w:rsid w:val="00173F14"/>
    <w:rsid w:val="00175159"/>
    <w:rsid w:val="00175730"/>
    <w:rsid w:val="00175736"/>
    <w:rsid w:val="00176208"/>
    <w:rsid w:val="00176CFA"/>
    <w:rsid w:val="001771C4"/>
    <w:rsid w:val="00177295"/>
    <w:rsid w:val="00177A7E"/>
    <w:rsid w:val="00180147"/>
    <w:rsid w:val="00180186"/>
    <w:rsid w:val="00180832"/>
    <w:rsid w:val="001817F5"/>
    <w:rsid w:val="0018211B"/>
    <w:rsid w:val="0018319D"/>
    <w:rsid w:val="00184017"/>
    <w:rsid w:val="001840D3"/>
    <w:rsid w:val="00184BCC"/>
    <w:rsid w:val="00184BF9"/>
    <w:rsid w:val="00185F76"/>
    <w:rsid w:val="00186866"/>
    <w:rsid w:val="001900F8"/>
    <w:rsid w:val="00190B65"/>
    <w:rsid w:val="00191258"/>
    <w:rsid w:val="00192027"/>
    <w:rsid w:val="00192680"/>
    <w:rsid w:val="00193037"/>
    <w:rsid w:val="00193A2C"/>
    <w:rsid w:val="00194317"/>
    <w:rsid w:val="0019434A"/>
    <w:rsid w:val="001958A1"/>
    <w:rsid w:val="0019683E"/>
    <w:rsid w:val="00196A14"/>
    <w:rsid w:val="001971C4"/>
    <w:rsid w:val="00197883"/>
    <w:rsid w:val="00197FBE"/>
    <w:rsid w:val="001A0EDA"/>
    <w:rsid w:val="001A112B"/>
    <w:rsid w:val="001A11EE"/>
    <w:rsid w:val="001A224A"/>
    <w:rsid w:val="001A288E"/>
    <w:rsid w:val="001A2BD6"/>
    <w:rsid w:val="001A4A3D"/>
    <w:rsid w:val="001A5919"/>
    <w:rsid w:val="001A5930"/>
    <w:rsid w:val="001B019E"/>
    <w:rsid w:val="001B12E2"/>
    <w:rsid w:val="001B1374"/>
    <w:rsid w:val="001B16C4"/>
    <w:rsid w:val="001B2419"/>
    <w:rsid w:val="001B276B"/>
    <w:rsid w:val="001B2934"/>
    <w:rsid w:val="001B2D8E"/>
    <w:rsid w:val="001B2F54"/>
    <w:rsid w:val="001B3317"/>
    <w:rsid w:val="001B3916"/>
    <w:rsid w:val="001B3FBB"/>
    <w:rsid w:val="001B5DC6"/>
    <w:rsid w:val="001B69BD"/>
    <w:rsid w:val="001B6DC2"/>
    <w:rsid w:val="001B7E54"/>
    <w:rsid w:val="001B7E9A"/>
    <w:rsid w:val="001C0B70"/>
    <w:rsid w:val="001C149C"/>
    <w:rsid w:val="001C1760"/>
    <w:rsid w:val="001C1BAC"/>
    <w:rsid w:val="001C1DA2"/>
    <w:rsid w:val="001C1EB3"/>
    <w:rsid w:val="001C21AC"/>
    <w:rsid w:val="001C2557"/>
    <w:rsid w:val="001C3D39"/>
    <w:rsid w:val="001C4030"/>
    <w:rsid w:val="001C47BA"/>
    <w:rsid w:val="001C4983"/>
    <w:rsid w:val="001C59EA"/>
    <w:rsid w:val="001C5DE4"/>
    <w:rsid w:val="001C698B"/>
    <w:rsid w:val="001D2A71"/>
    <w:rsid w:val="001D312D"/>
    <w:rsid w:val="001D3968"/>
    <w:rsid w:val="001D3C3C"/>
    <w:rsid w:val="001D406C"/>
    <w:rsid w:val="001D4128"/>
    <w:rsid w:val="001D41EE"/>
    <w:rsid w:val="001D438C"/>
    <w:rsid w:val="001D4D78"/>
    <w:rsid w:val="001D5277"/>
    <w:rsid w:val="001D57D6"/>
    <w:rsid w:val="001D5CAE"/>
    <w:rsid w:val="001D6285"/>
    <w:rsid w:val="001D64D4"/>
    <w:rsid w:val="001D67FD"/>
    <w:rsid w:val="001D7CA6"/>
    <w:rsid w:val="001E0380"/>
    <w:rsid w:val="001E13B1"/>
    <w:rsid w:val="001E2253"/>
    <w:rsid w:val="001E27F5"/>
    <w:rsid w:val="001E2BCF"/>
    <w:rsid w:val="001E2E39"/>
    <w:rsid w:val="001E33FA"/>
    <w:rsid w:val="001E509B"/>
    <w:rsid w:val="001E5472"/>
    <w:rsid w:val="001E56DF"/>
    <w:rsid w:val="001E5F6A"/>
    <w:rsid w:val="001E5FCB"/>
    <w:rsid w:val="001E6E5B"/>
    <w:rsid w:val="001E706C"/>
    <w:rsid w:val="001E73EA"/>
    <w:rsid w:val="001E75D2"/>
    <w:rsid w:val="001E794F"/>
    <w:rsid w:val="001F0304"/>
    <w:rsid w:val="001F14CF"/>
    <w:rsid w:val="001F31A7"/>
    <w:rsid w:val="001F33AA"/>
    <w:rsid w:val="001F3A19"/>
    <w:rsid w:val="001F5249"/>
    <w:rsid w:val="00201053"/>
    <w:rsid w:val="00201FAB"/>
    <w:rsid w:val="00203AC1"/>
    <w:rsid w:val="0020486D"/>
    <w:rsid w:val="00204883"/>
    <w:rsid w:val="002048C8"/>
    <w:rsid w:val="00205460"/>
    <w:rsid w:val="00205B87"/>
    <w:rsid w:val="00205E8C"/>
    <w:rsid w:val="00207048"/>
    <w:rsid w:val="002075E6"/>
    <w:rsid w:val="00207B61"/>
    <w:rsid w:val="002112D0"/>
    <w:rsid w:val="00211312"/>
    <w:rsid w:val="00213B25"/>
    <w:rsid w:val="00213C2D"/>
    <w:rsid w:val="0021580F"/>
    <w:rsid w:val="002160F2"/>
    <w:rsid w:val="00216E83"/>
    <w:rsid w:val="00217782"/>
    <w:rsid w:val="002204BD"/>
    <w:rsid w:val="00220961"/>
    <w:rsid w:val="00220F1C"/>
    <w:rsid w:val="00221751"/>
    <w:rsid w:val="00222882"/>
    <w:rsid w:val="002228DA"/>
    <w:rsid w:val="002244C3"/>
    <w:rsid w:val="002264DF"/>
    <w:rsid w:val="00226CEC"/>
    <w:rsid w:val="0022789A"/>
    <w:rsid w:val="0022798A"/>
    <w:rsid w:val="0023035E"/>
    <w:rsid w:val="0023345A"/>
    <w:rsid w:val="002335A8"/>
    <w:rsid w:val="00233F28"/>
    <w:rsid w:val="00233F99"/>
    <w:rsid w:val="00234467"/>
    <w:rsid w:val="00236A10"/>
    <w:rsid w:val="00236B59"/>
    <w:rsid w:val="00237D8D"/>
    <w:rsid w:val="00237E07"/>
    <w:rsid w:val="00240331"/>
    <w:rsid w:val="00241DA2"/>
    <w:rsid w:val="002436BE"/>
    <w:rsid w:val="0024394D"/>
    <w:rsid w:val="00244C2C"/>
    <w:rsid w:val="00245579"/>
    <w:rsid w:val="00247290"/>
    <w:rsid w:val="00247FEE"/>
    <w:rsid w:val="00250E7D"/>
    <w:rsid w:val="00251423"/>
    <w:rsid w:val="0025157B"/>
    <w:rsid w:val="0025182B"/>
    <w:rsid w:val="0025276A"/>
    <w:rsid w:val="00252A2B"/>
    <w:rsid w:val="002541BF"/>
    <w:rsid w:val="00254450"/>
    <w:rsid w:val="00254EA7"/>
    <w:rsid w:val="002565D5"/>
    <w:rsid w:val="0025799D"/>
    <w:rsid w:val="002608BC"/>
    <w:rsid w:val="002622C0"/>
    <w:rsid w:val="00263556"/>
    <w:rsid w:val="00265663"/>
    <w:rsid w:val="00267403"/>
    <w:rsid w:val="00271C7C"/>
    <w:rsid w:val="0027210D"/>
    <w:rsid w:val="002729E9"/>
    <w:rsid w:val="002731BC"/>
    <w:rsid w:val="0027462A"/>
    <w:rsid w:val="002750C7"/>
    <w:rsid w:val="0027638F"/>
    <w:rsid w:val="00276458"/>
    <w:rsid w:val="00276D21"/>
    <w:rsid w:val="002778AE"/>
    <w:rsid w:val="00277CBD"/>
    <w:rsid w:val="002812E3"/>
    <w:rsid w:val="00281305"/>
    <w:rsid w:val="0028269A"/>
    <w:rsid w:val="00283590"/>
    <w:rsid w:val="00283D79"/>
    <w:rsid w:val="00283F59"/>
    <w:rsid w:val="00284245"/>
    <w:rsid w:val="0028500E"/>
    <w:rsid w:val="002850EC"/>
    <w:rsid w:val="00285C7A"/>
    <w:rsid w:val="00285DAA"/>
    <w:rsid w:val="00286973"/>
    <w:rsid w:val="002871F5"/>
    <w:rsid w:val="002901EB"/>
    <w:rsid w:val="00290316"/>
    <w:rsid w:val="00290BFD"/>
    <w:rsid w:val="00290F2C"/>
    <w:rsid w:val="0029106E"/>
    <w:rsid w:val="00292E94"/>
    <w:rsid w:val="002932ED"/>
    <w:rsid w:val="00294E70"/>
    <w:rsid w:val="00295163"/>
    <w:rsid w:val="00295A6A"/>
    <w:rsid w:val="00295C5F"/>
    <w:rsid w:val="00296991"/>
    <w:rsid w:val="00297257"/>
    <w:rsid w:val="002A01D3"/>
    <w:rsid w:val="002A1924"/>
    <w:rsid w:val="002A1EA8"/>
    <w:rsid w:val="002A1F04"/>
    <w:rsid w:val="002A1F67"/>
    <w:rsid w:val="002A40A1"/>
    <w:rsid w:val="002A58DB"/>
    <w:rsid w:val="002A59B5"/>
    <w:rsid w:val="002A5D83"/>
    <w:rsid w:val="002A61D1"/>
    <w:rsid w:val="002A62E7"/>
    <w:rsid w:val="002A6D11"/>
    <w:rsid w:val="002A7420"/>
    <w:rsid w:val="002A76F4"/>
    <w:rsid w:val="002A7D0A"/>
    <w:rsid w:val="002B0696"/>
    <w:rsid w:val="002B0F12"/>
    <w:rsid w:val="002B1077"/>
    <w:rsid w:val="002B1308"/>
    <w:rsid w:val="002B1E73"/>
    <w:rsid w:val="002B204A"/>
    <w:rsid w:val="002B3346"/>
    <w:rsid w:val="002B3464"/>
    <w:rsid w:val="002B39F5"/>
    <w:rsid w:val="002B3B64"/>
    <w:rsid w:val="002B4554"/>
    <w:rsid w:val="002C100E"/>
    <w:rsid w:val="002C4A0C"/>
    <w:rsid w:val="002C72D8"/>
    <w:rsid w:val="002C72DC"/>
    <w:rsid w:val="002C7AE1"/>
    <w:rsid w:val="002D11FA"/>
    <w:rsid w:val="002D32E6"/>
    <w:rsid w:val="002D3747"/>
    <w:rsid w:val="002D429E"/>
    <w:rsid w:val="002D6485"/>
    <w:rsid w:val="002D67C6"/>
    <w:rsid w:val="002D70F8"/>
    <w:rsid w:val="002D7399"/>
    <w:rsid w:val="002D78B6"/>
    <w:rsid w:val="002E0DDF"/>
    <w:rsid w:val="002E0EA0"/>
    <w:rsid w:val="002E1582"/>
    <w:rsid w:val="002E18EC"/>
    <w:rsid w:val="002E2205"/>
    <w:rsid w:val="002E2644"/>
    <w:rsid w:val="002E2906"/>
    <w:rsid w:val="002E363B"/>
    <w:rsid w:val="002E3EFB"/>
    <w:rsid w:val="002E52DF"/>
    <w:rsid w:val="002E5635"/>
    <w:rsid w:val="002E576E"/>
    <w:rsid w:val="002E5EEA"/>
    <w:rsid w:val="002E64C3"/>
    <w:rsid w:val="002E6857"/>
    <w:rsid w:val="002E6A2C"/>
    <w:rsid w:val="002F01C3"/>
    <w:rsid w:val="002F0582"/>
    <w:rsid w:val="002F12A2"/>
    <w:rsid w:val="002F1360"/>
    <w:rsid w:val="002F1D8C"/>
    <w:rsid w:val="002F1D9C"/>
    <w:rsid w:val="002F21DA"/>
    <w:rsid w:val="002F2439"/>
    <w:rsid w:val="002F319B"/>
    <w:rsid w:val="002F349D"/>
    <w:rsid w:val="002F3A6B"/>
    <w:rsid w:val="002F5033"/>
    <w:rsid w:val="002F53A8"/>
    <w:rsid w:val="002F5467"/>
    <w:rsid w:val="00301ACA"/>
    <w:rsid w:val="00301BD4"/>
    <w:rsid w:val="00301F39"/>
    <w:rsid w:val="00303BD0"/>
    <w:rsid w:val="00304318"/>
    <w:rsid w:val="00304A82"/>
    <w:rsid w:val="00304D39"/>
    <w:rsid w:val="0030542E"/>
    <w:rsid w:val="00305478"/>
    <w:rsid w:val="0030664E"/>
    <w:rsid w:val="003068C0"/>
    <w:rsid w:val="00307107"/>
    <w:rsid w:val="00307612"/>
    <w:rsid w:val="0030767C"/>
    <w:rsid w:val="003115FD"/>
    <w:rsid w:val="0031191B"/>
    <w:rsid w:val="00311E2F"/>
    <w:rsid w:val="0031228C"/>
    <w:rsid w:val="00312755"/>
    <w:rsid w:val="00312873"/>
    <w:rsid w:val="00313F0E"/>
    <w:rsid w:val="00314E39"/>
    <w:rsid w:val="003150FC"/>
    <w:rsid w:val="00315B07"/>
    <w:rsid w:val="00315E49"/>
    <w:rsid w:val="003161E6"/>
    <w:rsid w:val="00316844"/>
    <w:rsid w:val="00317604"/>
    <w:rsid w:val="0032134C"/>
    <w:rsid w:val="0032190E"/>
    <w:rsid w:val="00321B13"/>
    <w:rsid w:val="00322CBE"/>
    <w:rsid w:val="00324790"/>
    <w:rsid w:val="00325926"/>
    <w:rsid w:val="003263E3"/>
    <w:rsid w:val="003266DB"/>
    <w:rsid w:val="00326B93"/>
    <w:rsid w:val="003277A1"/>
    <w:rsid w:val="00327A8A"/>
    <w:rsid w:val="0033099B"/>
    <w:rsid w:val="00330BBC"/>
    <w:rsid w:val="00330D9C"/>
    <w:rsid w:val="0033123A"/>
    <w:rsid w:val="003318A3"/>
    <w:rsid w:val="00332207"/>
    <w:rsid w:val="00333782"/>
    <w:rsid w:val="003342B3"/>
    <w:rsid w:val="0033474B"/>
    <w:rsid w:val="00335670"/>
    <w:rsid w:val="003359F7"/>
    <w:rsid w:val="00335EB0"/>
    <w:rsid w:val="00336226"/>
    <w:rsid w:val="00336610"/>
    <w:rsid w:val="00336D90"/>
    <w:rsid w:val="00336E10"/>
    <w:rsid w:val="00336FC4"/>
    <w:rsid w:val="00337456"/>
    <w:rsid w:val="00337FDA"/>
    <w:rsid w:val="00340E40"/>
    <w:rsid w:val="003411F7"/>
    <w:rsid w:val="00341566"/>
    <w:rsid w:val="00342ADB"/>
    <w:rsid w:val="0034361C"/>
    <w:rsid w:val="00343F73"/>
    <w:rsid w:val="00344086"/>
    <w:rsid w:val="003442F7"/>
    <w:rsid w:val="00345060"/>
    <w:rsid w:val="0034534B"/>
    <w:rsid w:val="00345C4F"/>
    <w:rsid w:val="00345D0C"/>
    <w:rsid w:val="00346503"/>
    <w:rsid w:val="00346F20"/>
    <w:rsid w:val="003478C8"/>
    <w:rsid w:val="00350D67"/>
    <w:rsid w:val="00351644"/>
    <w:rsid w:val="0035323B"/>
    <w:rsid w:val="00353A8F"/>
    <w:rsid w:val="00356C95"/>
    <w:rsid w:val="0035701F"/>
    <w:rsid w:val="003574D1"/>
    <w:rsid w:val="00357CD0"/>
    <w:rsid w:val="00360546"/>
    <w:rsid w:val="003609D2"/>
    <w:rsid w:val="003620BA"/>
    <w:rsid w:val="00362A78"/>
    <w:rsid w:val="0036371F"/>
    <w:rsid w:val="003637B5"/>
    <w:rsid w:val="00363F22"/>
    <w:rsid w:val="003642A6"/>
    <w:rsid w:val="00364CD5"/>
    <w:rsid w:val="00365963"/>
    <w:rsid w:val="0036610E"/>
    <w:rsid w:val="00366286"/>
    <w:rsid w:val="00366C09"/>
    <w:rsid w:val="00367B80"/>
    <w:rsid w:val="003707BC"/>
    <w:rsid w:val="00370C72"/>
    <w:rsid w:val="003722A0"/>
    <w:rsid w:val="003723AE"/>
    <w:rsid w:val="00373319"/>
    <w:rsid w:val="00373500"/>
    <w:rsid w:val="00373C00"/>
    <w:rsid w:val="00375564"/>
    <w:rsid w:val="00375C37"/>
    <w:rsid w:val="00376725"/>
    <w:rsid w:val="0037678A"/>
    <w:rsid w:val="00376BB3"/>
    <w:rsid w:val="00376F28"/>
    <w:rsid w:val="00377C95"/>
    <w:rsid w:val="00380190"/>
    <w:rsid w:val="00381EA0"/>
    <w:rsid w:val="003821B1"/>
    <w:rsid w:val="00382315"/>
    <w:rsid w:val="00383109"/>
    <w:rsid w:val="00383191"/>
    <w:rsid w:val="00383AAF"/>
    <w:rsid w:val="00383AC4"/>
    <w:rsid w:val="00386255"/>
    <w:rsid w:val="00386DED"/>
    <w:rsid w:val="0038714A"/>
    <w:rsid w:val="00387788"/>
    <w:rsid w:val="00387BE1"/>
    <w:rsid w:val="003912E7"/>
    <w:rsid w:val="00393477"/>
    <w:rsid w:val="00393947"/>
    <w:rsid w:val="00394301"/>
    <w:rsid w:val="003955EC"/>
    <w:rsid w:val="00395E45"/>
    <w:rsid w:val="003962B2"/>
    <w:rsid w:val="003A039D"/>
    <w:rsid w:val="003A04A7"/>
    <w:rsid w:val="003A2275"/>
    <w:rsid w:val="003A2DF8"/>
    <w:rsid w:val="003A34E2"/>
    <w:rsid w:val="003A6A4F"/>
    <w:rsid w:val="003A7088"/>
    <w:rsid w:val="003B00DF"/>
    <w:rsid w:val="003B01D7"/>
    <w:rsid w:val="003B0F8B"/>
    <w:rsid w:val="003B1275"/>
    <w:rsid w:val="003B1778"/>
    <w:rsid w:val="003B18C1"/>
    <w:rsid w:val="003B1E5A"/>
    <w:rsid w:val="003B23BB"/>
    <w:rsid w:val="003B29B7"/>
    <w:rsid w:val="003B3CC4"/>
    <w:rsid w:val="003B44D2"/>
    <w:rsid w:val="003B4A71"/>
    <w:rsid w:val="003B5144"/>
    <w:rsid w:val="003B51C2"/>
    <w:rsid w:val="003B60BD"/>
    <w:rsid w:val="003B60FD"/>
    <w:rsid w:val="003B67E7"/>
    <w:rsid w:val="003B68F0"/>
    <w:rsid w:val="003B6AFB"/>
    <w:rsid w:val="003C0C85"/>
    <w:rsid w:val="003C11AB"/>
    <w:rsid w:val="003C11CB"/>
    <w:rsid w:val="003C192D"/>
    <w:rsid w:val="003C21BD"/>
    <w:rsid w:val="003C272D"/>
    <w:rsid w:val="003C32A4"/>
    <w:rsid w:val="003C38FB"/>
    <w:rsid w:val="003C3B43"/>
    <w:rsid w:val="003C63EC"/>
    <w:rsid w:val="003C6422"/>
    <w:rsid w:val="003C6615"/>
    <w:rsid w:val="003C6A2D"/>
    <w:rsid w:val="003C72F6"/>
    <w:rsid w:val="003C75F3"/>
    <w:rsid w:val="003C78A3"/>
    <w:rsid w:val="003C7AC0"/>
    <w:rsid w:val="003D053B"/>
    <w:rsid w:val="003D1660"/>
    <w:rsid w:val="003D1D79"/>
    <w:rsid w:val="003D3FD0"/>
    <w:rsid w:val="003D4B69"/>
    <w:rsid w:val="003D509B"/>
    <w:rsid w:val="003D600D"/>
    <w:rsid w:val="003D6830"/>
    <w:rsid w:val="003D7312"/>
    <w:rsid w:val="003D732C"/>
    <w:rsid w:val="003D79CA"/>
    <w:rsid w:val="003D7ABD"/>
    <w:rsid w:val="003E1434"/>
    <w:rsid w:val="003E1867"/>
    <w:rsid w:val="003E1E2A"/>
    <w:rsid w:val="003E22EC"/>
    <w:rsid w:val="003E2B3D"/>
    <w:rsid w:val="003E359B"/>
    <w:rsid w:val="003E5729"/>
    <w:rsid w:val="003E6F66"/>
    <w:rsid w:val="003F0213"/>
    <w:rsid w:val="003F043E"/>
    <w:rsid w:val="003F074C"/>
    <w:rsid w:val="003F0AE8"/>
    <w:rsid w:val="003F1909"/>
    <w:rsid w:val="003F3116"/>
    <w:rsid w:val="003F3D96"/>
    <w:rsid w:val="003F420D"/>
    <w:rsid w:val="003F4EE0"/>
    <w:rsid w:val="003F6945"/>
    <w:rsid w:val="004007C2"/>
    <w:rsid w:val="0040186A"/>
    <w:rsid w:val="00402153"/>
    <w:rsid w:val="00402FC1"/>
    <w:rsid w:val="0040417B"/>
    <w:rsid w:val="00407E39"/>
    <w:rsid w:val="004100EF"/>
    <w:rsid w:val="004115E0"/>
    <w:rsid w:val="004119C5"/>
    <w:rsid w:val="0041250D"/>
    <w:rsid w:val="0041259A"/>
    <w:rsid w:val="00414D15"/>
    <w:rsid w:val="00415671"/>
    <w:rsid w:val="00416F23"/>
    <w:rsid w:val="00417FA4"/>
    <w:rsid w:val="004201E3"/>
    <w:rsid w:val="00421016"/>
    <w:rsid w:val="0042189A"/>
    <w:rsid w:val="00421990"/>
    <w:rsid w:val="00421C6B"/>
    <w:rsid w:val="004243BC"/>
    <w:rsid w:val="00425082"/>
    <w:rsid w:val="00426532"/>
    <w:rsid w:val="004266F4"/>
    <w:rsid w:val="00426CE8"/>
    <w:rsid w:val="004313AD"/>
    <w:rsid w:val="00431DEB"/>
    <w:rsid w:val="0043219C"/>
    <w:rsid w:val="0043379A"/>
    <w:rsid w:val="004341B7"/>
    <w:rsid w:val="00434BC4"/>
    <w:rsid w:val="0043634F"/>
    <w:rsid w:val="004367D5"/>
    <w:rsid w:val="00437290"/>
    <w:rsid w:val="004373F1"/>
    <w:rsid w:val="004405A1"/>
    <w:rsid w:val="00440DF1"/>
    <w:rsid w:val="004421A9"/>
    <w:rsid w:val="00442A61"/>
    <w:rsid w:val="00442D26"/>
    <w:rsid w:val="0044406C"/>
    <w:rsid w:val="00444665"/>
    <w:rsid w:val="004450B4"/>
    <w:rsid w:val="0044513C"/>
    <w:rsid w:val="00446767"/>
    <w:rsid w:val="00446B29"/>
    <w:rsid w:val="0044710F"/>
    <w:rsid w:val="0044798B"/>
    <w:rsid w:val="00447ED8"/>
    <w:rsid w:val="00450CA8"/>
    <w:rsid w:val="00450E51"/>
    <w:rsid w:val="00452B0F"/>
    <w:rsid w:val="00452F18"/>
    <w:rsid w:val="00453F9A"/>
    <w:rsid w:val="00454738"/>
    <w:rsid w:val="004556B2"/>
    <w:rsid w:val="0045689D"/>
    <w:rsid w:val="00461837"/>
    <w:rsid w:val="00461AF5"/>
    <w:rsid w:val="0046216A"/>
    <w:rsid w:val="00462486"/>
    <w:rsid w:val="0046286A"/>
    <w:rsid w:val="00462B27"/>
    <w:rsid w:val="00463925"/>
    <w:rsid w:val="00463CEA"/>
    <w:rsid w:val="00463D06"/>
    <w:rsid w:val="004640AF"/>
    <w:rsid w:val="0046461B"/>
    <w:rsid w:val="0046530F"/>
    <w:rsid w:val="00467A9E"/>
    <w:rsid w:val="004704A0"/>
    <w:rsid w:val="004706FB"/>
    <w:rsid w:val="0047136C"/>
    <w:rsid w:val="00471E91"/>
    <w:rsid w:val="00474389"/>
    <w:rsid w:val="00474675"/>
    <w:rsid w:val="0047470C"/>
    <w:rsid w:val="00474E6B"/>
    <w:rsid w:val="00475425"/>
    <w:rsid w:val="0047565F"/>
    <w:rsid w:val="00475744"/>
    <w:rsid w:val="00475BF1"/>
    <w:rsid w:val="00476174"/>
    <w:rsid w:val="00476AE6"/>
    <w:rsid w:val="00476EE0"/>
    <w:rsid w:val="00477049"/>
    <w:rsid w:val="00477EDB"/>
    <w:rsid w:val="00480475"/>
    <w:rsid w:val="00480E32"/>
    <w:rsid w:val="00481387"/>
    <w:rsid w:val="00481A3B"/>
    <w:rsid w:val="00482988"/>
    <w:rsid w:val="00484136"/>
    <w:rsid w:val="0048446D"/>
    <w:rsid w:val="0049091E"/>
    <w:rsid w:val="00491AAD"/>
    <w:rsid w:val="00491B94"/>
    <w:rsid w:val="0049363C"/>
    <w:rsid w:val="0049372C"/>
    <w:rsid w:val="00493E9E"/>
    <w:rsid w:val="00494014"/>
    <w:rsid w:val="004949D2"/>
    <w:rsid w:val="00494B23"/>
    <w:rsid w:val="00496024"/>
    <w:rsid w:val="00496A1F"/>
    <w:rsid w:val="00497052"/>
    <w:rsid w:val="004A0348"/>
    <w:rsid w:val="004A0386"/>
    <w:rsid w:val="004A1C38"/>
    <w:rsid w:val="004A35F9"/>
    <w:rsid w:val="004A471A"/>
    <w:rsid w:val="004A4B9E"/>
    <w:rsid w:val="004A4CCB"/>
    <w:rsid w:val="004A5191"/>
    <w:rsid w:val="004A78DA"/>
    <w:rsid w:val="004B0C30"/>
    <w:rsid w:val="004B192C"/>
    <w:rsid w:val="004B24C1"/>
    <w:rsid w:val="004B255A"/>
    <w:rsid w:val="004B28EC"/>
    <w:rsid w:val="004B2CBA"/>
    <w:rsid w:val="004B3260"/>
    <w:rsid w:val="004B33B7"/>
    <w:rsid w:val="004B3A41"/>
    <w:rsid w:val="004B3CAD"/>
    <w:rsid w:val="004B43D0"/>
    <w:rsid w:val="004B670C"/>
    <w:rsid w:val="004B6D83"/>
    <w:rsid w:val="004B7E4D"/>
    <w:rsid w:val="004C13EF"/>
    <w:rsid w:val="004C1D17"/>
    <w:rsid w:val="004C292F"/>
    <w:rsid w:val="004C2CD1"/>
    <w:rsid w:val="004C2F60"/>
    <w:rsid w:val="004C4741"/>
    <w:rsid w:val="004C4BD2"/>
    <w:rsid w:val="004C61B0"/>
    <w:rsid w:val="004C69DD"/>
    <w:rsid w:val="004C7499"/>
    <w:rsid w:val="004C74DE"/>
    <w:rsid w:val="004C7F67"/>
    <w:rsid w:val="004D07FF"/>
    <w:rsid w:val="004D40AC"/>
    <w:rsid w:val="004D43F7"/>
    <w:rsid w:val="004D5786"/>
    <w:rsid w:val="004D5B95"/>
    <w:rsid w:val="004D6973"/>
    <w:rsid w:val="004E0C3C"/>
    <w:rsid w:val="004E2191"/>
    <w:rsid w:val="004E2C42"/>
    <w:rsid w:val="004E3615"/>
    <w:rsid w:val="004E455C"/>
    <w:rsid w:val="004E4935"/>
    <w:rsid w:val="004E52A8"/>
    <w:rsid w:val="004E5EDD"/>
    <w:rsid w:val="004E6CD5"/>
    <w:rsid w:val="004E7A2E"/>
    <w:rsid w:val="004F22E9"/>
    <w:rsid w:val="004F3D9F"/>
    <w:rsid w:val="004F4CF0"/>
    <w:rsid w:val="004F5307"/>
    <w:rsid w:val="004F6621"/>
    <w:rsid w:val="004F7E1B"/>
    <w:rsid w:val="00500858"/>
    <w:rsid w:val="005009C2"/>
    <w:rsid w:val="00500A32"/>
    <w:rsid w:val="00500A79"/>
    <w:rsid w:val="00500ED2"/>
    <w:rsid w:val="00502DCC"/>
    <w:rsid w:val="0050399D"/>
    <w:rsid w:val="00504651"/>
    <w:rsid w:val="005056E6"/>
    <w:rsid w:val="005057F3"/>
    <w:rsid w:val="0050606B"/>
    <w:rsid w:val="00510280"/>
    <w:rsid w:val="00510925"/>
    <w:rsid w:val="00510E3E"/>
    <w:rsid w:val="00513D73"/>
    <w:rsid w:val="00514A43"/>
    <w:rsid w:val="00514ACF"/>
    <w:rsid w:val="005156EE"/>
    <w:rsid w:val="005174E5"/>
    <w:rsid w:val="00517A11"/>
    <w:rsid w:val="00517F55"/>
    <w:rsid w:val="0052074F"/>
    <w:rsid w:val="00520A4F"/>
    <w:rsid w:val="00520F3B"/>
    <w:rsid w:val="0052204B"/>
    <w:rsid w:val="00522393"/>
    <w:rsid w:val="00522620"/>
    <w:rsid w:val="00524877"/>
    <w:rsid w:val="00525656"/>
    <w:rsid w:val="005257E7"/>
    <w:rsid w:val="00525EDE"/>
    <w:rsid w:val="00525FDD"/>
    <w:rsid w:val="005262EA"/>
    <w:rsid w:val="00526B5E"/>
    <w:rsid w:val="00530A6E"/>
    <w:rsid w:val="00534A09"/>
    <w:rsid w:val="00534B3D"/>
    <w:rsid w:val="00534C02"/>
    <w:rsid w:val="005361B4"/>
    <w:rsid w:val="00536F58"/>
    <w:rsid w:val="0053795B"/>
    <w:rsid w:val="00540882"/>
    <w:rsid w:val="005409BD"/>
    <w:rsid w:val="0054264B"/>
    <w:rsid w:val="00543442"/>
    <w:rsid w:val="00543786"/>
    <w:rsid w:val="00543899"/>
    <w:rsid w:val="00545E17"/>
    <w:rsid w:val="005465BE"/>
    <w:rsid w:val="00546A57"/>
    <w:rsid w:val="00547AF8"/>
    <w:rsid w:val="00550378"/>
    <w:rsid w:val="0055137F"/>
    <w:rsid w:val="00552E01"/>
    <w:rsid w:val="005533D7"/>
    <w:rsid w:val="005541B2"/>
    <w:rsid w:val="00555063"/>
    <w:rsid w:val="00555FFE"/>
    <w:rsid w:val="00556CEE"/>
    <w:rsid w:val="00561683"/>
    <w:rsid w:val="005633D8"/>
    <w:rsid w:val="00563FEF"/>
    <w:rsid w:val="00565A91"/>
    <w:rsid w:val="005666D4"/>
    <w:rsid w:val="005669DD"/>
    <w:rsid w:val="00566C38"/>
    <w:rsid w:val="005703DE"/>
    <w:rsid w:val="0057115F"/>
    <w:rsid w:val="00571319"/>
    <w:rsid w:val="00574EBF"/>
    <w:rsid w:val="00574F43"/>
    <w:rsid w:val="00576509"/>
    <w:rsid w:val="0057732B"/>
    <w:rsid w:val="005773AA"/>
    <w:rsid w:val="005800DB"/>
    <w:rsid w:val="00580490"/>
    <w:rsid w:val="00581357"/>
    <w:rsid w:val="00581C6B"/>
    <w:rsid w:val="005839D7"/>
    <w:rsid w:val="0058441D"/>
    <w:rsid w:val="0058464E"/>
    <w:rsid w:val="00584770"/>
    <w:rsid w:val="00586310"/>
    <w:rsid w:val="005878E3"/>
    <w:rsid w:val="005904A5"/>
    <w:rsid w:val="005908DD"/>
    <w:rsid w:val="00590BC3"/>
    <w:rsid w:val="0059246F"/>
    <w:rsid w:val="00593B48"/>
    <w:rsid w:val="005946CA"/>
    <w:rsid w:val="00595273"/>
    <w:rsid w:val="00595DD1"/>
    <w:rsid w:val="0059648A"/>
    <w:rsid w:val="005966B0"/>
    <w:rsid w:val="00596DCA"/>
    <w:rsid w:val="00597F62"/>
    <w:rsid w:val="005A01CB"/>
    <w:rsid w:val="005A1524"/>
    <w:rsid w:val="005A18C9"/>
    <w:rsid w:val="005A29AD"/>
    <w:rsid w:val="005A4542"/>
    <w:rsid w:val="005A4556"/>
    <w:rsid w:val="005A492C"/>
    <w:rsid w:val="005A58FF"/>
    <w:rsid w:val="005A5B6B"/>
    <w:rsid w:val="005A5EAF"/>
    <w:rsid w:val="005A64C0"/>
    <w:rsid w:val="005A6F87"/>
    <w:rsid w:val="005A79E2"/>
    <w:rsid w:val="005B01F5"/>
    <w:rsid w:val="005B1EDA"/>
    <w:rsid w:val="005B2BC4"/>
    <w:rsid w:val="005B3C11"/>
    <w:rsid w:val="005B52B0"/>
    <w:rsid w:val="005B628D"/>
    <w:rsid w:val="005B7231"/>
    <w:rsid w:val="005C0253"/>
    <w:rsid w:val="005C02B3"/>
    <w:rsid w:val="005C1093"/>
    <w:rsid w:val="005C11BC"/>
    <w:rsid w:val="005C1C28"/>
    <w:rsid w:val="005C45E6"/>
    <w:rsid w:val="005C5157"/>
    <w:rsid w:val="005C671D"/>
    <w:rsid w:val="005C6DB5"/>
    <w:rsid w:val="005D1947"/>
    <w:rsid w:val="005D1DA0"/>
    <w:rsid w:val="005D225D"/>
    <w:rsid w:val="005D2BB1"/>
    <w:rsid w:val="005D4B59"/>
    <w:rsid w:val="005D57AD"/>
    <w:rsid w:val="005D623B"/>
    <w:rsid w:val="005D72D9"/>
    <w:rsid w:val="005D7A70"/>
    <w:rsid w:val="005D7ABD"/>
    <w:rsid w:val="005D7BD6"/>
    <w:rsid w:val="005E042C"/>
    <w:rsid w:val="005E19E7"/>
    <w:rsid w:val="005E1BA2"/>
    <w:rsid w:val="005E2011"/>
    <w:rsid w:val="005E266C"/>
    <w:rsid w:val="005E29E4"/>
    <w:rsid w:val="005E2D10"/>
    <w:rsid w:val="005E38C9"/>
    <w:rsid w:val="005E684D"/>
    <w:rsid w:val="005E6BB3"/>
    <w:rsid w:val="005E7775"/>
    <w:rsid w:val="005E7805"/>
    <w:rsid w:val="005E78E2"/>
    <w:rsid w:val="005F0AC6"/>
    <w:rsid w:val="005F0D35"/>
    <w:rsid w:val="005F18AE"/>
    <w:rsid w:val="005F25E2"/>
    <w:rsid w:val="005F3E62"/>
    <w:rsid w:val="005F48D4"/>
    <w:rsid w:val="005F54EE"/>
    <w:rsid w:val="005F57EF"/>
    <w:rsid w:val="005F689E"/>
    <w:rsid w:val="005F71CC"/>
    <w:rsid w:val="005F7BBB"/>
    <w:rsid w:val="00600A20"/>
    <w:rsid w:val="006025EC"/>
    <w:rsid w:val="006044D2"/>
    <w:rsid w:val="006053B6"/>
    <w:rsid w:val="00607982"/>
    <w:rsid w:val="00613265"/>
    <w:rsid w:val="0061347E"/>
    <w:rsid w:val="00615CCD"/>
    <w:rsid w:val="006164EA"/>
    <w:rsid w:val="00616B62"/>
    <w:rsid w:val="0061716C"/>
    <w:rsid w:val="00617C4A"/>
    <w:rsid w:val="00620054"/>
    <w:rsid w:val="0062133B"/>
    <w:rsid w:val="00622E5D"/>
    <w:rsid w:val="006243A1"/>
    <w:rsid w:val="00624DD5"/>
    <w:rsid w:val="006254BC"/>
    <w:rsid w:val="00625609"/>
    <w:rsid w:val="00626C67"/>
    <w:rsid w:val="00626F00"/>
    <w:rsid w:val="00630858"/>
    <w:rsid w:val="00632180"/>
    <w:rsid w:val="00632353"/>
    <w:rsid w:val="006325BC"/>
    <w:rsid w:val="00632E56"/>
    <w:rsid w:val="006333D4"/>
    <w:rsid w:val="00635CBA"/>
    <w:rsid w:val="00636354"/>
    <w:rsid w:val="006369A6"/>
    <w:rsid w:val="00640017"/>
    <w:rsid w:val="006410AE"/>
    <w:rsid w:val="00641A71"/>
    <w:rsid w:val="00643301"/>
    <w:rsid w:val="0064338B"/>
    <w:rsid w:val="00645728"/>
    <w:rsid w:val="0064580C"/>
    <w:rsid w:val="00646542"/>
    <w:rsid w:val="006504F4"/>
    <w:rsid w:val="00651A3C"/>
    <w:rsid w:val="00651AA5"/>
    <w:rsid w:val="00651E39"/>
    <w:rsid w:val="00651E4D"/>
    <w:rsid w:val="00652619"/>
    <w:rsid w:val="0065318B"/>
    <w:rsid w:val="0065379B"/>
    <w:rsid w:val="00653FEA"/>
    <w:rsid w:val="00654051"/>
    <w:rsid w:val="00654BC9"/>
    <w:rsid w:val="006552FD"/>
    <w:rsid w:val="00656CEF"/>
    <w:rsid w:val="0065778C"/>
    <w:rsid w:val="00661667"/>
    <w:rsid w:val="00661D8B"/>
    <w:rsid w:val="006622D9"/>
    <w:rsid w:val="00662DC5"/>
    <w:rsid w:val="00663AF3"/>
    <w:rsid w:val="00663B75"/>
    <w:rsid w:val="00664442"/>
    <w:rsid w:val="0066462C"/>
    <w:rsid w:val="006669F5"/>
    <w:rsid w:val="00666B6C"/>
    <w:rsid w:val="00666DD5"/>
    <w:rsid w:val="006674BB"/>
    <w:rsid w:val="00667E18"/>
    <w:rsid w:val="00670F56"/>
    <w:rsid w:val="00672368"/>
    <w:rsid w:val="006725A4"/>
    <w:rsid w:val="00672EEA"/>
    <w:rsid w:val="006730BA"/>
    <w:rsid w:val="00673C9D"/>
    <w:rsid w:val="00675F55"/>
    <w:rsid w:val="00676BF3"/>
    <w:rsid w:val="00676CBC"/>
    <w:rsid w:val="00676E8A"/>
    <w:rsid w:val="0067711D"/>
    <w:rsid w:val="00681681"/>
    <w:rsid w:val="00682682"/>
    <w:rsid w:val="00682702"/>
    <w:rsid w:val="00682CAE"/>
    <w:rsid w:val="00682FC0"/>
    <w:rsid w:val="0068309F"/>
    <w:rsid w:val="006831D2"/>
    <w:rsid w:val="00684D3E"/>
    <w:rsid w:val="006851CE"/>
    <w:rsid w:val="00685A41"/>
    <w:rsid w:val="00685BA7"/>
    <w:rsid w:val="00686EAD"/>
    <w:rsid w:val="00690386"/>
    <w:rsid w:val="006914A5"/>
    <w:rsid w:val="00691685"/>
    <w:rsid w:val="0069175C"/>
    <w:rsid w:val="00691BB9"/>
    <w:rsid w:val="0069209C"/>
    <w:rsid w:val="00692368"/>
    <w:rsid w:val="00692715"/>
    <w:rsid w:val="00692A23"/>
    <w:rsid w:val="00692A5F"/>
    <w:rsid w:val="00694312"/>
    <w:rsid w:val="00694D8B"/>
    <w:rsid w:val="00697159"/>
    <w:rsid w:val="006A0617"/>
    <w:rsid w:val="006A21DF"/>
    <w:rsid w:val="006A2852"/>
    <w:rsid w:val="006A2EBC"/>
    <w:rsid w:val="006A3DF3"/>
    <w:rsid w:val="006A466C"/>
    <w:rsid w:val="006A5523"/>
    <w:rsid w:val="006A5C81"/>
    <w:rsid w:val="006A5EA0"/>
    <w:rsid w:val="006A6D00"/>
    <w:rsid w:val="006A6E07"/>
    <w:rsid w:val="006A783B"/>
    <w:rsid w:val="006A7B33"/>
    <w:rsid w:val="006B3D0C"/>
    <w:rsid w:val="006B4E13"/>
    <w:rsid w:val="006B669A"/>
    <w:rsid w:val="006B70EE"/>
    <w:rsid w:val="006B745F"/>
    <w:rsid w:val="006B75DD"/>
    <w:rsid w:val="006C08A6"/>
    <w:rsid w:val="006C3ACF"/>
    <w:rsid w:val="006C4638"/>
    <w:rsid w:val="006C5496"/>
    <w:rsid w:val="006C5DA7"/>
    <w:rsid w:val="006C6780"/>
    <w:rsid w:val="006C67E0"/>
    <w:rsid w:val="006C7ABA"/>
    <w:rsid w:val="006D0049"/>
    <w:rsid w:val="006D0236"/>
    <w:rsid w:val="006D0755"/>
    <w:rsid w:val="006D0D60"/>
    <w:rsid w:val="006D1122"/>
    <w:rsid w:val="006D2007"/>
    <w:rsid w:val="006D2C8F"/>
    <w:rsid w:val="006D2ED3"/>
    <w:rsid w:val="006D3B88"/>
    <w:rsid w:val="006D3C00"/>
    <w:rsid w:val="006D45D6"/>
    <w:rsid w:val="006D4DDA"/>
    <w:rsid w:val="006D5102"/>
    <w:rsid w:val="006D53ED"/>
    <w:rsid w:val="006D5A81"/>
    <w:rsid w:val="006D6CF4"/>
    <w:rsid w:val="006D7872"/>
    <w:rsid w:val="006D7FC7"/>
    <w:rsid w:val="006E03D5"/>
    <w:rsid w:val="006E0E93"/>
    <w:rsid w:val="006E13E2"/>
    <w:rsid w:val="006E284B"/>
    <w:rsid w:val="006E3675"/>
    <w:rsid w:val="006E4040"/>
    <w:rsid w:val="006E48F2"/>
    <w:rsid w:val="006E4A7F"/>
    <w:rsid w:val="006E5C67"/>
    <w:rsid w:val="006F05DD"/>
    <w:rsid w:val="006F285A"/>
    <w:rsid w:val="006F2E95"/>
    <w:rsid w:val="006F3AC2"/>
    <w:rsid w:val="006F3C32"/>
    <w:rsid w:val="006F4820"/>
    <w:rsid w:val="00701F1F"/>
    <w:rsid w:val="00703938"/>
    <w:rsid w:val="007046E1"/>
    <w:rsid w:val="00704775"/>
    <w:rsid w:val="00704DF6"/>
    <w:rsid w:val="00705F93"/>
    <w:rsid w:val="0070651C"/>
    <w:rsid w:val="00706D15"/>
    <w:rsid w:val="007077A9"/>
    <w:rsid w:val="007103CE"/>
    <w:rsid w:val="00710A30"/>
    <w:rsid w:val="00711BE6"/>
    <w:rsid w:val="007127A4"/>
    <w:rsid w:val="00712E79"/>
    <w:rsid w:val="007132A3"/>
    <w:rsid w:val="00713A89"/>
    <w:rsid w:val="00713E2A"/>
    <w:rsid w:val="007140AF"/>
    <w:rsid w:val="00714538"/>
    <w:rsid w:val="00714AEF"/>
    <w:rsid w:val="00714C72"/>
    <w:rsid w:val="00715BA8"/>
    <w:rsid w:val="00716421"/>
    <w:rsid w:val="00716570"/>
    <w:rsid w:val="00716A96"/>
    <w:rsid w:val="00720026"/>
    <w:rsid w:val="00721094"/>
    <w:rsid w:val="0072110B"/>
    <w:rsid w:val="0072127A"/>
    <w:rsid w:val="00722EB9"/>
    <w:rsid w:val="00723192"/>
    <w:rsid w:val="00723D92"/>
    <w:rsid w:val="007243B6"/>
    <w:rsid w:val="00724E6D"/>
    <w:rsid w:val="00724EFB"/>
    <w:rsid w:val="00730676"/>
    <w:rsid w:val="00731A04"/>
    <w:rsid w:val="0073270D"/>
    <w:rsid w:val="00733127"/>
    <w:rsid w:val="0073366B"/>
    <w:rsid w:val="00736857"/>
    <w:rsid w:val="00736F9E"/>
    <w:rsid w:val="00737424"/>
    <w:rsid w:val="00737532"/>
    <w:rsid w:val="00740C4D"/>
    <w:rsid w:val="00740EA0"/>
    <w:rsid w:val="007419C3"/>
    <w:rsid w:val="00741D31"/>
    <w:rsid w:val="00742415"/>
    <w:rsid w:val="00742B23"/>
    <w:rsid w:val="00742EB8"/>
    <w:rsid w:val="00743E2C"/>
    <w:rsid w:val="007446CC"/>
    <w:rsid w:val="00744F22"/>
    <w:rsid w:val="0074519A"/>
    <w:rsid w:val="007467A7"/>
    <w:rsid w:val="007469DD"/>
    <w:rsid w:val="007472A6"/>
    <w:rsid w:val="007472B0"/>
    <w:rsid w:val="0074741B"/>
    <w:rsid w:val="0074759E"/>
    <w:rsid w:val="007478EA"/>
    <w:rsid w:val="00747EF5"/>
    <w:rsid w:val="0075068E"/>
    <w:rsid w:val="0075122D"/>
    <w:rsid w:val="0075415C"/>
    <w:rsid w:val="0075505D"/>
    <w:rsid w:val="00755A32"/>
    <w:rsid w:val="007602A9"/>
    <w:rsid w:val="00760E0E"/>
    <w:rsid w:val="00762D6C"/>
    <w:rsid w:val="00763502"/>
    <w:rsid w:val="00763DB8"/>
    <w:rsid w:val="00764D74"/>
    <w:rsid w:val="00765427"/>
    <w:rsid w:val="007659D4"/>
    <w:rsid w:val="00766C8A"/>
    <w:rsid w:val="007673E3"/>
    <w:rsid w:val="007718EA"/>
    <w:rsid w:val="00771B2E"/>
    <w:rsid w:val="00772720"/>
    <w:rsid w:val="00772F76"/>
    <w:rsid w:val="00773129"/>
    <w:rsid w:val="00774F11"/>
    <w:rsid w:val="0077545A"/>
    <w:rsid w:val="00776549"/>
    <w:rsid w:val="00776E03"/>
    <w:rsid w:val="00780300"/>
    <w:rsid w:val="00782AA5"/>
    <w:rsid w:val="007835A1"/>
    <w:rsid w:val="007841C1"/>
    <w:rsid w:val="00784395"/>
    <w:rsid w:val="0078485C"/>
    <w:rsid w:val="0078587C"/>
    <w:rsid w:val="00786AEB"/>
    <w:rsid w:val="00787342"/>
    <w:rsid w:val="007913AB"/>
    <w:rsid w:val="007914F7"/>
    <w:rsid w:val="007929CE"/>
    <w:rsid w:val="007929D1"/>
    <w:rsid w:val="00793793"/>
    <w:rsid w:val="00793EC2"/>
    <w:rsid w:val="007956C5"/>
    <w:rsid w:val="00795F38"/>
    <w:rsid w:val="007967B6"/>
    <w:rsid w:val="00796925"/>
    <w:rsid w:val="00796B4A"/>
    <w:rsid w:val="00797E61"/>
    <w:rsid w:val="007A1868"/>
    <w:rsid w:val="007A19E0"/>
    <w:rsid w:val="007A225B"/>
    <w:rsid w:val="007A2CAC"/>
    <w:rsid w:val="007A55C6"/>
    <w:rsid w:val="007A5FB9"/>
    <w:rsid w:val="007A763F"/>
    <w:rsid w:val="007A767B"/>
    <w:rsid w:val="007A7A6B"/>
    <w:rsid w:val="007A7B63"/>
    <w:rsid w:val="007B0A5E"/>
    <w:rsid w:val="007B1427"/>
    <w:rsid w:val="007B1625"/>
    <w:rsid w:val="007B1F4F"/>
    <w:rsid w:val="007B3349"/>
    <w:rsid w:val="007B3E20"/>
    <w:rsid w:val="007B4F4F"/>
    <w:rsid w:val="007B5CEF"/>
    <w:rsid w:val="007B706E"/>
    <w:rsid w:val="007B71EB"/>
    <w:rsid w:val="007B74CA"/>
    <w:rsid w:val="007C0081"/>
    <w:rsid w:val="007C076D"/>
    <w:rsid w:val="007C0873"/>
    <w:rsid w:val="007C2119"/>
    <w:rsid w:val="007C2DB0"/>
    <w:rsid w:val="007C517D"/>
    <w:rsid w:val="007C53BA"/>
    <w:rsid w:val="007C5735"/>
    <w:rsid w:val="007C6021"/>
    <w:rsid w:val="007C612A"/>
    <w:rsid w:val="007C6205"/>
    <w:rsid w:val="007C686A"/>
    <w:rsid w:val="007C6E1E"/>
    <w:rsid w:val="007C728E"/>
    <w:rsid w:val="007C7ADF"/>
    <w:rsid w:val="007D0EDE"/>
    <w:rsid w:val="007D1138"/>
    <w:rsid w:val="007D1303"/>
    <w:rsid w:val="007D2C53"/>
    <w:rsid w:val="007D30AA"/>
    <w:rsid w:val="007D3D60"/>
    <w:rsid w:val="007D3F66"/>
    <w:rsid w:val="007D41CF"/>
    <w:rsid w:val="007D60C4"/>
    <w:rsid w:val="007D6712"/>
    <w:rsid w:val="007D7568"/>
    <w:rsid w:val="007E0048"/>
    <w:rsid w:val="007E014D"/>
    <w:rsid w:val="007E1980"/>
    <w:rsid w:val="007E1C77"/>
    <w:rsid w:val="007E20AE"/>
    <w:rsid w:val="007E29C5"/>
    <w:rsid w:val="007E4185"/>
    <w:rsid w:val="007E4645"/>
    <w:rsid w:val="007E4B76"/>
    <w:rsid w:val="007E4E29"/>
    <w:rsid w:val="007E500A"/>
    <w:rsid w:val="007E52C6"/>
    <w:rsid w:val="007E5A3A"/>
    <w:rsid w:val="007E5EA8"/>
    <w:rsid w:val="007E603A"/>
    <w:rsid w:val="007F0BAC"/>
    <w:rsid w:val="007F0CF1"/>
    <w:rsid w:val="007F12A5"/>
    <w:rsid w:val="007F13B1"/>
    <w:rsid w:val="007F2129"/>
    <w:rsid w:val="007F2828"/>
    <w:rsid w:val="007F4038"/>
    <w:rsid w:val="007F4968"/>
    <w:rsid w:val="007F4CF1"/>
    <w:rsid w:val="007F57DC"/>
    <w:rsid w:val="007F70CB"/>
    <w:rsid w:val="007F758D"/>
    <w:rsid w:val="007F7D52"/>
    <w:rsid w:val="007F7FC4"/>
    <w:rsid w:val="008010E1"/>
    <w:rsid w:val="00802D33"/>
    <w:rsid w:val="00802E22"/>
    <w:rsid w:val="008035FA"/>
    <w:rsid w:val="00803948"/>
    <w:rsid w:val="0080449A"/>
    <w:rsid w:val="00804BAA"/>
    <w:rsid w:val="0080654C"/>
    <w:rsid w:val="008071C3"/>
    <w:rsid w:val="008071C6"/>
    <w:rsid w:val="00807397"/>
    <w:rsid w:val="00807B30"/>
    <w:rsid w:val="00810918"/>
    <w:rsid w:val="00810CED"/>
    <w:rsid w:val="00812E29"/>
    <w:rsid w:val="008132C9"/>
    <w:rsid w:val="00814460"/>
    <w:rsid w:val="008156A6"/>
    <w:rsid w:val="00816ACD"/>
    <w:rsid w:val="00816DA1"/>
    <w:rsid w:val="00817A00"/>
    <w:rsid w:val="0082049A"/>
    <w:rsid w:val="00820923"/>
    <w:rsid w:val="00821336"/>
    <w:rsid w:val="0082221F"/>
    <w:rsid w:val="008234DF"/>
    <w:rsid w:val="008235B0"/>
    <w:rsid w:val="00825544"/>
    <w:rsid w:val="00825B60"/>
    <w:rsid w:val="008261C7"/>
    <w:rsid w:val="00826428"/>
    <w:rsid w:val="0082663A"/>
    <w:rsid w:val="00826ABA"/>
    <w:rsid w:val="00826C4B"/>
    <w:rsid w:val="008301CF"/>
    <w:rsid w:val="008315E0"/>
    <w:rsid w:val="00831AE5"/>
    <w:rsid w:val="00831FED"/>
    <w:rsid w:val="00833DF0"/>
    <w:rsid w:val="00833EA5"/>
    <w:rsid w:val="00835C7D"/>
    <w:rsid w:val="00835DB3"/>
    <w:rsid w:val="0083617B"/>
    <w:rsid w:val="0083674C"/>
    <w:rsid w:val="008371BD"/>
    <w:rsid w:val="00837F21"/>
    <w:rsid w:val="00840B34"/>
    <w:rsid w:val="00841489"/>
    <w:rsid w:val="008435FB"/>
    <w:rsid w:val="00844608"/>
    <w:rsid w:val="008447C6"/>
    <w:rsid w:val="008448C8"/>
    <w:rsid w:val="00845EBB"/>
    <w:rsid w:val="00846405"/>
    <w:rsid w:val="0084689C"/>
    <w:rsid w:val="00847591"/>
    <w:rsid w:val="00847A8B"/>
    <w:rsid w:val="00847D4E"/>
    <w:rsid w:val="008504A8"/>
    <w:rsid w:val="008507D9"/>
    <w:rsid w:val="00850AFC"/>
    <w:rsid w:val="00851112"/>
    <w:rsid w:val="008519F1"/>
    <w:rsid w:val="008521D2"/>
    <w:rsid w:val="0085282E"/>
    <w:rsid w:val="00852DD2"/>
    <w:rsid w:val="00853B5F"/>
    <w:rsid w:val="00853D8C"/>
    <w:rsid w:val="00855651"/>
    <w:rsid w:val="00861D42"/>
    <w:rsid w:val="0086457B"/>
    <w:rsid w:val="00864825"/>
    <w:rsid w:val="008651AB"/>
    <w:rsid w:val="00865343"/>
    <w:rsid w:val="008659BC"/>
    <w:rsid w:val="008668AD"/>
    <w:rsid w:val="00866C5B"/>
    <w:rsid w:val="00870C42"/>
    <w:rsid w:val="00870DA7"/>
    <w:rsid w:val="0087198C"/>
    <w:rsid w:val="008725A9"/>
    <w:rsid w:val="008728B8"/>
    <w:rsid w:val="00872C1F"/>
    <w:rsid w:val="00873056"/>
    <w:rsid w:val="008735A1"/>
    <w:rsid w:val="00873B42"/>
    <w:rsid w:val="00874777"/>
    <w:rsid w:val="00874EF6"/>
    <w:rsid w:val="00875C29"/>
    <w:rsid w:val="0087616E"/>
    <w:rsid w:val="00876896"/>
    <w:rsid w:val="00876926"/>
    <w:rsid w:val="00876A3E"/>
    <w:rsid w:val="00876CBD"/>
    <w:rsid w:val="00877481"/>
    <w:rsid w:val="00877807"/>
    <w:rsid w:val="00880133"/>
    <w:rsid w:val="00880D5D"/>
    <w:rsid w:val="00881A13"/>
    <w:rsid w:val="0088281F"/>
    <w:rsid w:val="00884284"/>
    <w:rsid w:val="008847D8"/>
    <w:rsid w:val="00884D05"/>
    <w:rsid w:val="008856D8"/>
    <w:rsid w:val="008866FA"/>
    <w:rsid w:val="00886CED"/>
    <w:rsid w:val="008903DC"/>
    <w:rsid w:val="0089090A"/>
    <w:rsid w:val="00890CC7"/>
    <w:rsid w:val="008914F3"/>
    <w:rsid w:val="008917FB"/>
    <w:rsid w:val="008921FC"/>
    <w:rsid w:val="0089262B"/>
    <w:rsid w:val="00892E82"/>
    <w:rsid w:val="008938F3"/>
    <w:rsid w:val="00893A1A"/>
    <w:rsid w:val="00896006"/>
    <w:rsid w:val="008A01E6"/>
    <w:rsid w:val="008A0295"/>
    <w:rsid w:val="008A06F0"/>
    <w:rsid w:val="008A0941"/>
    <w:rsid w:val="008A0B2E"/>
    <w:rsid w:val="008A15F6"/>
    <w:rsid w:val="008A1FF1"/>
    <w:rsid w:val="008A216D"/>
    <w:rsid w:val="008A2867"/>
    <w:rsid w:val="008A485E"/>
    <w:rsid w:val="008A4B8F"/>
    <w:rsid w:val="008A5A7D"/>
    <w:rsid w:val="008A6241"/>
    <w:rsid w:val="008A6384"/>
    <w:rsid w:val="008A65B7"/>
    <w:rsid w:val="008B00A2"/>
    <w:rsid w:val="008B15FC"/>
    <w:rsid w:val="008B2718"/>
    <w:rsid w:val="008B3689"/>
    <w:rsid w:val="008B40B0"/>
    <w:rsid w:val="008B4AA8"/>
    <w:rsid w:val="008B53DC"/>
    <w:rsid w:val="008B59D9"/>
    <w:rsid w:val="008B5D59"/>
    <w:rsid w:val="008B65C1"/>
    <w:rsid w:val="008B6D8A"/>
    <w:rsid w:val="008B70CB"/>
    <w:rsid w:val="008C0E66"/>
    <w:rsid w:val="008C1B58"/>
    <w:rsid w:val="008C1DF0"/>
    <w:rsid w:val="008C256F"/>
    <w:rsid w:val="008C2A37"/>
    <w:rsid w:val="008C2B8A"/>
    <w:rsid w:val="008C2F68"/>
    <w:rsid w:val="008C3361"/>
    <w:rsid w:val="008C39AE"/>
    <w:rsid w:val="008C590D"/>
    <w:rsid w:val="008C7C2D"/>
    <w:rsid w:val="008D1125"/>
    <w:rsid w:val="008D2983"/>
    <w:rsid w:val="008D3798"/>
    <w:rsid w:val="008D3B1B"/>
    <w:rsid w:val="008D3D22"/>
    <w:rsid w:val="008D4171"/>
    <w:rsid w:val="008D57B6"/>
    <w:rsid w:val="008D5866"/>
    <w:rsid w:val="008D6742"/>
    <w:rsid w:val="008D6B71"/>
    <w:rsid w:val="008D7116"/>
    <w:rsid w:val="008E031B"/>
    <w:rsid w:val="008E07FB"/>
    <w:rsid w:val="008E1CCE"/>
    <w:rsid w:val="008E2402"/>
    <w:rsid w:val="008E244E"/>
    <w:rsid w:val="008E2CBC"/>
    <w:rsid w:val="008E4079"/>
    <w:rsid w:val="008E41DA"/>
    <w:rsid w:val="008E474D"/>
    <w:rsid w:val="008E4E99"/>
    <w:rsid w:val="008E5C90"/>
    <w:rsid w:val="008E6EF0"/>
    <w:rsid w:val="008E7029"/>
    <w:rsid w:val="008E76AC"/>
    <w:rsid w:val="008E7EF6"/>
    <w:rsid w:val="008F1F1E"/>
    <w:rsid w:val="008F1F98"/>
    <w:rsid w:val="008F2066"/>
    <w:rsid w:val="008F207D"/>
    <w:rsid w:val="008F2485"/>
    <w:rsid w:val="008F3A11"/>
    <w:rsid w:val="008F4854"/>
    <w:rsid w:val="008F5D40"/>
    <w:rsid w:val="008F6758"/>
    <w:rsid w:val="008F7006"/>
    <w:rsid w:val="0090023F"/>
    <w:rsid w:val="009004B6"/>
    <w:rsid w:val="0090154E"/>
    <w:rsid w:val="009018C2"/>
    <w:rsid w:val="009023CC"/>
    <w:rsid w:val="00902A41"/>
    <w:rsid w:val="009040DD"/>
    <w:rsid w:val="009044AE"/>
    <w:rsid w:val="0090538F"/>
    <w:rsid w:val="00905B47"/>
    <w:rsid w:val="00905CFC"/>
    <w:rsid w:val="00906C37"/>
    <w:rsid w:val="009100AA"/>
    <w:rsid w:val="00910624"/>
    <w:rsid w:val="009119AA"/>
    <w:rsid w:val="0091224D"/>
    <w:rsid w:val="009123E7"/>
    <w:rsid w:val="0091331C"/>
    <w:rsid w:val="00913657"/>
    <w:rsid w:val="009136C7"/>
    <w:rsid w:val="009138AB"/>
    <w:rsid w:val="0091460F"/>
    <w:rsid w:val="009158D9"/>
    <w:rsid w:val="00923A06"/>
    <w:rsid w:val="009248CA"/>
    <w:rsid w:val="009258BF"/>
    <w:rsid w:val="009264A5"/>
    <w:rsid w:val="00926550"/>
    <w:rsid w:val="00926E27"/>
    <w:rsid w:val="009271E9"/>
    <w:rsid w:val="0092722D"/>
    <w:rsid w:val="009279DE"/>
    <w:rsid w:val="0093006A"/>
    <w:rsid w:val="00930116"/>
    <w:rsid w:val="009314DF"/>
    <w:rsid w:val="00931ED7"/>
    <w:rsid w:val="00934892"/>
    <w:rsid w:val="00937531"/>
    <w:rsid w:val="0094212C"/>
    <w:rsid w:val="00943700"/>
    <w:rsid w:val="00944213"/>
    <w:rsid w:val="00944D10"/>
    <w:rsid w:val="00944DC4"/>
    <w:rsid w:val="00945959"/>
    <w:rsid w:val="00947420"/>
    <w:rsid w:val="00950433"/>
    <w:rsid w:val="0095141B"/>
    <w:rsid w:val="00952058"/>
    <w:rsid w:val="0095448F"/>
    <w:rsid w:val="00954689"/>
    <w:rsid w:val="00956FD9"/>
    <w:rsid w:val="009572C3"/>
    <w:rsid w:val="00957536"/>
    <w:rsid w:val="0096026E"/>
    <w:rsid w:val="00961508"/>
    <w:rsid w:val="009617C9"/>
    <w:rsid w:val="00961916"/>
    <w:rsid w:val="00961C93"/>
    <w:rsid w:val="00962BF2"/>
    <w:rsid w:val="00965324"/>
    <w:rsid w:val="00965A15"/>
    <w:rsid w:val="00965A97"/>
    <w:rsid w:val="00970794"/>
    <w:rsid w:val="00970817"/>
    <w:rsid w:val="0097091E"/>
    <w:rsid w:val="009712F2"/>
    <w:rsid w:val="00972227"/>
    <w:rsid w:val="009726DF"/>
    <w:rsid w:val="009729A9"/>
    <w:rsid w:val="0097368D"/>
    <w:rsid w:val="00974E24"/>
    <w:rsid w:val="00975558"/>
    <w:rsid w:val="009760D3"/>
    <w:rsid w:val="00977132"/>
    <w:rsid w:val="009803D4"/>
    <w:rsid w:val="00980CF0"/>
    <w:rsid w:val="00980EA3"/>
    <w:rsid w:val="00981A4B"/>
    <w:rsid w:val="00982501"/>
    <w:rsid w:val="00982A92"/>
    <w:rsid w:val="0098317E"/>
    <w:rsid w:val="00983CD2"/>
    <w:rsid w:val="009853EF"/>
    <w:rsid w:val="009877D3"/>
    <w:rsid w:val="0099016C"/>
    <w:rsid w:val="0099040A"/>
    <w:rsid w:val="00990C76"/>
    <w:rsid w:val="009919A5"/>
    <w:rsid w:val="00992AE3"/>
    <w:rsid w:val="00993B58"/>
    <w:rsid w:val="0099453B"/>
    <w:rsid w:val="00994E8F"/>
    <w:rsid w:val="009951DC"/>
    <w:rsid w:val="009959BB"/>
    <w:rsid w:val="0099699B"/>
    <w:rsid w:val="00996B07"/>
    <w:rsid w:val="00997158"/>
    <w:rsid w:val="0099736C"/>
    <w:rsid w:val="009973BD"/>
    <w:rsid w:val="009A0978"/>
    <w:rsid w:val="009A0991"/>
    <w:rsid w:val="009A160D"/>
    <w:rsid w:val="009A36B3"/>
    <w:rsid w:val="009A374A"/>
    <w:rsid w:val="009A3A7C"/>
    <w:rsid w:val="009A4107"/>
    <w:rsid w:val="009A54EF"/>
    <w:rsid w:val="009A6D81"/>
    <w:rsid w:val="009B0252"/>
    <w:rsid w:val="009B1096"/>
    <w:rsid w:val="009B1830"/>
    <w:rsid w:val="009B2ADB"/>
    <w:rsid w:val="009B31C0"/>
    <w:rsid w:val="009B39CD"/>
    <w:rsid w:val="009B4911"/>
    <w:rsid w:val="009B542D"/>
    <w:rsid w:val="009B603A"/>
    <w:rsid w:val="009B74A9"/>
    <w:rsid w:val="009B7CD7"/>
    <w:rsid w:val="009C0686"/>
    <w:rsid w:val="009C0987"/>
    <w:rsid w:val="009C0DB7"/>
    <w:rsid w:val="009C1E1C"/>
    <w:rsid w:val="009C2D0E"/>
    <w:rsid w:val="009C2F5E"/>
    <w:rsid w:val="009C31CB"/>
    <w:rsid w:val="009C36DF"/>
    <w:rsid w:val="009C3916"/>
    <w:rsid w:val="009C3DAC"/>
    <w:rsid w:val="009C42E0"/>
    <w:rsid w:val="009C47F5"/>
    <w:rsid w:val="009C55D6"/>
    <w:rsid w:val="009C69D1"/>
    <w:rsid w:val="009C7A34"/>
    <w:rsid w:val="009D0107"/>
    <w:rsid w:val="009D0539"/>
    <w:rsid w:val="009D1546"/>
    <w:rsid w:val="009D34B3"/>
    <w:rsid w:val="009D3BE2"/>
    <w:rsid w:val="009D3C19"/>
    <w:rsid w:val="009D3D38"/>
    <w:rsid w:val="009D40BD"/>
    <w:rsid w:val="009D5362"/>
    <w:rsid w:val="009D5847"/>
    <w:rsid w:val="009D6191"/>
    <w:rsid w:val="009D6D1A"/>
    <w:rsid w:val="009E0393"/>
    <w:rsid w:val="009E1415"/>
    <w:rsid w:val="009E24A3"/>
    <w:rsid w:val="009E35B4"/>
    <w:rsid w:val="009E3A07"/>
    <w:rsid w:val="009E3F7E"/>
    <w:rsid w:val="009E4506"/>
    <w:rsid w:val="009E4513"/>
    <w:rsid w:val="009E6116"/>
    <w:rsid w:val="009E62CC"/>
    <w:rsid w:val="009E63F3"/>
    <w:rsid w:val="009E6BE8"/>
    <w:rsid w:val="009F0AC8"/>
    <w:rsid w:val="009F2164"/>
    <w:rsid w:val="009F2926"/>
    <w:rsid w:val="009F346B"/>
    <w:rsid w:val="009F3ABF"/>
    <w:rsid w:val="009F3C2A"/>
    <w:rsid w:val="009F48A1"/>
    <w:rsid w:val="009F4EBF"/>
    <w:rsid w:val="009F598F"/>
    <w:rsid w:val="009F686C"/>
    <w:rsid w:val="00A00D99"/>
    <w:rsid w:val="00A02AD6"/>
    <w:rsid w:val="00A02E43"/>
    <w:rsid w:val="00A033BE"/>
    <w:rsid w:val="00A0520E"/>
    <w:rsid w:val="00A0599D"/>
    <w:rsid w:val="00A063DC"/>
    <w:rsid w:val="00A065F9"/>
    <w:rsid w:val="00A0704C"/>
    <w:rsid w:val="00A07F26"/>
    <w:rsid w:val="00A07F34"/>
    <w:rsid w:val="00A1094D"/>
    <w:rsid w:val="00A10AFE"/>
    <w:rsid w:val="00A11FC3"/>
    <w:rsid w:val="00A1373A"/>
    <w:rsid w:val="00A1377C"/>
    <w:rsid w:val="00A138BB"/>
    <w:rsid w:val="00A13914"/>
    <w:rsid w:val="00A13DE1"/>
    <w:rsid w:val="00A150ED"/>
    <w:rsid w:val="00A16244"/>
    <w:rsid w:val="00A16894"/>
    <w:rsid w:val="00A1737C"/>
    <w:rsid w:val="00A20BA0"/>
    <w:rsid w:val="00A22086"/>
    <w:rsid w:val="00A22154"/>
    <w:rsid w:val="00A22F7D"/>
    <w:rsid w:val="00A233C1"/>
    <w:rsid w:val="00A24095"/>
    <w:rsid w:val="00A24241"/>
    <w:rsid w:val="00A248C9"/>
    <w:rsid w:val="00A24A33"/>
    <w:rsid w:val="00A24A63"/>
    <w:rsid w:val="00A25C38"/>
    <w:rsid w:val="00A30DE5"/>
    <w:rsid w:val="00A33213"/>
    <w:rsid w:val="00A33A07"/>
    <w:rsid w:val="00A34FD6"/>
    <w:rsid w:val="00A36BBE"/>
    <w:rsid w:val="00A36EEB"/>
    <w:rsid w:val="00A402B0"/>
    <w:rsid w:val="00A4307A"/>
    <w:rsid w:val="00A434EB"/>
    <w:rsid w:val="00A455D0"/>
    <w:rsid w:val="00A457BC"/>
    <w:rsid w:val="00A46103"/>
    <w:rsid w:val="00A47EBB"/>
    <w:rsid w:val="00A50E10"/>
    <w:rsid w:val="00A51CDD"/>
    <w:rsid w:val="00A51FE0"/>
    <w:rsid w:val="00A525A2"/>
    <w:rsid w:val="00A525BF"/>
    <w:rsid w:val="00A52BA2"/>
    <w:rsid w:val="00A536B0"/>
    <w:rsid w:val="00A536B7"/>
    <w:rsid w:val="00A564AE"/>
    <w:rsid w:val="00A572E5"/>
    <w:rsid w:val="00A57458"/>
    <w:rsid w:val="00A57A58"/>
    <w:rsid w:val="00A610AF"/>
    <w:rsid w:val="00A61FBB"/>
    <w:rsid w:val="00A61FCB"/>
    <w:rsid w:val="00A620E0"/>
    <w:rsid w:val="00A636A9"/>
    <w:rsid w:val="00A64D29"/>
    <w:rsid w:val="00A65D09"/>
    <w:rsid w:val="00A65F29"/>
    <w:rsid w:val="00A66520"/>
    <w:rsid w:val="00A6730D"/>
    <w:rsid w:val="00A70D13"/>
    <w:rsid w:val="00A71625"/>
    <w:rsid w:val="00A71B9B"/>
    <w:rsid w:val="00A72878"/>
    <w:rsid w:val="00A72A3D"/>
    <w:rsid w:val="00A730CD"/>
    <w:rsid w:val="00A73CD0"/>
    <w:rsid w:val="00A7433E"/>
    <w:rsid w:val="00A74A38"/>
    <w:rsid w:val="00A751C7"/>
    <w:rsid w:val="00A75CEA"/>
    <w:rsid w:val="00A77708"/>
    <w:rsid w:val="00A77D85"/>
    <w:rsid w:val="00A80FF9"/>
    <w:rsid w:val="00A812AC"/>
    <w:rsid w:val="00A819F2"/>
    <w:rsid w:val="00A82A35"/>
    <w:rsid w:val="00A837D8"/>
    <w:rsid w:val="00A854D5"/>
    <w:rsid w:val="00A85D57"/>
    <w:rsid w:val="00A865F3"/>
    <w:rsid w:val="00A866FC"/>
    <w:rsid w:val="00A87844"/>
    <w:rsid w:val="00A90233"/>
    <w:rsid w:val="00A91433"/>
    <w:rsid w:val="00A928C8"/>
    <w:rsid w:val="00A93140"/>
    <w:rsid w:val="00A93891"/>
    <w:rsid w:val="00A94A86"/>
    <w:rsid w:val="00A9638C"/>
    <w:rsid w:val="00A9702A"/>
    <w:rsid w:val="00A973A6"/>
    <w:rsid w:val="00AA038C"/>
    <w:rsid w:val="00AA147F"/>
    <w:rsid w:val="00AA176B"/>
    <w:rsid w:val="00AA17FC"/>
    <w:rsid w:val="00AA2FE0"/>
    <w:rsid w:val="00AA3593"/>
    <w:rsid w:val="00AA376F"/>
    <w:rsid w:val="00AA47EC"/>
    <w:rsid w:val="00AA574C"/>
    <w:rsid w:val="00AA5D15"/>
    <w:rsid w:val="00AA7A09"/>
    <w:rsid w:val="00AB06AE"/>
    <w:rsid w:val="00AB2D57"/>
    <w:rsid w:val="00AB3B50"/>
    <w:rsid w:val="00AB429C"/>
    <w:rsid w:val="00AB4AF1"/>
    <w:rsid w:val="00AB51CC"/>
    <w:rsid w:val="00AB5BA3"/>
    <w:rsid w:val="00AB5CAD"/>
    <w:rsid w:val="00AB61CF"/>
    <w:rsid w:val="00AB73CD"/>
    <w:rsid w:val="00AB76C3"/>
    <w:rsid w:val="00AB794F"/>
    <w:rsid w:val="00AC05B1"/>
    <w:rsid w:val="00AC070C"/>
    <w:rsid w:val="00AC077F"/>
    <w:rsid w:val="00AC1788"/>
    <w:rsid w:val="00AC35F6"/>
    <w:rsid w:val="00AC3920"/>
    <w:rsid w:val="00AC3B91"/>
    <w:rsid w:val="00AC3F27"/>
    <w:rsid w:val="00AC4F15"/>
    <w:rsid w:val="00AD0054"/>
    <w:rsid w:val="00AD0063"/>
    <w:rsid w:val="00AD23C8"/>
    <w:rsid w:val="00AD2BEC"/>
    <w:rsid w:val="00AD2E33"/>
    <w:rsid w:val="00AD356C"/>
    <w:rsid w:val="00AD3661"/>
    <w:rsid w:val="00AD404A"/>
    <w:rsid w:val="00AD4322"/>
    <w:rsid w:val="00AD5436"/>
    <w:rsid w:val="00AD5F91"/>
    <w:rsid w:val="00AD7EC7"/>
    <w:rsid w:val="00AE05D1"/>
    <w:rsid w:val="00AE0A01"/>
    <w:rsid w:val="00AE0A7E"/>
    <w:rsid w:val="00AE0CEF"/>
    <w:rsid w:val="00AE1A5E"/>
    <w:rsid w:val="00AE2914"/>
    <w:rsid w:val="00AE3452"/>
    <w:rsid w:val="00AE378B"/>
    <w:rsid w:val="00AE3871"/>
    <w:rsid w:val="00AE566C"/>
    <w:rsid w:val="00AE58C4"/>
    <w:rsid w:val="00AE6868"/>
    <w:rsid w:val="00AE6B6B"/>
    <w:rsid w:val="00AE6D15"/>
    <w:rsid w:val="00AE6D4C"/>
    <w:rsid w:val="00AF0BAC"/>
    <w:rsid w:val="00AF244F"/>
    <w:rsid w:val="00AF41DC"/>
    <w:rsid w:val="00AF42EE"/>
    <w:rsid w:val="00AF47C4"/>
    <w:rsid w:val="00AF5860"/>
    <w:rsid w:val="00AF7477"/>
    <w:rsid w:val="00AF790E"/>
    <w:rsid w:val="00B01008"/>
    <w:rsid w:val="00B014EC"/>
    <w:rsid w:val="00B01A3A"/>
    <w:rsid w:val="00B02AFE"/>
    <w:rsid w:val="00B02D2D"/>
    <w:rsid w:val="00B04182"/>
    <w:rsid w:val="00B042C3"/>
    <w:rsid w:val="00B043A0"/>
    <w:rsid w:val="00B0575A"/>
    <w:rsid w:val="00B06678"/>
    <w:rsid w:val="00B06E5C"/>
    <w:rsid w:val="00B07A3D"/>
    <w:rsid w:val="00B07A86"/>
    <w:rsid w:val="00B07AE3"/>
    <w:rsid w:val="00B104EF"/>
    <w:rsid w:val="00B10F77"/>
    <w:rsid w:val="00B11430"/>
    <w:rsid w:val="00B11811"/>
    <w:rsid w:val="00B118B8"/>
    <w:rsid w:val="00B11AC4"/>
    <w:rsid w:val="00B12EC5"/>
    <w:rsid w:val="00B135B6"/>
    <w:rsid w:val="00B13E64"/>
    <w:rsid w:val="00B13F2C"/>
    <w:rsid w:val="00B142D9"/>
    <w:rsid w:val="00B14A5D"/>
    <w:rsid w:val="00B14D2C"/>
    <w:rsid w:val="00B15226"/>
    <w:rsid w:val="00B20268"/>
    <w:rsid w:val="00B20745"/>
    <w:rsid w:val="00B20B75"/>
    <w:rsid w:val="00B20B9C"/>
    <w:rsid w:val="00B220CC"/>
    <w:rsid w:val="00B2239D"/>
    <w:rsid w:val="00B2249B"/>
    <w:rsid w:val="00B229D7"/>
    <w:rsid w:val="00B22C89"/>
    <w:rsid w:val="00B233E7"/>
    <w:rsid w:val="00B26DF6"/>
    <w:rsid w:val="00B30C85"/>
    <w:rsid w:val="00B316A7"/>
    <w:rsid w:val="00B31BDA"/>
    <w:rsid w:val="00B32399"/>
    <w:rsid w:val="00B340D0"/>
    <w:rsid w:val="00B3460A"/>
    <w:rsid w:val="00B353EB"/>
    <w:rsid w:val="00B35B06"/>
    <w:rsid w:val="00B37BDA"/>
    <w:rsid w:val="00B40121"/>
    <w:rsid w:val="00B4080E"/>
    <w:rsid w:val="00B408E6"/>
    <w:rsid w:val="00B40ECC"/>
    <w:rsid w:val="00B41A1C"/>
    <w:rsid w:val="00B421AC"/>
    <w:rsid w:val="00B42B65"/>
    <w:rsid w:val="00B439C4"/>
    <w:rsid w:val="00B43F6B"/>
    <w:rsid w:val="00B44692"/>
    <w:rsid w:val="00B4535E"/>
    <w:rsid w:val="00B46AA0"/>
    <w:rsid w:val="00B51826"/>
    <w:rsid w:val="00B52A8C"/>
    <w:rsid w:val="00B53D30"/>
    <w:rsid w:val="00B54B51"/>
    <w:rsid w:val="00B552F6"/>
    <w:rsid w:val="00B5552B"/>
    <w:rsid w:val="00B56065"/>
    <w:rsid w:val="00B56F53"/>
    <w:rsid w:val="00B57CCD"/>
    <w:rsid w:val="00B60AC5"/>
    <w:rsid w:val="00B610D2"/>
    <w:rsid w:val="00B61DF6"/>
    <w:rsid w:val="00B636A8"/>
    <w:rsid w:val="00B646CC"/>
    <w:rsid w:val="00B65054"/>
    <w:rsid w:val="00B65198"/>
    <w:rsid w:val="00B65425"/>
    <w:rsid w:val="00B665C6"/>
    <w:rsid w:val="00B66A2B"/>
    <w:rsid w:val="00B66C51"/>
    <w:rsid w:val="00B6705F"/>
    <w:rsid w:val="00B70888"/>
    <w:rsid w:val="00B71C1C"/>
    <w:rsid w:val="00B723FE"/>
    <w:rsid w:val="00B72585"/>
    <w:rsid w:val="00B7560A"/>
    <w:rsid w:val="00B760AF"/>
    <w:rsid w:val="00B7719F"/>
    <w:rsid w:val="00B77D2C"/>
    <w:rsid w:val="00B77ED8"/>
    <w:rsid w:val="00B805AF"/>
    <w:rsid w:val="00B8163C"/>
    <w:rsid w:val="00B81B12"/>
    <w:rsid w:val="00B81D2B"/>
    <w:rsid w:val="00B829F3"/>
    <w:rsid w:val="00B82E28"/>
    <w:rsid w:val="00B83274"/>
    <w:rsid w:val="00B85238"/>
    <w:rsid w:val="00B86009"/>
    <w:rsid w:val="00B869EC"/>
    <w:rsid w:val="00B8751C"/>
    <w:rsid w:val="00B87C25"/>
    <w:rsid w:val="00B91D4A"/>
    <w:rsid w:val="00B91EEC"/>
    <w:rsid w:val="00B92366"/>
    <w:rsid w:val="00B92443"/>
    <w:rsid w:val="00B933C4"/>
    <w:rsid w:val="00B9397A"/>
    <w:rsid w:val="00B94280"/>
    <w:rsid w:val="00B94BB2"/>
    <w:rsid w:val="00B94BDA"/>
    <w:rsid w:val="00B9633D"/>
    <w:rsid w:val="00B9644A"/>
    <w:rsid w:val="00B96D1C"/>
    <w:rsid w:val="00BA0B75"/>
    <w:rsid w:val="00BA2EBE"/>
    <w:rsid w:val="00BA3C8D"/>
    <w:rsid w:val="00BA3CEB"/>
    <w:rsid w:val="00BA4A6F"/>
    <w:rsid w:val="00BA68FA"/>
    <w:rsid w:val="00BA6C62"/>
    <w:rsid w:val="00BB0F28"/>
    <w:rsid w:val="00BB1801"/>
    <w:rsid w:val="00BB190C"/>
    <w:rsid w:val="00BB2AA9"/>
    <w:rsid w:val="00BB2F69"/>
    <w:rsid w:val="00BB458A"/>
    <w:rsid w:val="00BB6A70"/>
    <w:rsid w:val="00BB7415"/>
    <w:rsid w:val="00BB7601"/>
    <w:rsid w:val="00BC0231"/>
    <w:rsid w:val="00BC18EA"/>
    <w:rsid w:val="00BC21EB"/>
    <w:rsid w:val="00BC258B"/>
    <w:rsid w:val="00BC27DF"/>
    <w:rsid w:val="00BC3790"/>
    <w:rsid w:val="00BC5446"/>
    <w:rsid w:val="00BC713B"/>
    <w:rsid w:val="00BC717C"/>
    <w:rsid w:val="00BC7F01"/>
    <w:rsid w:val="00BD00D3"/>
    <w:rsid w:val="00BD1081"/>
    <w:rsid w:val="00BD143A"/>
    <w:rsid w:val="00BD1659"/>
    <w:rsid w:val="00BD1816"/>
    <w:rsid w:val="00BD2BAA"/>
    <w:rsid w:val="00BD36F0"/>
    <w:rsid w:val="00BD3925"/>
    <w:rsid w:val="00BD3AA9"/>
    <w:rsid w:val="00BD4A18"/>
    <w:rsid w:val="00BD5242"/>
    <w:rsid w:val="00BD5DC8"/>
    <w:rsid w:val="00BD5E4C"/>
    <w:rsid w:val="00BD6DB2"/>
    <w:rsid w:val="00BE027C"/>
    <w:rsid w:val="00BE11CF"/>
    <w:rsid w:val="00BE1C9E"/>
    <w:rsid w:val="00BE21AB"/>
    <w:rsid w:val="00BE3C1F"/>
    <w:rsid w:val="00BE3FC9"/>
    <w:rsid w:val="00BE4FB3"/>
    <w:rsid w:val="00BE55CB"/>
    <w:rsid w:val="00BE6DA1"/>
    <w:rsid w:val="00BE74D7"/>
    <w:rsid w:val="00BF203E"/>
    <w:rsid w:val="00BF2066"/>
    <w:rsid w:val="00BF2D62"/>
    <w:rsid w:val="00BF3BE5"/>
    <w:rsid w:val="00BF4227"/>
    <w:rsid w:val="00BF5642"/>
    <w:rsid w:val="00BF617A"/>
    <w:rsid w:val="00BF6FCE"/>
    <w:rsid w:val="00BF7E56"/>
    <w:rsid w:val="00C0095E"/>
    <w:rsid w:val="00C02B17"/>
    <w:rsid w:val="00C03298"/>
    <w:rsid w:val="00C0379D"/>
    <w:rsid w:val="00C03931"/>
    <w:rsid w:val="00C04F0E"/>
    <w:rsid w:val="00C05FE3"/>
    <w:rsid w:val="00C06AF1"/>
    <w:rsid w:val="00C06DD0"/>
    <w:rsid w:val="00C06FD5"/>
    <w:rsid w:val="00C10AA8"/>
    <w:rsid w:val="00C10BB4"/>
    <w:rsid w:val="00C12E22"/>
    <w:rsid w:val="00C13033"/>
    <w:rsid w:val="00C13DF8"/>
    <w:rsid w:val="00C15676"/>
    <w:rsid w:val="00C15C98"/>
    <w:rsid w:val="00C16121"/>
    <w:rsid w:val="00C16634"/>
    <w:rsid w:val="00C1663B"/>
    <w:rsid w:val="00C16B5E"/>
    <w:rsid w:val="00C20260"/>
    <w:rsid w:val="00C206AA"/>
    <w:rsid w:val="00C2136D"/>
    <w:rsid w:val="00C214EE"/>
    <w:rsid w:val="00C215F5"/>
    <w:rsid w:val="00C22038"/>
    <w:rsid w:val="00C2314B"/>
    <w:rsid w:val="00C231B2"/>
    <w:rsid w:val="00C243A4"/>
    <w:rsid w:val="00C24971"/>
    <w:rsid w:val="00C25456"/>
    <w:rsid w:val="00C268A2"/>
    <w:rsid w:val="00C26BE5"/>
    <w:rsid w:val="00C26E4D"/>
    <w:rsid w:val="00C27909"/>
    <w:rsid w:val="00C27B03"/>
    <w:rsid w:val="00C27B9C"/>
    <w:rsid w:val="00C27BB0"/>
    <w:rsid w:val="00C3111F"/>
    <w:rsid w:val="00C314E1"/>
    <w:rsid w:val="00C31BF2"/>
    <w:rsid w:val="00C324CF"/>
    <w:rsid w:val="00C32A72"/>
    <w:rsid w:val="00C33345"/>
    <w:rsid w:val="00C3389C"/>
    <w:rsid w:val="00C340AE"/>
    <w:rsid w:val="00C34397"/>
    <w:rsid w:val="00C34695"/>
    <w:rsid w:val="00C35E18"/>
    <w:rsid w:val="00C36BFC"/>
    <w:rsid w:val="00C3788B"/>
    <w:rsid w:val="00C379B3"/>
    <w:rsid w:val="00C37AAE"/>
    <w:rsid w:val="00C40818"/>
    <w:rsid w:val="00C4095D"/>
    <w:rsid w:val="00C412D3"/>
    <w:rsid w:val="00C45217"/>
    <w:rsid w:val="00C45B3D"/>
    <w:rsid w:val="00C50EB8"/>
    <w:rsid w:val="00C51518"/>
    <w:rsid w:val="00C54226"/>
    <w:rsid w:val="00C544B4"/>
    <w:rsid w:val="00C569D2"/>
    <w:rsid w:val="00C5732C"/>
    <w:rsid w:val="00C601D2"/>
    <w:rsid w:val="00C622A2"/>
    <w:rsid w:val="00C631A4"/>
    <w:rsid w:val="00C638C3"/>
    <w:rsid w:val="00C63AFD"/>
    <w:rsid w:val="00C63E6A"/>
    <w:rsid w:val="00C65A7F"/>
    <w:rsid w:val="00C65BCC"/>
    <w:rsid w:val="00C65DD5"/>
    <w:rsid w:val="00C66970"/>
    <w:rsid w:val="00C67D58"/>
    <w:rsid w:val="00C70F62"/>
    <w:rsid w:val="00C726FB"/>
    <w:rsid w:val="00C75DE7"/>
    <w:rsid w:val="00C76EDC"/>
    <w:rsid w:val="00C77FCA"/>
    <w:rsid w:val="00C8016C"/>
    <w:rsid w:val="00C830D2"/>
    <w:rsid w:val="00C83C31"/>
    <w:rsid w:val="00C83EAE"/>
    <w:rsid w:val="00C8507A"/>
    <w:rsid w:val="00C85FC7"/>
    <w:rsid w:val="00C8691C"/>
    <w:rsid w:val="00C86AB9"/>
    <w:rsid w:val="00C8764A"/>
    <w:rsid w:val="00C9132C"/>
    <w:rsid w:val="00C917E0"/>
    <w:rsid w:val="00C91D81"/>
    <w:rsid w:val="00C92232"/>
    <w:rsid w:val="00C92BC9"/>
    <w:rsid w:val="00C93448"/>
    <w:rsid w:val="00C949B4"/>
    <w:rsid w:val="00C974DA"/>
    <w:rsid w:val="00CA10AF"/>
    <w:rsid w:val="00CA163F"/>
    <w:rsid w:val="00CA168A"/>
    <w:rsid w:val="00CA2B70"/>
    <w:rsid w:val="00CA357E"/>
    <w:rsid w:val="00CA4310"/>
    <w:rsid w:val="00CA44F9"/>
    <w:rsid w:val="00CA4A69"/>
    <w:rsid w:val="00CA5AE3"/>
    <w:rsid w:val="00CA6B5D"/>
    <w:rsid w:val="00CA739C"/>
    <w:rsid w:val="00CB0671"/>
    <w:rsid w:val="00CB1D24"/>
    <w:rsid w:val="00CB2092"/>
    <w:rsid w:val="00CB2B3C"/>
    <w:rsid w:val="00CB2F17"/>
    <w:rsid w:val="00CB30D3"/>
    <w:rsid w:val="00CB341F"/>
    <w:rsid w:val="00CB3744"/>
    <w:rsid w:val="00CB383B"/>
    <w:rsid w:val="00CB5109"/>
    <w:rsid w:val="00CB6030"/>
    <w:rsid w:val="00CB656F"/>
    <w:rsid w:val="00CB6785"/>
    <w:rsid w:val="00CB680D"/>
    <w:rsid w:val="00CB6CDE"/>
    <w:rsid w:val="00CB720A"/>
    <w:rsid w:val="00CC04CE"/>
    <w:rsid w:val="00CC109D"/>
    <w:rsid w:val="00CC2624"/>
    <w:rsid w:val="00CC3613"/>
    <w:rsid w:val="00CC3E0C"/>
    <w:rsid w:val="00CC4730"/>
    <w:rsid w:val="00CC49DA"/>
    <w:rsid w:val="00CC57CC"/>
    <w:rsid w:val="00CC58D3"/>
    <w:rsid w:val="00CC6102"/>
    <w:rsid w:val="00CC63B0"/>
    <w:rsid w:val="00CC6DFE"/>
    <w:rsid w:val="00CC784D"/>
    <w:rsid w:val="00CC7A25"/>
    <w:rsid w:val="00CC7EB3"/>
    <w:rsid w:val="00CD369F"/>
    <w:rsid w:val="00CD4EA9"/>
    <w:rsid w:val="00CD594C"/>
    <w:rsid w:val="00CD5A35"/>
    <w:rsid w:val="00CD69EA"/>
    <w:rsid w:val="00CD6CE8"/>
    <w:rsid w:val="00CE0227"/>
    <w:rsid w:val="00CE0C0A"/>
    <w:rsid w:val="00CE1757"/>
    <w:rsid w:val="00CE1ACF"/>
    <w:rsid w:val="00CE1DDE"/>
    <w:rsid w:val="00CE2146"/>
    <w:rsid w:val="00CE2E2F"/>
    <w:rsid w:val="00CE31F6"/>
    <w:rsid w:val="00CE4042"/>
    <w:rsid w:val="00CE4871"/>
    <w:rsid w:val="00CE4D0D"/>
    <w:rsid w:val="00CE4FF6"/>
    <w:rsid w:val="00CE5491"/>
    <w:rsid w:val="00CE56F3"/>
    <w:rsid w:val="00CE5DDA"/>
    <w:rsid w:val="00CE6211"/>
    <w:rsid w:val="00CE65A0"/>
    <w:rsid w:val="00CE6DA9"/>
    <w:rsid w:val="00CE7BF7"/>
    <w:rsid w:val="00CF03AD"/>
    <w:rsid w:val="00CF051E"/>
    <w:rsid w:val="00CF100E"/>
    <w:rsid w:val="00CF173C"/>
    <w:rsid w:val="00CF1F3C"/>
    <w:rsid w:val="00CF23B6"/>
    <w:rsid w:val="00CF2EC5"/>
    <w:rsid w:val="00CF3CFB"/>
    <w:rsid w:val="00CF3F3D"/>
    <w:rsid w:val="00CF5D47"/>
    <w:rsid w:val="00CF6B6E"/>
    <w:rsid w:val="00D004BA"/>
    <w:rsid w:val="00D00B0D"/>
    <w:rsid w:val="00D00F4E"/>
    <w:rsid w:val="00D01D56"/>
    <w:rsid w:val="00D0337B"/>
    <w:rsid w:val="00D03964"/>
    <w:rsid w:val="00D043A3"/>
    <w:rsid w:val="00D044E8"/>
    <w:rsid w:val="00D057B7"/>
    <w:rsid w:val="00D05AA0"/>
    <w:rsid w:val="00D06D5E"/>
    <w:rsid w:val="00D07120"/>
    <w:rsid w:val="00D07123"/>
    <w:rsid w:val="00D079B2"/>
    <w:rsid w:val="00D114E9"/>
    <w:rsid w:val="00D11E56"/>
    <w:rsid w:val="00D12A16"/>
    <w:rsid w:val="00D14BFD"/>
    <w:rsid w:val="00D14ED0"/>
    <w:rsid w:val="00D15BF2"/>
    <w:rsid w:val="00D17325"/>
    <w:rsid w:val="00D2055E"/>
    <w:rsid w:val="00D211FF"/>
    <w:rsid w:val="00D21D78"/>
    <w:rsid w:val="00D23837"/>
    <w:rsid w:val="00D24740"/>
    <w:rsid w:val="00D25377"/>
    <w:rsid w:val="00D25A60"/>
    <w:rsid w:val="00D265D6"/>
    <w:rsid w:val="00D3221B"/>
    <w:rsid w:val="00D33CE9"/>
    <w:rsid w:val="00D3554E"/>
    <w:rsid w:val="00D35616"/>
    <w:rsid w:val="00D36F4E"/>
    <w:rsid w:val="00D4054D"/>
    <w:rsid w:val="00D40D36"/>
    <w:rsid w:val="00D40FF8"/>
    <w:rsid w:val="00D429C6"/>
    <w:rsid w:val="00D450DF"/>
    <w:rsid w:val="00D45559"/>
    <w:rsid w:val="00D45C9B"/>
    <w:rsid w:val="00D47504"/>
    <w:rsid w:val="00D47748"/>
    <w:rsid w:val="00D5042C"/>
    <w:rsid w:val="00D51E3A"/>
    <w:rsid w:val="00D52B9A"/>
    <w:rsid w:val="00D531B2"/>
    <w:rsid w:val="00D534F8"/>
    <w:rsid w:val="00D5354B"/>
    <w:rsid w:val="00D53D7C"/>
    <w:rsid w:val="00D54CC3"/>
    <w:rsid w:val="00D55369"/>
    <w:rsid w:val="00D6041A"/>
    <w:rsid w:val="00D61ED7"/>
    <w:rsid w:val="00D62F1C"/>
    <w:rsid w:val="00D633EB"/>
    <w:rsid w:val="00D63CB0"/>
    <w:rsid w:val="00D64D1D"/>
    <w:rsid w:val="00D651B5"/>
    <w:rsid w:val="00D65DCE"/>
    <w:rsid w:val="00D671C8"/>
    <w:rsid w:val="00D6756E"/>
    <w:rsid w:val="00D70447"/>
    <w:rsid w:val="00D71ACD"/>
    <w:rsid w:val="00D71E86"/>
    <w:rsid w:val="00D72101"/>
    <w:rsid w:val="00D7288F"/>
    <w:rsid w:val="00D732CE"/>
    <w:rsid w:val="00D733E0"/>
    <w:rsid w:val="00D73461"/>
    <w:rsid w:val="00D752D8"/>
    <w:rsid w:val="00D77CE2"/>
    <w:rsid w:val="00D80C22"/>
    <w:rsid w:val="00D817AC"/>
    <w:rsid w:val="00D81E69"/>
    <w:rsid w:val="00D822FC"/>
    <w:rsid w:val="00D82FF7"/>
    <w:rsid w:val="00D83D8F"/>
    <w:rsid w:val="00D847FE"/>
    <w:rsid w:val="00D84A57"/>
    <w:rsid w:val="00D84D39"/>
    <w:rsid w:val="00D85453"/>
    <w:rsid w:val="00D91230"/>
    <w:rsid w:val="00D914B6"/>
    <w:rsid w:val="00D918EA"/>
    <w:rsid w:val="00D91EFA"/>
    <w:rsid w:val="00D92D32"/>
    <w:rsid w:val="00D92DCC"/>
    <w:rsid w:val="00D9462E"/>
    <w:rsid w:val="00D94B41"/>
    <w:rsid w:val="00D964EA"/>
    <w:rsid w:val="00D966D0"/>
    <w:rsid w:val="00D970F0"/>
    <w:rsid w:val="00DA032D"/>
    <w:rsid w:val="00DA0C59"/>
    <w:rsid w:val="00DA1A16"/>
    <w:rsid w:val="00DA3265"/>
    <w:rsid w:val="00DA32BD"/>
    <w:rsid w:val="00DA36FC"/>
    <w:rsid w:val="00DA3991"/>
    <w:rsid w:val="00DA4C06"/>
    <w:rsid w:val="00DA52AB"/>
    <w:rsid w:val="00DA6731"/>
    <w:rsid w:val="00DA7341"/>
    <w:rsid w:val="00DA79BD"/>
    <w:rsid w:val="00DB0631"/>
    <w:rsid w:val="00DB0929"/>
    <w:rsid w:val="00DB0990"/>
    <w:rsid w:val="00DB2974"/>
    <w:rsid w:val="00DB307B"/>
    <w:rsid w:val="00DB3C35"/>
    <w:rsid w:val="00DB555C"/>
    <w:rsid w:val="00DB5E44"/>
    <w:rsid w:val="00DB7211"/>
    <w:rsid w:val="00DB7E6C"/>
    <w:rsid w:val="00DC0A0B"/>
    <w:rsid w:val="00DC34D2"/>
    <w:rsid w:val="00DC356C"/>
    <w:rsid w:val="00DC4192"/>
    <w:rsid w:val="00DC4502"/>
    <w:rsid w:val="00DC54E5"/>
    <w:rsid w:val="00DC61B9"/>
    <w:rsid w:val="00DC7DBB"/>
    <w:rsid w:val="00DD0A91"/>
    <w:rsid w:val="00DD0CD3"/>
    <w:rsid w:val="00DD0FB8"/>
    <w:rsid w:val="00DD14F8"/>
    <w:rsid w:val="00DD24FC"/>
    <w:rsid w:val="00DD2849"/>
    <w:rsid w:val="00DD389B"/>
    <w:rsid w:val="00DD3DDD"/>
    <w:rsid w:val="00DD4A2D"/>
    <w:rsid w:val="00DD5A29"/>
    <w:rsid w:val="00DD5D9D"/>
    <w:rsid w:val="00DD6040"/>
    <w:rsid w:val="00DD78E4"/>
    <w:rsid w:val="00DD7EA6"/>
    <w:rsid w:val="00DE01B8"/>
    <w:rsid w:val="00DE06E4"/>
    <w:rsid w:val="00DE19E0"/>
    <w:rsid w:val="00DE29C2"/>
    <w:rsid w:val="00DE2FA6"/>
    <w:rsid w:val="00DE35CB"/>
    <w:rsid w:val="00DE3B5E"/>
    <w:rsid w:val="00DE568B"/>
    <w:rsid w:val="00DE6480"/>
    <w:rsid w:val="00DE7201"/>
    <w:rsid w:val="00DF09F4"/>
    <w:rsid w:val="00DF0C3A"/>
    <w:rsid w:val="00DF1744"/>
    <w:rsid w:val="00DF21E9"/>
    <w:rsid w:val="00DF224F"/>
    <w:rsid w:val="00DF24EA"/>
    <w:rsid w:val="00DF28FC"/>
    <w:rsid w:val="00DF2BA7"/>
    <w:rsid w:val="00DF2BFC"/>
    <w:rsid w:val="00DF2D2B"/>
    <w:rsid w:val="00DF3CC1"/>
    <w:rsid w:val="00DF48DD"/>
    <w:rsid w:val="00DF65A8"/>
    <w:rsid w:val="00DF784D"/>
    <w:rsid w:val="00E00F14"/>
    <w:rsid w:val="00E03CAA"/>
    <w:rsid w:val="00E0538C"/>
    <w:rsid w:val="00E05AD2"/>
    <w:rsid w:val="00E06386"/>
    <w:rsid w:val="00E066E0"/>
    <w:rsid w:val="00E10268"/>
    <w:rsid w:val="00E10639"/>
    <w:rsid w:val="00E11220"/>
    <w:rsid w:val="00E11CC7"/>
    <w:rsid w:val="00E124C3"/>
    <w:rsid w:val="00E12652"/>
    <w:rsid w:val="00E12D84"/>
    <w:rsid w:val="00E145D8"/>
    <w:rsid w:val="00E146EA"/>
    <w:rsid w:val="00E14712"/>
    <w:rsid w:val="00E16DA6"/>
    <w:rsid w:val="00E17B8C"/>
    <w:rsid w:val="00E17FEB"/>
    <w:rsid w:val="00E20B94"/>
    <w:rsid w:val="00E22350"/>
    <w:rsid w:val="00E224E2"/>
    <w:rsid w:val="00E22C05"/>
    <w:rsid w:val="00E230AE"/>
    <w:rsid w:val="00E24EB4"/>
    <w:rsid w:val="00E2597B"/>
    <w:rsid w:val="00E271FF"/>
    <w:rsid w:val="00E308AF"/>
    <w:rsid w:val="00E30A82"/>
    <w:rsid w:val="00E31B61"/>
    <w:rsid w:val="00E320ED"/>
    <w:rsid w:val="00E326E4"/>
    <w:rsid w:val="00E329A5"/>
    <w:rsid w:val="00E32DED"/>
    <w:rsid w:val="00E33AFB"/>
    <w:rsid w:val="00E34218"/>
    <w:rsid w:val="00E34ECC"/>
    <w:rsid w:val="00E34FF9"/>
    <w:rsid w:val="00E352F4"/>
    <w:rsid w:val="00E3789C"/>
    <w:rsid w:val="00E37CAD"/>
    <w:rsid w:val="00E40DFB"/>
    <w:rsid w:val="00E41488"/>
    <w:rsid w:val="00E4173F"/>
    <w:rsid w:val="00E421B6"/>
    <w:rsid w:val="00E42D2F"/>
    <w:rsid w:val="00E436E7"/>
    <w:rsid w:val="00E438F7"/>
    <w:rsid w:val="00E4579E"/>
    <w:rsid w:val="00E45BD8"/>
    <w:rsid w:val="00E46282"/>
    <w:rsid w:val="00E4714D"/>
    <w:rsid w:val="00E473DD"/>
    <w:rsid w:val="00E504D9"/>
    <w:rsid w:val="00E50688"/>
    <w:rsid w:val="00E51E15"/>
    <w:rsid w:val="00E5216E"/>
    <w:rsid w:val="00E54BAC"/>
    <w:rsid w:val="00E54FDF"/>
    <w:rsid w:val="00E566F6"/>
    <w:rsid w:val="00E572C3"/>
    <w:rsid w:val="00E57AFC"/>
    <w:rsid w:val="00E60BA7"/>
    <w:rsid w:val="00E62331"/>
    <w:rsid w:val="00E62422"/>
    <w:rsid w:val="00E637FA"/>
    <w:rsid w:val="00E639E9"/>
    <w:rsid w:val="00E64F49"/>
    <w:rsid w:val="00E65040"/>
    <w:rsid w:val="00E6689D"/>
    <w:rsid w:val="00E66EB4"/>
    <w:rsid w:val="00E6756F"/>
    <w:rsid w:val="00E67BC9"/>
    <w:rsid w:val="00E67BEC"/>
    <w:rsid w:val="00E702E3"/>
    <w:rsid w:val="00E709A7"/>
    <w:rsid w:val="00E71DFC"/>
    <w:rsid w:val="00E7624A"/>
    <w:rsid w:val="00E76264"/>
    <w:rsid w:val="00E7631F"/>
    <w:rsid w:val="00E77233"/>
    <w:rsid w:val="00E80E80"/>
    <w:rsid w:val="00E81113"/>
    <w:rsid w:val="00E819CA"/>
    <w:rsid w:val="00E81D88"/>
    <w:rsid w:val="00E82344"/>
    <w:rsid w:val="00E82CCE"/>
    <w:rsid w:val="00E83805"/>
    <w:rsid w:val="00E84C82"/>
    <w:rsid w:val="00E84D64"/>
    <w:rsid w:val="00E85AF0"/>
    <w:rsid w:val="00E86C88"/>
    <w:rsid w:val="00E87408"/>
    <w:rsid w:val="00E875C1"/>
    <w:rsid w:val="00E9023A"/>
    <w:rsid w:val="00E908EA"/>
    <w:rsid w:val="00E914C4"/>
    <w:rsid w:val="00E925E2"/>
    <w:rsid w:val="00E92DD8"/>
    <w:rsid w:val="00E93497"/>
    <w:rsid w:val="00E934F5"/>
    <w:rsid w:val="00E94247"/>
    <w:rsid w:val="00E94336"/>
    <w:rsid w:val="00E94997"/>
    <w:rsid w:val="00E96961"/>
    <w:rsid w:val="00E97EDD"/>
    <w:rsid w:val="00EA161C"/>
    <w:rsid w:val="00EA1B85"/>
    <w:rsid w:val="00EA24CF"/>
    <w:rsid w:val="00EA39B4"/>
    <w:rsid w:val="00EA451F"/>
    <w:rsid w:val="00EA5240"/>
    <w:rsid w:val="00EA59B3"/>
    <w:rsid w:val="00EA72EC"/>
    <w:rsid w:val="00EA7CF0"/>
    <w:rsid w:val="00EB11CB"/>
    <w:rsid w:val="00EB275A"/>
    <w:rsid w:val="00EB4583"/>
    <w:rsid w:val="00EB4948"/>
    <w:rsid w:val="00EB4B42"/>
    <w:rsid w:val="00EB5229"/>
    <w:rsid w:val="00EB546C"/>
    <w:rsid w:val="00EB786A"/>
    <w:rsid w:val="00EB7F73"/>
    <w:rsid w:val="00EC06D6"/>
    <w:rsid w:val="00EC0E65"/>
    <w:rsid w:val="00EC1578"/>
    <w:rsid w:val="00EC1C72"/>
    <w:rsid w:val="00EC1D3E"/>
    <w:rsid w:val="00EC3CC9"/>
    <w:rsid w:val="00EC43DF"/>
    <w:rsid w:val="00EC4BE6"/>
    <w:rsid w:val="00EC680A"/>
    <w:rsid w:val="00ED1009"/>
    <w:rsid w:val="00ED2878"/>
    <w:rsid w:val="00ED3AA2"/>
    <w:rsid w:val="00ED5D1D"/>
    <w:rsid w:val="00ED635D"/>
    <w:rsid w:val="00ED7C7B"/>
    <w:rsid w:val="00ED7CD2"/>
    <w:rsid w:val="00EE0196"/>
    <w:rsid w:val="00EE0ACE"/>
    <w:rsid w:val="00EE1D25"/>
    <w:rsid w:val="00EE2BED"/>
    <w:rsid w:val="00EE3371"/>
    <w:rsid w:val="00EE374B"/>
    <w:rsid w:val="00EE42DD"/>
    <w:rsid w:val="00EE450F"/>
    <w:rsid w:val="00EE47E4"/>
    <w:rsid w:val="00EE66C6"/>
    <w:rsid w:val="00EF18F1"/>
    <w:rsid w:val="00EF25B8"/>
    <w:rsid w:val="00EF41B0"/>
    <w:rsid w:val="00EF4420"/>
    <w:rsid w:val="00EF5C1A"/>
    <w:rsid w:val="00EF5E86"/>
    <w:rsid w:val="00EF6B16"/>
    <w:rsid w:val="00EF7443"/>
    <w:rsid w:val="00EF7EA7"/>
    <w:rsid w:val="00F00039"/>
    <w:rsid w:val="00F011FC"/>
    <w:rsid w:val="00F029DC"/>
    <w:rsid w:val="00F0422D"/>
    <w:rsid w:val="00F049D1"/>
    <w:rsid w:val="00F111A3"/>
    <w:rsid w:val="00F111C5"/>
    <w:rsid w:val="00F11BB5"/>
    <w:rsid w:val="00F128E8"/>
    <w:rsid w:val="00F134FD"/>
    <w:rsid w:val="00F135F2"/>
    <w:rsid w:val="00F13CDC"/>
    <w:rsid w:val="00F1417B"/>
    <w:rsid w:val="00F14895"/>
    <w:rsid w:val="00F15ED5"/>
    <w:rsid w:val="00F168A1"/>
    <w:rsid w:val="00F16B4C"/>
    <w:rsid w:val="00F20151"/>
    <w:rsid w:val="00F205B5"/>
    <w:rsid w:val="00F2095F"/>
    <w:rsid w:val="00F21626"/>
    <w:rsid w:val="00F22633"/>
    <w:rsid w:val="00F226B5"/>
    <w:rsid w:val="00F22C0F"/>
    <w:rsid w:val="00F2309D"/>
    <w:rsid w:val="00F23F42"/>
    <w:rsid w:val="00F24032"/>
    <w:rsid w:val="00F243B8"/>
    <w:rsid w:val="00F25AF8"/>
    <w:rsid w:val="00F25C2A"/>
    <w:rsid w:val="00F27871"/>
    <w:rsid w:val="00F27F6D"/>
    <w:rsid w:val="00F3038F"/>
    <w:rsid w:val="00F30D74"/>
    <w:rsid w:val="00F3191E"/>
    <w:rsid w:val="00F32FF2"/>
    <w:rsid w:val="00F33B5F"/>
    <w:rsid w:val="00F34835"/>
    <w:rsid w:val="00F34A57"/>
    <w:rsid w:val="00F34B99"/>
    <w:rsid w:val="00F35833"/>
    <w:rsid w:val="00F36CB0"/>
    <w:rsid w:val="00F3720D"/>
    <w:rsid w:val="00F376A0"/>
    <w:rsid w:val="00F37AC8"/>
    <w:rsid w:val="00F404F7"/>
    <w:rsid w:val="00F40888"/>
    <w:rsid w:val="00F40C88"/>
    <w:rsid w:val="00F434D1"/>
    <w:rsid w:val="00F436FD"/>
    <w:rsid w:val="00F46750"/>
    <w:rsid w:val="00F50D7F"/>
    <w:rsid w:val="00F50E48"/>
    <w:rsid w:val="00F52697"/>
    <w:rsid w:val="00F52DAB"/>
    <w:rsid w:val="00F5308D"/>
    <w:rsid w:val="00F53BA3"/>
    <w:rsid w:val="00F543F0"/>
    <w:rsid w:val="00F55CD7"/>
    <w:rsid w:val="00F57DB1"/>
    <w:rsid w:val="00F6019D"/>
    <w:rsid w:val="00F60DFC"/>
    <w:rsid w:val="00F63FFB"/>
    <w:rsid w:val="00F644E7"/>
    <w:rsid w:val="00F64CBE"/>
    <w:rsid w:val="00F65C81"/>
    <w:rsid w:val="00F7109F"/>
    <w:rsid w:val="00F710E5"/>
    <w:rsid w:val="00F72090"/>
    <w:rsid w:val="00F72873"/>
    <w:rsid w:val="00F7332E"/>
    <w:rsid w:val="00F73E57"/>
    <w:rsid w:val="00F76199"/>
    <w:rsid w:val="00F76929"/>
    <w:rsid w:val="00F7786E"/>
    <w:rsid w:val="00F77D82"/>
    <w:rsid w:val="00F809A6"/>
    <w:rsid w:val="00F80AB8"/>
    <w:rsid w:val="00F815CD"/>
    <w:rsid w:val="00F817FD"/>
    <w:rsid w:val="00F81D29"/>
    <w:rsid w:val="00F822FF"/>
    <w:rsid w:val="00F843B7"/>
    <w:rsid w:val="00F8503C"/>
    <w:rsid w:val="00F86393"/>
    <w:rsid w:val="00F86697"/>
    <w:rsid w:val="00F87138"/>
    <w:rsid w:val="00F877AE"/>
    <w:rsid w:val="00F87B74"/>
    <w:rsid w:val="00F87D9F"/>
    <w:rsid w:val="00F87F65"/>
    <w:rsid w:val="00F9135B"/>
    <w:rsid w:val="00F91C4D"/>
    <w:rsid w:val="00F92FA2"/>
    <w:rsid w:val="00F92FD9"/>
    <w:rsid w:val="00F935C8"/>
    <w:rsid w:val="00F93740"/>
    <w:rsid w:val="00F93DD1"/>
    <w:rsid w:val="00F9427F"/>
    <w:rsid w:val="00F94A56"/>
    <w:rsid w:val="00F95CF4"/>
    <w:rsid w:val="00F9605C"/>
    <w:rsid w:val="00F97925"/>
    <w:rsid w:val="00FA0DAB"/>
    <w:rsid w:val="00FA104D"/>
    <w:rsid w:val="00FA1523"/>
    <w:rsid w:val="00FA2192"/>
    <w:rsid w:val="00FA2303"/>
    <w:rsid w:val="00FA28B1"/>
    <w:rsid w:val="00FA38CF"/>
    <w:rsid w:val="00FA3AB0"/>
    <w:rsid w:val="00FA3F26"/>
    <w:rsid w:val="00FA4653"/>
    <w:rsid w:val="00FA6684"/>
    <w:rsid w:val="00FA6C36"/>
    <w:rsid w:val="00FA731E"/>
    <w:rsid w:val="00FA7896"/>
    <w:rsid w:val="00FB0321"/>
    <w:rsid w:val="00FB19F9"/>
    <w:rsid w:val="00FB2B38"/>
    <w:rsid w:val="00FB3700"/>
    <w:rsid w:val="00FB41E9"/>
    <w:rsid w:val="00FB42ED"/>
    <w:rsid w:val="00FB4D56"/>
    <w:rsid w:val="00FB5848"/>
    <w:rsid w:val="00FB6720"/>
    <w:rsid w:val="00FB6BA7"/>
    <w:rsid w:val="00FC0DBB"/>
    <w:rsid w:val="00FC1272"/>
    <w:rsid w:val="00FC1768"/>
    <w:rsid w:val="00FC1ED5"/>
    <w:rsid w:val="00FC2C42"/>
    <w:rsid w:val="00FC362F"/>
    <w:rsid w:val="00FC367F"/>
    <w:rsid w:val="00FC3908"/>
    <w:rsid w:val="00FC3B67"/>
    <w:rsid w:val="00FC4049"/>
    <w:rsid w:val="00FC5334"/>
    <w:rsid w:val="00FC544D"/>
    <w:rsid w:val="00FC5B63"/>
    <w:rsid w:val="00FC5C67"/>
    <w:rsid w:val="00FC6358"/>
    <w:rsid w:val="00FC734D"/>
    <w:rsid w:val="00FD01CF"/>
    <w:rsid w:val="00FD0FA8"/>
    <w:rsid w:val="00FD11E4"/>
    <w:rsid w:val="00FD320D"/>
    <w:rsid w:val="00FD4CED"/>
    <w:rsid w:val="00FD508D"/>
    <w:rsid w:val="00FD5814"/>
    <w:rsid w:val="00FD71AC"/>
    <w:rsid w:val="00FD73A1"/>
    <w:rsid w:val="00FD76B8"/>
    <w:rsid w:val="00FE0C67"/>
    <w:rsid w:val="00FE0F06"/>
    <w:rsid w:val="00FE16B0"/>
    <w:rsid w:val="00FE1FCF"/>
    <w:rsid w:val="00FE23DE"/>
    <w:rsid w:val="00FE3D3E"/>
    <w:rsid w:val="00FE43EB"/>
    <w:rsid w:val="00FE5419"/>
    <w:rsid w:val="00FE5845"/>
    <w:rsid w:val="00FE7CBE"/>
    <w:rsid w:val="00FF07E4"/>
    <w:rsid w:val="00FF4645"/>
    <w:rsid w:val="00FF519F"/>
    <w:rsid w:val="00FF5876"/>
    <w:rsid w:val="00FF5B02"/>
    <w:rsid w:val="00FF6BA5"/>
    <w:rsid w:val="00FF6D22"/>
    <w:rsid w:val="00FF6DB4"/>
    <w:rsid w:val="00FF71E0"/>
    <w:rsid w:val="00FF7D83"/>
    <w:rsid w:val="01467D6F"/>
    <w:rsid w:val="01A324E9"/>
    <w:rsid w:val="01C901A1"/>
    <w:rsid w:val="0200793B"/>
    <w:rsid w:val="026D5659"/>
    <w:rsid w:val="02745C65"/>
    <w:rsid w:val="02CD558E"/>
    <w:rsid w:val="04C06E57"/>
    <w:rsid w:val="05A21435"/>
    <w:rsid w:val="073C0451"/>
    <w:rsid w:val="0871381F"/>
    <w:rsid w:val="08D5567E"/>
    <w:rsid w:val="091D7025"/>
    <w:rsid w:val="09C01DC2"/>
    <w:rsid w:val="0A40746F"/>
    <w:rsid w:val="0B4F08C1"/>
    <w:rsid w:val="0B903ADE"/>
    <w:rsid w:val="0BCD6AE0"/>
    <w:rsid w:val="0CBB1C59"/>
    <w:rsid w:val="0D1D435D"/>
    <w:rsid w:val="0D5D20E6"/>
    <w:rsid w:val="0D78717F"/>
    <w:rsid w:val="0DBF1691"/>
    <w:rsid w:val="0E2F0512"/>
    <w:rsid w:val="0E344BF5"/>
    <w:rsid w:val="0EA666A3"/>
    <w:rsid w:val="0EBE0962"/>
    <w:rsid w:val="0FA273BF"/>
    <w:rsid w:val="1001144E"/>
    <w:rsid w:val="1010343F"/>
    <w:rsid w:val="103510F8"/>
    <w:rsid w:val="107F6E85"/>
    <w:rsid w:val="116369F4"/>
    <w:rsid w:val="12F86B39"/>
    <w:rsid w:val="133D4FC1"/>
    <w:rsid w:val="135A334F"/>
    <w:rsid w:val="135B70C7"/>
    <w:rsid w:val="14A87CF4"/>
    <w:rsid w:val="14B7657F"/>
    <w:rsid w:val="15671D54"/>
    <w:rsid w:val="15E736F6"/>
    <w:rsid w:val="1674297A"/>
    <w:rsid w:val="16B014D8"/>
    <w:rsid w:val="17A9694C"/>
    <w:rsid w:val="1807337A"/>
    <w:rsid w:val="180C18AF"/>
    <w:rsid w:val="188E3A9B"/>
    <w:rsid w:val="196B16E7"/>
    <w:rsid w:val="1A0062D3"/>
    <w:rsid w:val="1A4C32C6"/>
    <w:rsid w:val="1BBB0703"/>
    <w:rsid w:val="1C60574F"/>
    <w:rsid w:val="1C890801"/>
    <w:rsid w:val="1C981C48"/>
    <w:rsid w:val="1ED3045A"/>
    <w:rsid w:val="20505479"/>
    <w:rsid w:val="22644061"/>
    <w:rsid w:val="245E07C6"/>
    <w:rsid w:val="254774AC"/>
    <w:rsid w:val="25C26428"/>
    <w:rsid w:val="26AC3A6A"/>
    <w:rsid w:val="271909D4"/>
    <w:rsid w:val="283F3843"/>
    <w:rsid w:val="28687E03"/>
    <w:rsid w:val="293164A9"/>
    <w:rsid w:val="2943084E"/>
    <w:rsid w:val="29BE7C25"/>
    <w:rsid w:val="2AEF03C9"/>
    <w:rsid w:val="2DD438A6"/>
    <w:rsid w:val="2ED74F14"/>
    <w:rsid w:val="2F283EAA"/>
    <w:rsid w:val="2F524C81"/>
    <w:rsid w:val="2FF74FA3"/>
    <w:rsid w:val="31EE2442"/>
    <w:rsid w:val="32935ADE"/>
    <w:rsid w:val="333F17C2"/>
    <w:rsid w:val="33775400"/>
    <w:rsid w:val="343A21BD"/>
    <w:rsid w:val="352D5354"/>
    <w:rsid w:val="35D54660"/>
    <w:rsid w:val="362F3D70"/>
    <w:rsid w:val="36421CF5"/>
    <w:rsid w:val="37C14628"/>
    <w:rsid w:val="39A131D7"/>
    <w:rsid w:val="39E124FA"/>
    <w:rsid w:val="3ACA050B"/>
    <w:rsid w:val="3C8F5568"/>
    <w:rsid w:val="3DA20662"/>
    <w:rsid w:val="3F5E1433"/>
    <w:rsid w:val="40D21EC7"/>
    <w:rsid w:val="41BD4926"/>
    <w:rsid w:val="41C33FBF"/>
    <w:rsid w:val="41D13F2D"/>
    <w:rsid w:val="42811A5F"/>
    <w:rsid w:val="43521521"/>
    <w:rsid w:val="45531F06"/>
    <w:rsid w:val="45C52D84"/>
    <w:rsid w:val="463B5FC2"/>
    <w:rsid w:val="46A33022"/>
    <w:rsid w:val="474D04FA"/>
    <w:rsid w:val="47E30849"/>
    <w:rsid w:val="47F37BF5"/>
    <w:rsid w:val="48780F9E"/>
    <w:rsid w:val="48CA7928"/>
    <w:rsid w:val="497F1DAA"/>
    <w:rsid w:val="4A7144FF"/>
    <w:rsid w:val="4A9401EE"/>
    <w:rsid w:val="4B3D426F"/>
    <w:rsid w:val="4BC92119"/>
    <w:rsid w:val="4C03387D"/>
    <w:rsid w:val="4C8229F4"/>
    <w:rsid w:val="4D6A2FDA"/>
    <w:rsid w:val="4EE51018"/>
    <w:rsid w:val="4F196F13"/>
    <w:rsid w:val="4F6208BA"/>
    <w:rsid w:val="4F9667B6"/>
    <w:rsid w:val="4FF57310"/>
    <w:rsid w:val="507F70F1"/>
    <w:rsid w:val="510C31D4"/>
    <w:rsid w:val="51384A6F"/>
    <w:rsid w:val="521E57F4"/>
    <w:rsid w:val="52291B63"/>
    <w:rsid w:val="5249056E"/>
    <w:rsid w:val="52B21B59"/>
    <w:rsid w:val="533D7674"/>
    <w:rsid w:val="53790E64"/>
    <w:rsid w:val="537E5DF0"/>
    <w:rsid w:val="539574B0"/>
    <w:rsid w:val="545C3B2A"/>
    <w:rsid w:val="54AD25D8"/>
    <w:rsid w:val="5530062D"/>
    <w:rsid w:val="55F36710"/>
    <w:rsid w:val="56735488"/>
    <w:rsid w:val="57715B3F"/>
    <w:rsid w:val="58726012"/>
    <w:rsid w:val="5AF26F96"/>
    <w:rsid w:val="5B01367D"/>
    <w:rsid w:val="5C533A65"/>
    <w:rsid w:val="5C855BE8"/>
    <w:rsid w:val="5CA23B87"/>
    <w:rsid w:val="5D0B2591"/>
    <w:rsid w:val="5D105DFA"/>
    <w:rsid w:val="5D222D66"/>
    <w:rsid w:val="5FCC24AC"/>
    <w:rsid w:val="603F387F"/>
    <w:rsid w:val="61581B1D"/>
    <w:rsid w:val="61ED495B"/>
    <w:rsid w:val="624D71A8"/>
    <w:rsid w:val="62546789"/>
    <w:rsid w:val="64151F48"/>
    <w:rsid w:val="64162907"/>
    <w:rsid w:val="64B259E8"/>
    <w:rsid w:val="64F77DD6"/>
    <w:rsid w:val="64F953C5"/>
    <w:rsid w:val="65F8567D"/>
    <w:rsid w:val="677551D7"/>
    <w:rsid w:val="67987117"/>
    <w:rsid w:val="6B2313EE"/>
    <w:rsid w:val="6BF568E6"/>
    <w:rsid w:val="6C895281"/>
    <w:rsid w:val="6D2F1419"/>
    <w:rsid w:val="6D5E04BB"/>
    <w:rsid w:val="6DC02F24"/>
    <w:rsid w:val="6E071C62"/>
    <w:rsid w:val="6E427DDD"/>
    <w:rsid w:val="6E8C4448"/>
    <w:rsid w:val="6F267229"/>
    <w:rsid w:val="6F7246F2"/>
    <w:rsid w:val="6FCF744E"/>
    <w:rsid w:val="6FE078AE"/>
    <w:rsid w:val="71C75CA2"/>
    <w:rsid w:val="722872EA"/>
    <w:rsid w:val="72291914"/>
    <w:rsid w:val="73223D39"/>
    <w:rsid w:val="75093403"/>
    <w:rsid w:val="764A782F"/>
    <w:rsid w:val="77071BC4"/>
    <w:rsid w:val="77764653"/>
    <w:rsid w:val="78EF46BD"/>
    <w:rsid w:val="7A7632E8"/>
    <w:rsid w:val="7B95154C"/>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4"/>
    <w:qFormat/>
    <w:uiPriority w:val="0"/>
    <w:pPr>
      <w:keepNext/>
      <w:keepLines/>
      <w:ind w:firstLine="363"/>
      <w:jc w:val="center"/>
      <w:outlineLvl w:val="0"/>
    </w:pPr>
    <w:rPr>
      <w:b/>
      <w:bCs/>
      <w:kern w:val="44"/>
      <w:sz w:val="28"/>
      <w:szCs w:val="44"/>
      <w:lang w:val="zh-CN"/>
    </w:rPr>
  </w:style>
  <w:style w:type="paragraph" w:styleId="3">
    <w:name w:val="heading 2"/>
    <w:basedOn w:val="1"/>
    <w:next w:val="1"/>
    <w:link w:val="145"/>
    <w:qFormat/>
    <w:uiPriority w:val="0"/>
    <w:pPr>
      <w:keepNext/>
      <w:keepLines/>
      <w:numPr>
        <w:ilvl w:val="1"/>
        <w:numId w:val="1"/>
      </w:numPr>
      <w:spacing w:before="260" w:after="260" w:line="416" w:lineRule="auto"/>
      <w:outlineLvl w:val="1"/>
    </w:pPr>
    <w:rPr>
      <w:rFonts w:ascii="Cambria" w:hAnsi="Cambria"/>
      <w:b/>
      <w:bCs/>
      <w:kern w:val="0"/>
      <w:sz w:val="32"/>
      <w:szCs w:val="32"/>
      <w:lang w:val="zh-CN"/>
    </w:rPr>
  </w:style>
  <w:style w:type="paragraph" w:styleId="4">
    <w:name w:val="heading 3"/>
    <w:basedOn w:val="3"/>
    <w:next w:val="1"/>
    <w:link w:val="146"/>
    <w:qFormat/>
    <w:uiPriority w:val="0"/>
    <w:pPr>
      <w:widowControl/>
      <w:numPr>
        <w:ilvl w:val="0"/>
        <w:numId w:val="0"/>
      </w:numPr>
      <w:tabs>
        <w:tab w:val="left" w:pos="901"/>
        <w:tab w:val="left" w:pos="1134"/>
      </w:tabs>
      <w:spacing w:before="80" w:after="80" w:line="240" w:lineRule="auto"/>
      <w:ind w:left="1134" w:hanging="1134"/>
      <w:jc w:val="left"/>
      <w:outlineLvl w:val="2"/>
    </w:pPr>
    <w:rPr>
      <w:rFonts w:ascii="Times New Roman" w:hAnsi="Times New Roman"/>
      <w:bCs w:val="0"/>
      <w:color w:val="000000"/>
      <w:sz w:val="28"/>
      <w:szCs w:val="24"/>
    </w:rPr>
  </w:style>
  <w:style w:type="paragraph" w:styleId="5">
    <w:name w:val="heading 4"/>
    <w:basedOn w:val="4"/>
    <w:next w:val="1"/>
    <w:link w:val="147"/>
    <w:qFormat/>
    <w:uiPriority w:val="0"/>
    <w:pPr>
      <w:outlineLvl w:val="3"/>
    </w:pPr>
    <w:rPr>
      <w:bCs/>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rFonts w:ascii="Calibri" w:hAnsi="Calibri"/>
      <w:sz w:val="18"/>
      <w:szCs w:val="18"/>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Document Map"/>
    <w:basedOn w:val="1"/>
    <w:link w:val="150"/>
    <w:semiHidden/>
    <w:qFormat/>
    <w:uiPriority w:val="99"/>
    <w:pPr>
      <w:shd w:val="clear" w:color="auto" w:fill="000080"/>
    </w:pPr>
    <w:rPr>
      <w:lang w:val="zh-CN"/>
    </w:rPr>
  </w:style>
  <w:style w:type="paragraph" w:styleId="11">
    <w:name w:val="annotation text"/>
    <w:basedOn w:val="1"/>
    <w:link w:val="156"/>
    <w:qFormat/>
    <w:uiPriority w:val="0"/>
    <w:pPr>
      <w:adjustRightInd w:val="0"/>
      <w:spacing w:line="360" w:lineRule="atLeast"/>
      <w:ind w:firstLine="709"/>
      <w:jc w:val="left"/>
      <w:textAlignment w:val="baseline"/>
    </w:pPr>
    <w:rPr>
      <w:rFonts w:ascii="Calibri" w:hAnsi="Calibri"/>
      <w:kern w:val="0"/>
      <w:sz w:val="24"/>
      <w:szCs w:val="20"/>
      <w:lang w:val="zh-CN"/>
    </w:r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index 4"/>
    <w:basedOn w:val="1"/>
    <w:next w:val="1"/>
    <w:qFormat/>
    <w:uiPriority w:val="0"/>
    <w:pPr>
      <w:ind w:left="840" w:hanging="210"/>
      <w:jc w:val="left"/>
    </w:pPr>
    <w:rPr>
      <w:rFonts w:ascii="Calibri" w:hAnsi="Calibri"/>
      <w:sz w:val="20"/>
      <w:szCs w:val="20"/>
    </w:rPr>
  </w:style>
  <w:style w:type="paragraph" w:styleId="14">
    <w:name w:val="toc 5"/>
    <w:basedOn w:val="1"/>
    <w:next w:val="1"/>
    <w:qFormat/>
    <w:uiPriority w:val="39"/>
    <w:pPr>
      <w:ind w:left="840"/>
      <w:jc w:val="left"/>
    </w:pPr>
    <w:rPr>
      <w:rFonts w:ascii="Calibri" w:hAnsi="Calibri"/>
      <w:sz w:val="18"/>
      <w:szCs w:val="18"/>
    </w:rPr>
  </w:style>
  <w:style w:type="paragraph" w:styleId="15">
    <w:name w:val="toc 3"/>
    <w:basedOn w:val="1"/>
    <w:next w:val="1"/>
    <w:qFormat/>
    <w:uiPriority w:val="39"/>
    <w:pPr>
      <w:ind w:left="420"/>
      <w:jc w:val="left"/>
    </w:pPr>
    <w:rPr>
      <w:rFonts w:ascii="Calibri" w:hAnsi="Calibri"/>
      <w:i/>
      <w:iCs/>
      <w:sz w:val="20"/>
      <w:szCs w:val="20"/>
    </w:rPr>
  </w:style>
  <w:style w:type="paragraph" w:styleId="16">
    <w:name w:val="toc 8"/>
    <w:basedOn w:val="1"/>
    <w:next w:val="1"/>
    <w:qFormat/>
    <w:uiPriority w:val="39"/>
    <w:pPr>
      <w:ind w:left="1470"/>
      <w:jc w:val="left"/>
    </w:pPr>
    <w:rPr>
      <w:rFonts w:ascii="Calibri" w:hAnsi="Calibri"/>
      <w:sz w:val="18"/>
      <w:szCs w:val="18"/>
    </w:rPr>
  </w:style>
  <w:style w:type="paragraph" w:styleId="17">
    <w:name w:val="index 3"/>
    <w:basedOn w:val="1"/>
    <w:next w:val="1"/>
    <w:qFormat/>
    <w:uiPriority w:val="0"/>
    <w:pPr>
      <w:ind w:left="630" w:hanging="210"/>
      <w:jc w:val="left"/>
    </w:pPr>
    <w:rPr>
      <w:rFonts w:ascii="Calibri" w:hAnsi="Calibri"/>
      <w:sz w:val="20"/>
      <w:szCs w:val="20"/>
    </w:rPr>
  </w:style>
  <w:style w:type="paragraph" w:styleId="18">
    <w:name w:val="Date"/>
    <w:basedOn w:val="1"/>
    <w:next w:val="1"/>
    <w:link w:val="154"/>
    <w:unhideWhenUsed/>
    <w:qFormat/>
    <w:uiPriority w:val="99"/>
    <w:pPr>
      <w:ind w:left="100" w:leftChars="2500"/>
    </w:pPr>
    <w:rPr>
      <w:kern w:val="0"/>
      <w:sz w:val="20"/>
      <w:szCs w:val="22"/>
      <w:lang w:val="zh-CN"/>
    </w:rPr>
  </w:style>
  <w:style w:type="paragraph" w:styleId="19">
    <w:name w:val="endnote text"/>
    <w:basedOn w:val="1"/>
    <w:semiHidden/>
    <w:qFormat/>
    <w:uiPriority w:val="0"/>
    <w:pPr>
      <w:snapToGrid w:val="0"/>
      <w:jc w:val="left"/>
    </w:pPr>
  </w:style>
  <w:style w:type="paragraph" w:styleId="20">
    <w:name w:val="Balloon Text"/>
    <w:basedOn w:val="1"/>
    <w:link w:val="158"/>
    <w:qFormat/>
    <w:uiPriority w:val="0"/>
    <w:pPr>
      <w:topLinePunct/>
      <w:spacing w:beforeLines="20"/>
      <w:ind w:firstLine="200" w:firstLineChars="200"/>
      <w:jc w:val="left"/>
    </w:pPr>
    <w:rPr>
      <w:rFonts w:ascii="Calibri" w:hAnsi="Calibri"/>
      <w:color w:val="000000"/>
      <w:kern w:val="0"/>
      <w:sz w:val="18"/>
      <w:szCs w:val="18"/>
      <w:lang w:val="zh-CN"/>
    </w:rPr>
  </w:style>
  <w:style w:type="paragraph" w:styleId="21">
    <w:name w:val="footer"/>
    <w:basedOn w:val="1"/>
    <w:link w:val="155"/>
    <w:qFormat/>
    <w:uiPriority w:val="0"/>
    <w:pPr>
      <w:snapToGrid w:val="0"/>
      <w:ind w:right="210" w:rightChars="100"/>
      <w:jc w:val="right"/>
    </w:pPr>
    <w:rPr>
      <w:sz w:val="18"/>
      <w:szCs w:val="18"/>
      <w:lang w:val="zh-CN"/>
    </w:rPr>
  </w:style>
  <w:style w:type="paragraph" w:styleId="22">
    <w:name w:val="header"/>
    <w:basedOn w:val="1"/>
    <w:link w:val="153"/>
    <w:qFormat/>
    <w:uiPriority w:val="99"/>
    <w:pPr>
      <w:snapToGrid w:val="0"/>
      <w:jc w:val="left"/>
    </w:pPr>
    <w:rPr>
      <w:sz w:val="18"/>
      <w:szCs w:val="18"/>
      <w:lang w:val="zh-CN"/>
    </w:rPr>
  </w:style>
  <w:style w:type="paragraph" w:styleId="23">
    <w:name w:val="toc 1"/>
    <w:basedOn w:val="1"/>
    <w:next w:val="1"/>
    <w:qFormat/>
    <w:uiPriority w:val="39"/>
    <w:pPr>
      <w:tabs>
        <w:tab w:val="right" w:leader="dot" w:pos="9344"/>
      </w:tabs>
      <w:spacing w:before="120" w:after="120"/>
      <w:jc w:val="center"/>
    </w:pPr>
    <w:rPr>
      <w:rFonts w:ascii="黑体" w:hAnsi="黑体" w:eastAsia="黑体"/>
      <w:bCs/>
      <w:caps/>
      <w:sz w:val="24"/>
    </w:rPr>
  </w:style>
  <w:style w:type="paragraph" w:styleId="24">
    <w:name w:val="toc 4"/>
    <w:basedOn w:val="1"/>
    <w:next w:val="1"/>
    <w:qFormat/>
    <w:uiPriority w:val="39"/>
    <w:pPr>
      <w:ind w:left="630"/>
      <w:jc w:val="left"/>
    </w:pPr>
    <w:rPr>
      <w:rFonts w:ascii="Calibri" w:hAnsi="Calibri"/>
      <w:sz w:val="18"/>
      <w:szCs w:val="18"/>
    </w:rPr>
  </w:style>
  <w:style w:type="paragraph" w:styleId="25">
    <w:name w:val="index heading"/>
    <w:basedOn w:val="1"/>
    <w:next w:val="26"/>
    <w:qFormat/>
    <w:uiPriority w:val="0"/>
    <w:pPr>
      <w:spacing w:before="120" w:after="120"/>
      <w:jc w:val="center"/>
    </w:pPr>
    <w:rPr>
      <w:rFonts w:ascii="Calibri" w:hAnsi="Calibri"/>
      <w:b/>
      <w:bCs/>
      <w:iCs/>
      <w:szCs w:val="20"/>
    </w:rPr>
  </w:style>
  <w:style w:type="paragraph" w:styleId="26">
    <w:name w:val="index 1"/>
    <w:basedOn w:val="1"/>
    <w:next w:val="27"/>
    <w:qFormat/>
    <w:uiPriority w:val="0"/>
    <w:pPr>
      <w:tabs>
        <w:tab w:val="right" w:leader="dot" w:pos="9299"/>
      </w:tabs>
      <w:jc w:val="left"/>
    </w:pPr>
    <w:rPr>
      <w:rFonts w:ascii="宋体"/>
      <w:szCs w:val="21"/>
    </w:rPr>
  </w:style>
  <w:style w:type="paragraph" w:customStyle="1" w:styleId="27">
    <w:name w:val="段"/>
    <w:link w:val="4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8">
    <w:name w:val="footnote text"/>
    <w:basedOn w:val="1"/>
    <w:qFormat/>
    <w:uiPriority w:val="0"/>
    <w:pPr>
      <w:numPr>
        <w:ilvl w:val="0"/>
        <w:numId w:val="2"/>
      </w:numPr>
      <w:snapToGrid w:val="0"/>
      <w:jc w:val="left"/>
    </w:pPr>
    <w:rPr>
      <w:rFonts w:ascii="宋体"/>
      <w:sz w:val="18"/>
      <w:szCs w:val="18"/>
    </w:rPr>
  </w:style>
  <w:style w:type="paragraph" w:styleId="29">
    <w:name w:val="toc 6"/>
    <w:basedOn w:val="1"/>
    <w:next w:val="1"/>
    <w:qFormat/>
    <w:uiPriority w:val="39"/>
    <w:pPr>
      <w:ind w:left="1050"/>
      <w:jc w:val="left"/>
    </w:pPr>
    <w:rPr>
      <w:rFonts w:ascii="Calibri" w:hAnsi="Calibri"/>
      <w:sz w:val="18"/>
      <w:szCs w:val="18"/>
    </w:rPr>
  </w:style>
  <w:style w:type="paragraph" w:styleId="30">
    <w:name w:val="index 7"/>
    <w:basedOn w:val="1"/>
    <w:next w:val="1"/>
    <w:qFormat/>
    <w:uiPriority w:val="0"/>
    <w:pPr>
      <w:ind w:left="1470" w:hanging="210"/>
      <w:jc w:val="left"/>
    </w:pPr>
    <w:rPr>
      <w:rFonts w:ascii="Calibri" w:hAnsi="Calibri"/>
      <w:sz w:val="20"/>
      <w:szCs w:val="20"/>
    </w:rPr>
  </w:style>
  <w:style w:type="paragraph" w:styleId="31">
    <w:name w:val="index 9"/>
    <w:basedOn w:val="1"/>
    <w:next w:val="1"/>
    <w:qFormat/>
    <w:uiPriority w:val="0"/>
    <w:pPr>
      <w:ind w:left="1890" w:hanging="210"/>
      <w:jc w:val="left"/>
    </w:pPr>
    <w:rPr>
      <w:rFonts w:ascii="Calibri" w:hAnsi="Calibri"/>
      <w:sz w:val="20"/>
      <w:szCs w:val="20"/>
    </w:rPr>
  </w:style>
  <w:style w:type="paragraph" w:styleId="32">
    <w:name w:val="toc 2"/>
    <w:basedOn w:val="1"/>
    <w:next w:val="1"/>
    <w:qFormat/>
    <w:uiPriority w:val="39"/>
    <w:pPr>
      <w:ind w:left="210"/>
      <w:jc w:val="left"/>
    </w:pPr>
    <w:rPr>
      <w:rFonts w:ascii="Calibri" w:hAnsi="Calibri"/>
      <w:smallCaps/>
      <w:sz w:val="20"/>
      <w:szCs w:val="20"/>
    </w:rPr>
  </w:style>
  <w:style w:type="paragraph" w:styleId="33">
    <w:name w:val="toc 9"/>
    <w:basedOn w:val="1"/>
    <w:next w:val="1"/>
    <w:qFormat/>
    <w:uiPriority w:val="39"/>
    <w:pPr>
      <w:ind w:left="1680"/>
      <w:jc w:val="left"/>
    </w:pPr>
    <w:rPr>
      <w:rFonts w:ascii="Calibri" w:hAnsi="Calibri"/>
      <w:sz w:val="18"/>
      <w:szCs w:val="18"/>
    </w:rPr>
  </w:style>
  <w:style w:type="paragraph" w:styleId="34">
    <w:name w:val="index 2"/>
    <w:basedOn w:val="1"/>
    <w:next w:val="1"/>
    <w:qFormat/>
    <w:uiPriority w:val="0"/>
    <w:pPr>
      <w:ind w:left="420" w:hanging="210"/>
      <w:jc w:val="left"/>
    </w:pPr>
    <w:rPr>
      <w:rFonts w:ascii="Calibri" w:hAnsi="Calibri"/>
      <w:sz w:val="20"/>
      <w:szCs w:val="20"/>
    </w:rPr>
  </w:style>
  <w:style w:type="paragraph" w:styleId="35">
    <w:name w:val="Title"/>
    <w:basedOn w:val="1"/>
    <w:link w:val="157"/>
    <w:qFormat/>
    <w:uiPriority w:val="0"/>
    <w:pPr>
      <w:widowControl/>
      <w:spacing w:after="60"/>
      <w:jc w:val="left"/>
      <w:outlineLvl w:val="0"/>
    </w:pPr>
    <w:rPr>
      <w:rFonts w:ascii="Arial" w:hAnsi="Arial"/>
      <w:b/>
      <w:kern w:val="0"/>
      <w:sz w:val="30"/>
      <w:szCs w:val="20"/>
      <w:lang w:val="zh-CN"/>
    </w:rPr>
  </w:style>
  <w:style w:type="paragraph" w:styleId="36">
    <w:name w:val="annotation subject"/>
    <w:basedOn w:val="11"/>
    <w:next w:val="11"/>
    <w:link w:val="152"/>
    <w:qFormat/>
    <w:uiPriority w:val="0"/>
    <w:pPr>
      <w:topLinePunct/>
      <w:adjustRightInd/>
      <w:spacing w:beforeLines="20" w:line="288" w:lineRule="auto"/>
      <w:ind w:firstLine="200" w:firstLineChars="200"/>
      <w:textAlignment w:val="auto"/>
    </w:pPr>
    <w:rPr>
      <w:b/>
      <w:bCs/>
      <w:color w:val="000000"/>
    </w:rPr>
  </w:style>
  <w:style w:type="table" w:styleId="38">
    <w:name w:val="Table Grid"/>
    <w:basedOn w:val="37"/>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qFormat/>
    <w:uiPriority w:val="22"/>
    <w:rPr>
      <w:b/>
      <w:bCs/>
    </w:rPr>
  </w:style>
  <w:style w:type="character" w:styleId="41">
    <w:name w:val="endnote reference"/>
    <w:semiHidden/>
    <w:qFormat/>
    <w:uiPriority w:val="0"/>
    <w:rPr>
      <w:vertAlign w:val="superscript"/>
    </w:rPr>
  </w:style>
  <w:style w:type="character" w:styleId="42">
    <w:name w:val="page number"/>
    <w:qFormat/>
    <w:uiPriority w:val="0"/>
    <w:rPr>
      <w:rFonts w:ascii="Times New Roman" w:hAnsi="Times New Roman" w:eastAsia="宋体"/>
      <w:sz w:val="18"/>
    </w:rPr>
  </w:style>
  <w:style w:type="character" w:styleId="43">
    <w:name w:val="FollowedHyperlink"/>
    <w:qFormat/>
    <w:uiPriority w:val="0"/>
    <w:rPr>
      <w:color w:val="800080"/>
      <w:u w:val="single"/>
    </w:rPr>
  </w:style>
  <w:style w:type="character" w:styleId="44">
    <w:name w:val="Hyperlink"/>
    <w:qFormat/>
    <w:uiPriority w:val="99"/>
    <w:rPr>
      <w:color w:val="0000FF"/>
      <w:spacing w:val="0"/>
      <w:w w:val="100"/>
      <w:szCs w:val="21"/>
      <w:u w:val="single"/>
    </w:rPr>
  </w:style>
  <w:style w:type="character" w:styleId="45">
    <w:name w:val="annotation reference"/>
    <w:qFormat/>
    <w:uiPriority w:val="0"/>
    <w:rPr>
      <w:sz w:val="21"/>
      <w:szCs w:val="21"/>
    </w:rPr>
  </w:style>
  <w:style w:type="character" w:styleId="46">
    <w:name w:val="footnote reference"/>
    <w:semiHidden/>
    <w:qFormat/>
    <w:uiPriority w:val="0"/>
    <w:rPr>
      <w:vertAlign w:val="superscript"/>
    </w:rPr>
  </w:style>
  <w:style w:type="character" w:customStyle="1" w:styleId="47">
    <w:name w:val="段 Char"/>
    <w:link w:val="27"/>
    <w:qFormat/>
    <w:uiPriority w:val="0"/>
    <w:rPr>
      <w:rFonts w:ascii="宋体"/>
      <w:sz w:val="21"/>
      <w:lang w:val="en-US" w:eastAsia="zh-CN" w:bidi="ar-SA"/>
    </w:rPr>
  </w:style>
  <w:style w:type="paragraph" w:customStyle="1" w:styleId="48">
    <w:name w:val="一级条标题"/>
    <w:next w:val="27"/>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9">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0">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1">
    <w:name w:val="章标题"/>
    <w:next w:val="27"/>
    <w:qFormat/>
    <w:uiPriority w:val="0"/>
    <w:pPr>
      <w:numPr>
        <w:ilvl w:val="0"/>
        <w:numId w:val="3"/>
      </w:numPr>
      <w:spacing w:before="312" w:beforeLines="100" w:after="312" w:afterLines="100"/>
      <w:ind w:left="0"/>
      <w:jc w:val="both"/>
      <w:outlineLvl w:val="1"/>
    </w:pPr>
    <w:rPr>
      <w:rFonts w:ascii="黑体" w:hAnsi="Times New Roman" w:eastAsia="黑体" w:cs="Times New Roman"/>
      <w:sz w:val="21"/>
      <w:lang w:val="en-US" w:eastAsia="zh-CN" w:bidi="ar-SA"/>
    </w:rPr>
  </w:style>
  <w:style w:type="paragraph" w:customStyle="1" w:styleId="52">
    <w:name w:val="二级条标题"/>
    <w:basedOn w:val="48"/>
    <w:next w:val="27"/>
    <w:qFormat/>
    <w:uiPriority w:val="0"/>
    <w:pPr>
      <w:numPr>
        <w:ilvl w:val="2"/>
      </w:numPr>
      <w:spacing w:before="50" w:after="50"/>
      <w:outlineLvl w:val="3"/>
    </w:pPr>
  </w:style>
  <w:style w:type="paragraph" w:customStyle="1" w:styleId="53">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4">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55">
    <w:name w:val="列项●（二级）"/>
    <w:qFormat/>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56">
    <w:name w:val="目次、标准名称标题"/>
    <w:basedOn w:val="1"/>
    <w:next w:val="2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7">
    <w:name w:val="三级条标题"/>
    <w:basedOn w:val="52"/>
    <w:next w:val="27"/>
    <w:qFormat/>
    <w:uiPriority w:val="0"/>
    <w:pPr>
      <w:numPr>
        <w:ilvl w:val="0"/>
        <w:numId w:val="0"/>
      </w:numPr>
      <w:outlineLvl w:val="4"/>
    </w:pPr>
  </w:style>
  <w:style w:type="paragraph" w:customStyle="1" w:styleId="58">
    <w:name w:val="示例"/>
    <w:next w:val="59"/>
    <w:qFormat/>
    <w:uiPriority w:val="0"/>
    <w:pPr>
      <w:widowControl w:val="0"/>
      <w:numPr>
        <w:ilvl w:val="0"/>
        <w:numId w:val="1"/>
      </w:numPr>
      <w:jc w:val="both"/>
    </w:pPr>
    <w:rPr>
      <w:rFonts w:ascii="宋体" w:hAnsi="Times New Roman" w:eastAsia="宋体" w:cs="Times New Roman"/>
      <w:sz w:val="18"/>
      <w:szCs w:val="18"/>
      <w:lang w:val="en-US" w:eastAsia="zh-CN" w:bidi="ar-SA"/>
    </w:rPr>
  </w:style>
  <w:style w:type="paragraph" w:customStyle="1" w:styleId="59">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0">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61">
    <w:name w:val="四级条标题"/>
    <w:basedOn w:val="57"/>
    <w:next w:val="27"/>
    <w:qFormat/>
    <w:uiPriority w:val="0"/>
    <w:pPr>
      <w:numPr>
        <w:ilvl w:val="4"/>
        <w:numId w:val="3"/>
      </w:numPr>
      <w:outlineLvl w:val="5"/>
    </w:pPr>
  </w:style>
  <w:style w:type="paragraph" w:customStyle="1" w:styleId="62">
    <w:name w:val="五级条标题"/>
    <w:basedOn w:val="61"/>
    <w:next w:val="27"/>
    <w:qFormat/>
    <w:uiPriority w:val="0"/>
    <w:pPr>
      <w:numPr>
        <w:ilvl w:val="5"/>
      </w:numPr>
      <w:outlineLvl w:val="6"/>
    </w:pPr>
  </w:style>
  <w:style w:type="paragraph" w:customStyle="1" w:styleId="63">
    <w:name w:val="注："/>
    <w:next w:val="27"/>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4">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5">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6">
    <w:name w:val="列项◆（三级）"/>
    <w:basedOn w:val="1"/>
    <w:qFormat/>
    <w:uiPriority w:val="0"/>
    <w:pPr>
      <w:numPr>
        <w:ilvl w:val="2"/>
        <w:numId w:val="4"/>
      </w:numPr>
    </w:pPr>
    <w:rPr>
      <w:rFonts w:ascii="宋体"/>
      <w:szCs w:val="21"/>
    </w:rPr>
  </w:style>
  <w:style w:type="paragraph" w:customStyle="1" w:styleId="67">
    <w:name w:val="编号列项（三级）"/>
    <w:qFormat/>
    <w:uiPriority w:val="0"/>
    <w:rPr>
      <w:rFonts w:ascii="宋体" w:hAnsi="Times New Roman" w:eastAsia="宋体" w:cs="Times New Roman"/>
      <w:sz w:val="21"/>
      <w:lang w:val="en-US" w:eastAsia="zh-CN" w:bidi="ar-SA"/>
    </w:rPr>
  </w:style>
  <w:style w:type="paragraph" w:customStyle="1" w:styleId="68">
    <w:name w:val="示例×："/>
    <w:basedOn w:val="51"/>
    <w:qFormat/>
    <w:uiPriority w:val="0"/>
    <w:pPr>
      <w:numPr>
        <w:numId w:val="8"/>
      </w:numPr>
      <w:spacing w:before="0" w:beforeLines="0" w:after="0" w:afterLines="0"/>
      <w:outlineLvl w:val="9"/>
    </w:pPr>
    <w:rPr>
      <w:rFonts w:ascii="宋体" w:eastAsia="宋体"/>
      <w:sz w:val="18"/>
      <w:szCs w:val="18"/>
    </w:rPr>
  </w:style>
  <w:style w:type="paragraph" w:customStyle="1" w:styleId="69">
    <w:name w:val="二级无"/>
    <w:basedOn w:val="52"/>
    <w:qFormat/>
    <w:uiPriority w:val="0"/>
    <w:pPr>
      <w:spacing w:before="0" w:beforeLines="0" w:after="0" w:afterLines="0"/>
      <w:ind w:left="0"/>
    </w:pPr>
    <w:rPr>
      <w:rFonts w:ascii="宋体" w:eastAsia="宋体"/>
    </w:rPr>
  </w:style>
  <w:style w:type="paragraph" w:customStyle="1" w:styleId="70">
    <w:name w:val="注：（正文）"/>
    <w:basedOn w:val="63"/>
    <w:next w:val="27"/>
    <w:qFormat/>
    <w:uiPriority w:val="0"/>
    <w:pPr>
      <w:numPr>
        <w:ilvl w:val="0"/>
        <w:numId w:val="9"/>
      </w:numPr>
    </w:pPr>
  </w:style>
  <w:style w:type="paragraph" w:customStyle="1" w:styleId="71">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7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5">
    <w:name w:val="标准书眉_偶数页"/>
    <w:basedOn w:val="50"/>
    <w:next w:val="1"/>
    <w:qFormat/>
    <w:uiPriority w:val="0"/>
    <w:pPr>
      <w:jc w:val="left"/>
    </w:pPr>
  </w:style>
  <w:style w:type="paragraph" w:customStyle="1" w:styleId="76">
    <w:name w:val="标准书眉一"/>
    <w:qFormat/>
    <w:uiPriority w:val="0"/>
    <w:pPr>
      <w:jc w:val="both"/>
    </w:pPr>
    <w:rPr>
      <w:rFonts w:ascii="Times New Roman" w:hAnsi="Times New Roman" w:eastAsia="宋体" w:cs="Times New Roman"/>
      <w:lang w:val="en-US" w:eastAsia="zh-CN" w:bidi="ar-SA"/>
    </w:rPr>
  </w:style>
  <w:style w:type="paragraph" w:customStyle="1" w:styleId="77">
    <w:name w:val="参考文献"/>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8">
    <w:name w:val="参考文献、索引标题"/>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9">
    <w:name w:val="发布"/>
    <w:qFormat/>
    <w:uiPriority w:val="0"/>
    <w:rPr>
      <w:rFonts w:ascii="黑体" w:eastAsia="黑体"/>
      <w:spacing w:val="85"/>
      <w:w w:val="100"/>
      <w:position w:val="3"/>
      <w:sz w:val="28"/>
      <w:szCs w:val="28"/>
    </w:rPr>
  </w:style>
  <w:style w:type="paragraph" w:customStyle="1" w:styleId="80">
    <w:name w:val="发布部门"/>
    <w:next w:val="27"/>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5">
    <w:name w:val="封面标准英文名称"/>
    <w:basedOn w:val="84"/>
    <w:qFormat/>
    <w:uiPriority w:val="0"/>
    <w:pPr>
      <w:framePr w:wrap="around"/>
      <w:spacing w:before="370" w:line="400" w:lineRule="exact"/>
    </w:pPr>
    <w:rPr>
      <w:rFonts w:ascii="Times New Roman"/>
      <w:sz w:val="28"/>
      <w:szCs w:val="28"/>
    </w:rPr>
  </w:style>
  <w:style w:type="paragraph" w:customStyle="1" w:styleId="86">
    <w:name w:val="封面一致性程度标识"/>
    <w:basedOn w:val="85"/>
    <w:qFormat/>
    <w:uiPriority w:val="0"/>
    <w:pPr>
      <w:framePr w:wrap="around"/>
      <w:spacing w:before="440"/>
    </w:pPr>
    <w:rPr>
      <w:rFonts w:ascii="宋体" w:eastAsia="宋体"/>
    </w:rPr>
  </w:style>
  <w:style w:type="paragraph" w:customStyle="1" w:styleId="87">
    <w:name w:val="封面标准文稿类别"/>
    <w:basedOn w:val="86"/>
    <w:qFormat/>
    <w:uiPriority w:val="0"/>
    <w:pPr>
      <w:framePr w:wrap="around"/>
      <w:spacing w:after="160" w:line="240" w:lineRule="auto"/>
    </w:pPr>
    <w:rPr>
      <w:sz w:val="24"/>
    </w:rPr>
  </w:style>
  <w:style w:type="paragraph" w:customStyle="1" w:styleId="88">
    <w:name w:val="封面标准文稿编辑信息"/>
    <w:basedOn w:val="87"/>
    <w:qFormat/>
    <w:uiPriority w:val="0"/>
    <w:pPr>
      <w:framePr w:wrap="around"/>
      <w:spacing w:before="180" w:line="180" w:lineRule="exact"/>
    </w:pPr>
    <w:rPr>
      <w:sz w:val="21"/>
    </w:rPr>
  </w:style>
  <w:style w:type="paragraph" w:customStyle="1" w:styleId="89">
    <w:name w:val="封面正文"/>
    <w:qFormat/>
    <w:uiPriority w:val="0"/>
    <w:pPr>
      <w:jc w:val="both"/>
    </w:pPr>
    <w:rPr>
      <w:rFonts w:ascii="Times New Roman" w:hAnsi="Times New Roman" w:eastAsia="宋体" w:cs="Times New Roman"/>
      <w:lang w:val="en-US" w:eastAsia="zh-CN" w:bidi="ar-SA"/>
    </w:rPr>
  </w:style>
  <w:style w:type="paragraph" w:customStyle="1" w:styleId="90">
    <w:name w:val="附录标识"/>
    <w:basedOn w:val="1"/>
    <w:next w:val="27"/>
    <w:qFormat/>
    <w:uiPriority w:val="0"/>
    <w:pPr>
      <w:keepNext/>
      <w:widowControl/>
      <w:numPr>
        <w:ilvl w:val="0"/>
        <w:numId w:val="11"/>
      </w:numPr>
      <w:shd w:val="clear" w:color="FFFFFF" w:fill="FFFFFF"/>
      <w:tabs>
        <w:tab w:val="left" w:pos="6405"/>
      </w:tabs>
      <w:spacing w:before="640" w:after="280"/>
      <w:jc w:val="center"/>
      <w:outlineLvl w:val="0"/>
    </w:pPr>
    <w:rPr>
      <w:rFonts w:ascii="黑体" w:eastAsia="黑体"/>
      <w:kern w:val="0"/>
      <w:szCs w:val="20"/>
    </w:rPr>
  </w:style>
  <w:style w:type="paragraph" w:customStyle="1" w:styleId="91">
    <w:name w:val="附录标题"/>
    <w:basedOn w:val="27"/>
    <w:next w:val="27"/>
    <w:qFormat/>
    <w:uiPriority w:val="0"/>
    <w:pPr>
      <w:ind w:firstLine="0" w:firstLineChars="0"/>
      <w:jc w:val="center"/>
    </w:pPr>
    <w:rPr>
      <w:rFonts w:ascii="黑体" w:eastAsia="黑体"/>
    </w:rPr>
  </w:style>
  <w:style w:type="paragraph" w:customStyle="1" w:styleId="92">
    <w:name w:val="附录表标号"/>
    <w:basedOn w:val="1"/>
    <w:next w:val="27"/>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93">
    <w:name w:val="附录表标题"/>
    <w:basedOn w:val="1"/>
    <w:next w:val="27"/>
    <w:qFormat/>
    <w:uiPriority w:val="0"/>
    <w:pPr>
      <w:numPr>
        <w:ilvl w:val="1"/>
        <w:numId w:val="12"/>
      </w:numPr>
      <w:tabs>
        <w:tab w:val="left" w:pos="180"/>
      </w:tabs>
      <w:spacing w:before="50" w:beforeLines="50" w:after="50" w:afterLines="50"/>
      <w:ind w:left="0" w:firstLine="0"/>
      <w:jc w:val="center"/>
    </w:pPr>
    <w:rPr>
      <w:rFonts w:ascii="黑体" w:eastAsia="黑体"/>
      <w:szCs w:val="21"/>
    </w:rPr>
  </w:style>
  <w:style w:type="paragraph" w:customStyle="1" w:styleId="94">
    <w:name w:val="附录二级条标题"/>
    <w:basedOn w:val="1"/>
    <w:next w:val="27"/>
    <w:qFormat/>
    <w:uiPriority w:val="0"/>
    <w:pPr>
      <w:widowControl/>
      <w:numPr>
        <w:ilvl w:val="3"/>
        <w:numId w:val="11"/>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95">
    <w:name w:val="附录二级无"/>
    <w:basedOn w:val="94"/>
    <w:qFormat/>
    <w:uiPriority w:val="0"/>
    <w:pPr>
      <w:tabs>
        <w:tab w:val="clear" w:pos="360"/>
      </w:tabs>
      <w:spacing w:before="0" w:beforeLines="0" w:after="0" w:afterLines="0"/>
    </w:pPr>
    <w:rPr>
      <w:rFonts w:ascii="宋体" w:eastAsia="宋体"/>
      <w:szCs w:val="21"/>
    </w:rPr>
  </w:style>
  <w:style w:type="paragraph" w:customStyle="1" w:styleId="96">
    <w:name w:val="附录公式"/>
    <w:basedOn w:val="27"/>
    <w:next w:val="27"/>
    <w:link w:val="97"/>
    <w:qFormat/>
    <w:uiPriority w:val="0"/>
  </w:style>
  <w:style w:type="character" w:customStyle="1" w:styleId="97">
    <w:name w:val="附录公式 Char"/>
    <w:basedOn w:val="47"/>
    <w:link w:val="96"/>
    <w:qFormat/>
    <w:uiPriority w:val="0"/>
    <w:rPr>
      <w:rFonts w:ascii="宋体"/>
      <w:sz w:val="21"/>
      <w:lang w:val="en-US" w:eastAsia="zh-CN" w:bidi="ar-SA"/>
    </w:rPr>
  </w:style>
  <w:style w:type="paragraph" w:customStyle="1" w:styleId="98">
    <w:name w:val="附录公式编号制表符"/>
    <w:basedOn w:val="1"/>
    <w:next w:val="27"/>
    <w:qFormat/>
    <w:uiPriority w:val="0"/>
    <w:pPr>
      <w:widowControl/>
      <w:tabs>
        <w:tab w:val="center" w:pos="4201"/>
        <w:tab w:val="right" w:leader="dot" w:pos="9298"/>
      </w:tabs>
      <w:autoSpaceDE w:val="0"/>
      <w:autoSpaceDN w:val="0"/>
    </w:pPr>
    <w:rPr>
      <w:rFonts w:ascii="宋体"/>
      <w:kern w:val="0"/>
      <w:szCs w:val="20"/>
    </w:rPr>
  </w:style>
  <w:style w:type="paragraph" w:customStyle="1" w:styleId="99">
    <w:name w:val="附录三级条标题"/>
    <w:basedOn w:val="94"/>
    <w:next w:val="27"/>
    <w:qFormat/>
    <w:uiPriority w:val="0"/>
    <w:pPr>
      <w:numPr>
        <w:ilvl w:val="4"/>
      </w:numPr>
      <w:outlineLvl w:val="4"/>
    </w:pPr>
  </w:style>
  <w:style w:type="paragraph" w:customStyle="1" w:styleId="100">
    <w:name w:val="附录三级无"/>
    <w:basedOn w:val="99"/>
    <w:qFormat/>
    <w:uiPriority w:val="0"/>
    <w:pPr>
      <w:tabs>
        <w:tab w:val="clear" w:pos="360"/>
      </w:tabs>
      <w:spacing w:before="0" w:beforeLines="0" w:after="0" w:afterLines="0"/>
    </w:pPr>
    <w:rPr>
      <w:rFonts w:ascii="宋体" w:eastAsia="宋体"/>
      <w:szCs w:val="21"/>
    </w:rPr>
  </w:style>
  <w:style w:type="paragraph" w:customStyle="1" w:styleId="101">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102">
    <w:name w:val="附录四级条标题"/>
    <w:basedOn w:val="99"/>
    <w:next w:val="27"/>
    <w:qFormat/>
    <w:uiPriority w:val="0"/>
    <w:pPr>
      <w:numPr>
        <w:ilvl w:val="5"/>
      </w:numPr>
      <w:outlineLvl w:val="5"/>
    </w:pPr>
  </w:style>
  <w:style w:type="paragraph" w:customStyle="1" w:styleId="103">
    <w:name w:val="附录四级无"/>
    <w:basedOn w:val="102"/>
    <w:qFormat/>
    <w:uiPriority w:val="0"/>
    <w:pPr>
      <w:tabs>
        <w:tab w:val="clear" w:pos="360"/>
      </w:tabs>
      <w:spacing w:before="0" w:beforeLines="0" w:after="0" w:afterLines="0"/>
    </w:pPr>
    <w:rPr>
      <w:rFonts w:ascii="宋体" w:eastAsia="宋体"/>
      <w:szCs w:val="21"/>
    </w:rPr>
  </w:style>
  <w:style w:type="paragraph" w:customStyle="1" w:styleId="104">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05">
    <w:name w:val="附录图标题"/>
    <w:basedOn w:val="1"/>
    <w:next w:val="27"/>
    <w:qFormat/>
    <w:uiPriority w:val="0"/>
    <w:pPr>
      <w:numPr>
        <w:ilvl w:val="1"/>
        <w:numId w:val="14"/>
      </w:numPr>
      <w:tabs>
        <w:tab w:val="left" w:pos="363"/>
      </w:tabs>
      <w:spacing w:before="50" w:beforeLines="50" w:after="50" w:afterLines="50"/>
      <w:ind w:left="0" w:firstLine="0"/>
      <w:jc w:val="center"/>
    </w:pPr>
    <w:rPr>
      <w:rFonts w:ascii="黑体" w:eastAsia="黑体"/>
      <w:szCs w:val="21"/>
    </w:rPr>
  </w:style>
  <w:style w:type="paragraph" w:customStyle="1" w:styleId="106">
    <w:name w:val="附录五级条标题"/>
    <w:basedOn w:val="102"/>
    <w:next w:val="27"/>
    <w:qFormat/>
    <w:uiPriority w:val="0"/>
    <w:pPr>
      <w:numPr>
        <w:ilvl w:val="6"/>
      </w:numPr>
      <w:outlineLvl w:val="6"/>
    </w:pPr>
  </w:style>
  <w:style w:type="paragraph" w:customStyle="1" w:styleId="107">
    <w:name w:val="附录五级无"/>
    <w:basedOn w:val="106"/>
    <w:qFormat/>
    <w:uiPriority w:val="0"/>
    <w:pPr>
      <w:tabs>
        <w:tab w:val="clear" w:pos="360"/>
      </w:tabs>
      <w:spacing w:before="0" w:beforeLines="0" w:after="0" w:afterLines="0"/>
    </w:pPr>
    <w:rPr>
      <w:rFonts w:ascii="宋体" w:eastAsia="宋体"/>
      <w:szCs w:val="21"/>
    </w:rPr>
  </w:style>
  <w:style w:type="paragraph" w:customStyle="1" w:styleId="108">
    <w:name w:val="附录章标题"/>
    <w:next w:val="27"/>
    <w:qFormat/>
    <w:uiPriority w:val="0"/>
    <w:pPr>
      <w:numPr>
        <w:ilvl w:val="1"/>
        <w:numId w:val="11"/>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9">
    <w:name w:val="附录一级条标题"/>
    <w:basedOn w:val="108"/>
    <w:next w:val="27"/>
    <w:qFormat/>
    <w:uiPriority w:val="0"/>
    <w:pPr>
      <w:numPr>
        <w:ilvl w:val="2"/>
      </w:numPr>
      <w:tabs>
        <w:tab w:val="left" w:pos="360"/>
      </w:tabs>
      <w:autoSpaceDN w:val="0"/>
      <w:spacing w:before="50" w:beforeLines="50" w:after="50" w:afterLines="50"/>
      <w:outlineLvl w:val="2"/>
    </w:pPr>
  </w:style>
  <w:style w:type="paragraph" w:customStyle="1" w:styleId="110">
    <w:name w:val="附录一级无"/>
    <w:basedOn w:val="109"/>
    <w:qFormat/>
    <w:uiPriority w:val="0"/>
    <w:pPr>
      <w:tabs>
        <w:tab w:val="clear" w:pos="360"/>
      </w:tabs>
      <w:spacing w:before="0" w:beforeLines="0" w:after="0" w:afterLines="0"/>
    </w:pPr>
    <w:rPr>
      <w:rFonts w:ascii="宋体" w:eastAsia="宋体"/>
      <w:szCs w:val="21"/>
    </w:rPr>
  </w:style>
  <w:style w:type="paragraph" w:customStyle="1" w:styleId="111">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12">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3">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5">
    <w:name w:val="其他标准标志"/>
    <w:basedOn w:val="72"/>
    <w:qFormat/>
    <w:uiPriority w:val="0"/>
    <w:pPr>
      <w:framePr w:w="6101" w:wrap="around" w:vAnchor="page" w:hAnchor="page" w:x="4673" w:y="942"/>
    </w:pPr>
    <w:rPr>
      <w:w w:val="130"/>
    </w:rPr>
  </w:style>
  <w:style w:type="paragraph" w:customStyle="1" w:styleId="11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7">
    <w:name w:val="其他发布部门"/>
    <w:basedOn w:val="80"/>
    <w:qFormat/>
    <w:uiPriority w:val="0"/>
    <w:pPr>
      <w:framePr w:wrap="around" w:y="15310"/>
      <w:spacing w:line="0" w:lineRule="atLeast"/>
    </w:pPr>
    <w:rPr>
      <w:rFonts w:ascii="黑体" w:eastAsia="黑体"/>
      <w:b w:val="0"/>
    </w:rPr>
  </w:style>
  <w:style w:type="paragraph" w:customStyle="1" w:styleId="118">
    <w:name w:val="前言、引言标题"/>
    <w:next w:val="27"/>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9">
    <w:name w:val="三级无"/>
    <w:basedOn w:val="57"/>
    <w:qFormat/>
    <w:uiPriority w:val="0"/>
    <w:pPr>
      <w:spacing w:before="0" w:beforeLines="0" w:after="0" w:afterLines="0"/>
    </w:pPr>
    <w:rPr>
      <w:rFonts w:ascii="宋体" w:eastAsia="宋体"/>
    </w:rPr>
  </w:style>
  <w:style w:type="paragraph" w:customStyle="1" w:styleId="120">
    <w:name w:val="实施日期"/>
    <w:basedOn w:val="81"/>
    <w:qFormat/>
    <w:uiPriority w:val="0"/>
    <w:pPr>
      <w:framePr w:wrap="around" w:vAnchor="page" w:hAnchor="text"/>
      <w:jc w:val="right"/>
    </w:pPr>
  </w:style>
  <w:style w:type="paragraph" w:customStyle="1" w:styleId="121">
    <w:name w:val="示例后文字"/>
    <w:basedOn w:val="27"/>
    <w:next w:val="27"/>
    <w:qFormat/>
    <w:uiPriority w:val="0"/>
    <w:pPr>
      <w:ind w:firstLine="360"/>
    </w:pPr>
    <w:rPr>
      <w:sz w:val="18"/>
    </w:rPr>
  </w:style>
  <w:style w:type="paragraph" w:customStyle="1" w:styleId="122">
    <w:name w:val="首示例"/>
    <w:next w:val="27"/>
    <w:link w:val="123"/>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23">
    <w:name w:val="首示例 Char"/>
    <w:link w:val="122"/>
    <w:qFormat/>
    <w:uiPriority w:val="0"/>
    <w:rPr>
      <w:rFonts w:ascii="宋体" w:hAnsi="宋体"/>
      <w:kern w:val="2"/>
      <w:sz w:val="18"/>
      <w:szCs w:val="18"/>
      <w:lang w:val="en-US" w:eastAsia="zh-CN" w:bidi="ar-SA"/>
    </w:rPr>
  </w:style>
  <w:style w:type="paragraph" w:customStyle="1" w:styleId="124">
    <w:name w:val="四级无"/>
    <w:basedOn w:val="61"/>
    <w:qFormat/>
    <w:uiPriority w:val="0"/>
    <w:pPr>
      <w:spacing w:before="0" w:beforeLines="0" w:after="0" w:afterLines="0"/>
    </w:pPr>
    <w:rPr>
      <w:rFonts w:ascii="宋体" w:eastAsia="宋体"/>
    </w:rPr>
  </w:style>
  <w:style w:type="paragraph" w:customStyle="1" w:styleId="125">
    <w:name w:val="条文脚注"/>
    <w:basedOn w:val="28"/>
    <w:qFormat/>
    <w:uiPriority w:val="0"/>
    <w:pPr>
      <w:numPr>
        <w:numId w:val="0"/>
      </w:numPr>
      <w:jc w:val="both"/>
    </w:pPr>
  </w:style>
  <w:style w:type="paragraph" w:customStyle="1" w:styleId="126">
    <w:name w:val="图标脚注说明"/>
    <w:basedOn w:val="27"/>
    <w:qFormat/>
    <w:uiPriority w:val="0"/>
    <w:pPr>
      <w:ind w:left="840" w:hanging="420" w:firstLineChars="0"/>
    </w:pPr>
    <w:rPr>
      <w:sz w:val="18"/>
      <w:szCs w:val="18"/>
    </w:rPr>
  </w:style>
  <w:style w:type="paragraph" w:customStyle="1" w:styleId="127">
    <w:name w:val="图表脚注说明"/>
    <w:basedOn w:val="1"/>
    <w:qFormat/>
    <w:uiPriority w:val="0"/>
    <w:pPr>
      <w:numPr>
        <w:ilvl w:val="0"/>
        <w:numId w:val="16"/>
      </w:numPr>
    </w:pPr>
    <w:rPr>
      <w:rFonts w:ascii="宋体"/>
      <w:sz w:val="18"/>
      <w:szCs w:val="18"/>
    </w:rPr>
  </w:style>
  <w:style w:type="paragraph" w:customStyle="1" w:styleId="128">
    <w:name w:val="图的脚注"/>
    <w:next w:val="27"/>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0">
    <w:name w:val="五级无"/>
    <w:basedOn w:val="62"/>
    <w:qFormat/>
    <w:uiPriority w:val="0"/>
    <w:pPr>
      <w:spacing w:before="0" w:beforeLines="0" w:after="0" w:afterLines="0"/>
    </w:pPr>
    <w:rPr>
      <w:rFonts w:ascii="宋体" w:eastAsia="宋体"/>
    </w:rPr>
  </w:style>
  <w:style w:type="paragraph" w:customStyle="1" w:styleId="131">
    <w:name w:val="一级无"/>
    <w:basedOn w:val="48"/>
    <w:qFormat/>
    <w:uiPriority w:val="0"/>
    <w:pPr>
      <w:spacing w:before="0" w:beforeLines="0" w:after="0" w:afterLines="0"/>
    </w:pPr>
    <w:rPr>
      <w:rFonts w:ascii="宋体" w:eastAsia="宋体"/>
    </w:rPr>
  </w:style>
  <w:style w:type="paragraph" w:customStyle="1" w:styleId="132">
    <w:name w:val="正文表标题"/>
    <w:next w:val="27"/>
    <w:qFormat/>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3">
    <w:name w:val="正文公式编号制表符"/>
    <w:basedOn w:val="27"/>
    <w:next w:val="27"/>
    <w:qFormat/>
    <w:uiPriority w:val="0"/>
    <w:pPr>
      <w:ind w:firstLine="0" w:firstLineChars="0"/>
    </w:pPr>
  </w:style>
  <w:style w:type="paragraph" w:customStyle="1" w:styleId="134">
    <w:name w:val="正文图标题"/>
    <w:next w:val="27"/>
    <w:qFormat/>
    <w:uiPriority w:val="0"/>
    <w:pPr>
      <w:numPr>
        <w:ilvl w:val="0"/>
        <w:numId w:val="18"/>
      </w:numPr>
      <w:spacing w:before="156" w:beforeLines="50" w:after="156" w:afterLines="50"/>
      <w:jc w:val="center"/>
    </w:pPr>
    <w:rPr>
      <w:rFonts w:ascii="黑体" w:hAnsi="Times New Roman" w:eastAsia="黑体" w:cs="Times New Roman"/>
      <w:sz w:val="21"/>
      <w:lang w:val="en-US" w:eastAsia="zh-CN" w:bidi="ar-SA"/>
    </w:rPr>
  </w:style>
  <w:style w:type="paragraph" w:customStyle="1" w:styleId="135">
    <w:name w:val="终结线"/>
    <w:basedOn w:val="1"/>
    <w:qFormat/>
    <w:uiPriority w:val="0"/>
    <w:pPr>
      <w:framePr w:hSpace="181" w:vSpace="181" w:wrap="around" w:vAnchor="text" w:hAnchor="margin" w:xAlign="center" w:y="285"/>
    </w:pPr>
  </w:style>
  <w:style w:type="paragraph" w:customStyle="1" w:styleId="136">
    <w:name w:val="其他发布日期"/>
    <w:basedOn w:val="81"/>
    <w:qFormat/>
    <w:uiPriority w:val="0"/>
    <w:pPr>
      <w:framePr w:wrap="around" w:vAnchor="page" w:hAnchor="text" w:x="1419"/>
    </w:pPr>
  </w:style>
  <w:style w:type="paragraph" w:customStyle="1" w:styleId="137">
    <w:name w:val="其他实施日期"/>
    <w:basedOn w:val="120"/>
    <w:qFormat/>
    <w:uiPriority w:val="0"/>
    <w:pPr>
      <w:framePr w:wrap="around"/>
    </w:pPr>
  </w:style>
  <w:style w:type="paragraph" w:customStyle="1" w:styleId="138">
    <w:name w:val="封面标准名称2"/>
    <w:basedOn w:val="84"/>
    <w:qFormat/>
    <w:uiPriority w:val="0"/>
    <w:pPr>
      <w:framePr w:wrap="around" w:y="4469"/>
      <w:spacing w:before="630" w:beforeLines="630"/>
    </w:pPr>
  </w:style>
  <w:style w:type="paragraph" w:customStyle="1" w:styleId="139">
    <w:name w:val="封面标准英文名称2"/>
    <w:basedOn w:val="85"/>
    <w:qFormat/>
    <w:uiPriority w:val="0"/>
    <w:pPr>
      <w:framePr w:wrap="around" w:y="4469"/>
    </w:pPr>
  </w:style>
  <w:style w:type="paragraph" w:customStyle="1" w:styleId="140">
    <w:name w:val="封面一致性程度标识2"/>
    <w:basedOn w:val="86"/>
    <w:qFormat/>
    <w:uiPriority w:val="0"/>
    <w:pPr>
      <w:framePr w:wrap="around" w:y="4469"/>
    </w:pPr>
  </w:style>
  <w:style w:type="paragraph" w:customStyle="1" w:styleId="141">
    <w:name w:val="封面标准文稿类别2"/>
    <w:basedOn w:val="87"/>
    <w:qFormat/>
    <w:uiPriority w:val="0"/>
    <w:pPr>
      <w:framePr w:wrap="around" w:y="4469"/>
    </w:pPr>
  </w:style>
  <w:style w:type="paragraph" w:customStyle="1" w:styleId="142">
    <w:name w:val="封面标准文稿编辑信息2"/>
    <w:basedOn w:val="88"/>
    <w:qFormat/>
    <w:uiPriority w:val="0"/>
    <w:pPr>
      <w:framePr w:wrap="around" w:y="4469"/>
    </w:pPr>
  </w:style>
  <w:style w:type="paragraph" w:customStyle="1" w:styleId="143">
    <w:name w:val="字元 字元 Char Char Char Char Char Char Char"/>
    <w:basedOn w:val="1"/>
    <w:qFormat/>
    <w:uiPriority w:val="0"/>
    <w:rPr>
      <w:rFonts w:ascii="宋体"/>
      <w:sz w:val="24"/>
    </w:rPr>
  </w:style>
  <w:style w:type="character" w:customStyle="1" w:styleId="144">
    <w:name w:val="标题 1 字符"/>
    <w:link w:val="2"/>
    <w:qFormat/>
    <w:uiPriority w:val="0"/>
    <w:rPr>
      <w:b/>
      <w:bCs/>
      <w:kern w:val="44"/>
      <w:sz w:val="28"/>
      <w:szCs w:val="44"/>
      <w:lang w:val="zh-CN" w:eastAsia="zh-CN"/>
    </w:rPr>
  </w:style>
  <w:style w:type="character" w:customStyle="1" w:styleId="145">
    <w:name w:val="标题 2 字符"/>
    <w:link w:val="3"/>
    <w:qFormat/>
    <w:uiPriority w:val="0"/>
    <w:rPr>
      <w:rFonts w:ascii="Cambria" w:hAnsi="Cambria"/>
      <w:b/>
      <w:bCs/>
      <w:sz w:val="32"/>
      <w:szCs w:val="32"/>
      <w:lang w:val="zh-CN" w:eastAsia="zh-CN"/>
    </w:rPr>
  </w:style>
  <w:style w:type="character" w:customStyle="1" w:styleId="146">
    <w:name w:val="标题 3 字符"/>
    <w:link w:val="4"/>
    <w:qFormat/>
    <w:uiPriority w:val="0"/>
    <w:rPr>
      <w:b/>
      <w:color w:val="000000"/>
      <w:sz w:val="28"/>
      <w:szCs w:val="24"/>
      <w:lang w:val="zh-CN" w:eastAsia="zh-CN"/>
    </w:rPr>
  </w:style>
  <w:style w:type="character" w:customStyle="1" w:styleId="147">
    <w:name w:val="标题 4 字符"/>
    <w:link w:val="5"/>
    <w:qFormat/>
    <w:uiPriority w:val="0"/>
    <w:rPr>
      <w:b/>
      <w:bCs/>
      <w:color w:val="000000"/>
      <w:sz w:val="28"/>
      <w:szCs w:val="24"/>
      <w:lang w:val="zh-CN" w:eastAsia="zh-CN"/>
    </w:rPr>
  </w:style>
  <w:style w:type="paragraph" w:customStyle="1" w:styleId="148">
    <w:name w:val="振文"/>
    <w:basedOn w:val="1"/>
    <w:link w:val="149"/>
    <w:qFormat/>
    <w:uiPriority w:val="0"/>
    <w:pPr>
      <w:spacing w:line="480" w:lineRule="exact"/>
      <w:ind w:firstLine="480" w:firstLineChars="200"/>
    </w:pPr>
    <w:rPr>
      <w:rFonts w:ascii="宋体" w:hAnsi="宋体"/>
      <w:color w:val="000000"/>
      <w:sz w:val="24"/>
      <w:szCs w:val="28"/>
      <w:lang w:val="zh-CN"/>
    </w:rPr>
  </w:style>
  <w:style w:type="character" w:customStyle="1" w:styleId="149">
    <w:name w:val="振文 Char"/>
    <w:link w:val="148"/>
    <w:qFormat/>
    <w:uiPriority w:val="0"/>
    <w:rPr>
      <w:rFonts w:ascii="宋体" w:hAnsi="宋体"/>
      <w:color w:val="000000"/>
      <w:kern w:val="2"/>
      <w:sz w:val="24"/>
      <w:szCs w:val="28"/>
      <w:lang w:val="zh-CN" w:eastAsia="zh-CN"/>
    </w:rPr>
  </w:style>
  <w:style w:type="character" w:customStyle="1" w:styleId="150">
    <w:name w:val="文档结构图 字符"/>
    <w:link w:val="10"/>
    <w:semiHidden/>
    <w:qFormat/>
    <w:uiPriority w:val="99"/>
    <w:rPr>
      <w:kern w:val="2"/>
      <w:sz w:val="21"/>
      <w:szCs w:val="24"/>
      <w:shd w:val="clear" w:color="auto" w:fill="000080"/>
    </w:rPr>
  </w:style>
  <w:style w:type="character" w:customStyle="1" w:styleId="151">
    <w:name w:val="日期 Char1"/>
    <w:qFormat/>
    <w:uiPriority w:val="0"/>
    <w:rPr>
      <w:kern w:val="2"/>
      <w:sz w:val="21"/>
      <w:szCs w:val="24"/>
    </w:rPr>
  </w:style>
  <w:style w:type="character" w:customStyle="1" w:styleId="152">
    <w:name w:val="批注主题 字符"/>
    <w:link w:val="36"/>
    <w:qFormat/>
    <w:uiPriority w:val="0"/>
    <w:rPr>
      <w:rFonts w:ascii="Calibri" w:hAnsi="Calibri"/>
      <w:b/>
      <w:bCs/>
      <w:color w:val="000000"/>
      <w:sz w:val="24"/>
    </w:rPr>
  </w:style>
  <w:style w:type="character" w:customStyle="1" w:styleId="153">
    <w:name w:val="页眉 字符"/>
    <w:link w:val="22"/>
    <w:qFormat/>
    <w:uiPriority w:val="99"/>
    <w:rPr>
      <w:kern w:val="2"/>
      <w:sz w:val="18"/>
      <w:szCs w:val="18"/>
    </w:rPr>
  </w:style>
  <w:style w:type="character" w:customStyle="1" w:styleId="154">
    <w:name w:val="日期 字符"/>
    <w:link w:val="18"/>
    <w:qFormat/>
    <w:uiPriority w:val="99"/>
    <w:rPr>
      <w:szCs w:val="22"/>
    </w:rPr>
  </w:style>
  <w:style w:type="character" w:customStyle="1" w:styleId="155">
    <w:name w:val="页脚 字符"/>
    <w:link w:val="21"/>
    <w:qFormat/>
    <w:uiPriority w:val="0"/>
    <w:rPr>
      <w:kern w:val="2"/>
      <w:sz w:val="18"/>
      <w:szCs w:val="18"/>
    </w:rPr>
  </w:style>
  <w:style w:type="character" w:customStyle="1" w:styleId="156">
    <w:name w:val="批注文字 字符"/>
    <w:link w:val="11"/>
    <w:qFormat/>
    <w:uiPriority w:val="0"/>
    <w:rPr>
      <w:rFonts w:ascii="Calibri" w:hAnsi="Calibri"/>
      <w:sz w:val="24"/>
    </w:rPr>
  </w:style>
  <w:style w:type="character" w:customStyle="1" w:styleId="157">
    <w:name w:val="标题 字符"/>
    <w:link w:val="35"/>
    <w:qFormat/>
    <w:uiPriority w:val="0"/>
    <w:rPr>
      <w:rFonts w:ascii="Arial" w:hAnsi="Arial"/>
      <w:b/>
      <w:sz w:val="30"/>
    </w:rPr>
  </w:style>
  <w:style w:type="character" w:customStyle="1" w:styleId="158">
    <w:name w:val="批注框文本 字符"/>
    <w:link w:val="20"/>
    <w:qFormat/>
    <w:uiPriority w:val="0"/>
    <w:rPr>
      <w:rFonts w:ascii="Calibri" w:hAnsi="Calibri"/>
      <w:color w:val="000000"/>
      <w:sz w:val="18"/>
      <w:szCs w:val="18"/>
    </w:rPr>
  </w:style>
  <w:style w:type="character" w:customStyle="1" w:styleId="159">
    <w:name w:val="批注文字 Char1"/>
    <w:qFormat/>
    <w:uiPriority w:val="0"/>
    <w:rPr>
      <w:kern w:val="2"/>
      <w:sz w:val="21"/>
      <w:szCs w:val="24"/>
    </w:rPr>
  </w:style>
  <w:style w:type="character" w:customStyle="1" w:styleId="160">
    <w:name w:val="批注框文本 Char1"/>
    <w:qFormat/>
    <w:uiPriority w:val="0"/>
    <w:rPr>
      <w:kern w:val="2"/>
      <w:sz w:val="18"/>
      <w:szCs w:val="18"/>
    </w:rPr>
  </w:style>
  <w:style w:type="character" w:customStyle="1" w:styleId="161">
    <w:name w:val="批注主题 Char1"/>
    <w:qFormat/>
    <w:uiPriority w:val="0"/>
    <w:rPr>
      <w:b/>
      <w:bCs/>
      <w:kern w:val="2"/>
      <w:sz w:val="21"/>
      <w:szCs w:val="24"/>
    </w:rPr>
  </w:style>
  <w:style w:type="character" w:customStyle="1" w:styleId="162">
    <w:name w:val="日期 Char2"/>
    <w:qFormat/>
    <w:uiPriority w:val="0"/>
    <w:rPr>
      <w:kern w:val="2"/>
      <w:sz w:val="21"/>
      <w:szCs w:val="24"/>
    </w:rPr>
  </w:style>
  <w:style w:type="character" w:customStyle="1" w:styleId="163">
    <w:name w:val="标题 Char1"/>
    <w:qFormat/>
    <w:uiPriority w:val="0"/>
    <w:rPr>
      <w:rFonts w:ascii="Cambria" w:hAnsi="Cambria" w:cs="Times New Roman"/>
      <w:b/>
      <w:bCs/>
      <w:kern w:val="2"/>
      <w:sz w:val="32"/>
      <w:szCs w:val="32"/>
    </w:rPr>
  </w:style>
  <w:style w:type="paragraph" w:customStyle="1" w:styleId="164">
    <w:name w:val="网格型8-表格内容-左对齐"/>
    <w:basedOn w:val="1"/>
    <w:qFormat/>
    <w:uiPriority w:val="0"/>
    <w:pPr>
      <w:spacing w:line="288" w:lineRule="auto"/>
    </w:pPr>
    <w:rPr>
      <w:sz w:val="24"/>
      <w:szCs w:val="18"/>
    </w:rPr>
  </w:style>
  <w:style w:type="paragraph" w:styleId="165">
    <w:name w:val="List Paragraph"/>
    <w:basedOn w:val="1"/>
    <w:qFormat/>
    <w:uiPriority w:val="34"/>
    <w:pPr>
      <w:topLinePunct/>
      <w:spacing w:beforeLines="20" w:line="288" w:lineRule="auto"/>
      <w:ind w:firstLine="420" w:firstLineChars="200"/>
      <w:jc w:val="left"/>
    </w:pPr>
    <w:rPr>
      <w:rFonts w:ascii="Calibri" w:hAnsi="Calibri"/>
      <w:color w:val="000000"/>
      <w:sz w:val="24"/>
      <w:szCs w:val="21"/>
    </w:rPr>
  </w:style>
  <w:style w:type="paragraph" w:customStyle="1" w:styleId="166">
    <w:name w:val="样式 8 磅 加粗 左侧:  -0.01 厘米 段前: 0 磅 段后: 0 磅"/>
    <w:basedOn w:val="1"/>
    <w:qFormat/>
    <w:uiPriority w:val="0"/>
    <w:pPr>
      <w:widowControl/>
      <w:ind w:left="-6"/>
      <w:jc w:val="left"/>
    </w:pPr>
    <w:rPr>
      <w:rFonts w:ascii="Arial" w:hAnsi="Arial" w:cs="宋体"/>
      <w:bCs/>
      <w:kern w:val="0"/>
      <w:szCs w:val="20"/>
      <w:lang w:val="en-GB" w:eastAsia="en-US"/>
    </w:rPr>
  </w:style>
  <w:style w:type="paragraph" w:customStyle="1" w:styleId="167">
    <w:name w:val="_Style 12"/>
    <w:basedOn w:val="1"/>
    <w:qFormat/>
    <w:uiPriority w:val="34"/>
    <w:pPr>
      <w:ind w:firstLine="420" w:firstLineChars="200"/>
    </w:pPr>
    <w:rPr>
      <w:rFonts w:ascii="Calibri" w:hAnsi="Calibri"/>
      <w:sz w:val="24"/>
    </w:rPr>
  </w:style>
  <w:style w:type="paragraph" w:customStyle="1" w:styleId="168">
    <w:name w:val="网格型8-表格内容-居中"/>
    <w:basedOn w:val="1"/>
    <w:qFormat/>
    <w:uiPriority w:val="0"/>
    <w:pPr>
      <w:topLinePunct/>
      <w:spacing w:line="288" w:lineRule="auto"/>
      <w:jc w:val="center"/>
    </w:pPr>
    <w:rPr>
      <w:rFonts w:ascii="Calibri" w:hAnsi="Courier New" w:cs="Courier New"/>
      <w:color w:val="000000"/>
      <w:sz w:val="24"/>
      <w:szCs w:val="18"/>
    </w:rPr>
  </w:style>
  <w:style w:type="paragraph" w:customStyle="1" w:styleId="169">
    <w:name w:val="页脚格式"/>
    <w:basedOn w:val="1"/>
    <w:qFormat/>
    <w:uiPriority w:val="0"/>
    <w:pPr>
      <w:topLinePunct/>
      <w:spacing w:line="288" w:lineRule="auto"/>
      <w:jc w:val="left"/>
    </w:pPr>
    <w:rPr>
      <w:rFonts w:ascii="Calibri" w:hAnsi="Calibri"/>
      <w:color w:val="000000"/>
      <w:sz w:val="18"/>
      <w:szCs w:val="18"/>
    </w:rPr>
  </w:style>
  <w:style w:type="paragraph" w:customStyle="1" w:styleId="170">
    <w:name w:val="项目列表符号"/>
    <w:basedOn w:val="1"/>
    <w:qFormat/>
    <w:uiPriority w:val="0"/>
    <w:pPr>
      <w:numPr>
        <w:ilvl w:val="0"/>
        <w:numId w:val="19"/>
      </w:numPr>
      <w:tabs>
        <w:tab w:val="left" w:pos="397"/>
      </w:tabs>
      <w:topLinePunct/>
      <w:spacing w:beforeLines="20" w:line="288" w:lineRule="auto"/>
      <w:ind w:left="681" w:hanging="284"/>
      <w:jc w:val="left"/>
    </w:pPr>
    <w:rPr>
      <w:color w:val="000000"/>
      <w:sz w:val="24"/>
      <w:szCs w:val="21"/>
    </w:rPr>
  </w:style>
  <w:style w:type="paragraph" w:customStyle="1" w:styleId="171">
    <w:name w:val="StandardOhneEinzug"/>
    <w:basedOn w:val="1"/>
    <w:qFormat/>
    <w:uiPriority w:val="0"/>
    <w:pPr>
      <w:widowControl/>
      <w:tabs>
        <w:tab w:val="left" w:pos="4351"/>
      </w:tabs>
      <w:spacing w:after="240" w:line="288" w:lineRule="auto"/>
      <w:ind w:left="3969"/>
      <w:jc w:val="left"/>
    </w:pPr>
    <w:rPr>
      <w:rFonts w:ascii="Arial" w:hAnsi="Arial"/>
      <w:kern w:val="0"/>
      <w:sz w:val="22"/>
      <w:szCs w:val="20"/>
      <w:lang w:val="de-DE"/>
    </w:rPr>
  </w:style>
  <w:style w:type="paragraph" w:customStyle="1" w:styleId="17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73">
    <w:name w:val="表格文字"/>
    <w:basedOn w:val="1"/>
    <w:qFormat/>
    <w:uiPriority w:val="0"/>
    <w:pPr>
      <w:snapToGrid w:val="0"/>
      <w:jc w:val="center"/>
    </w:pPr>
    <w:rPr>
      <w:rFonts w:cs="宋体"/>
      <w:szCs w:val="20"/>
    </w:rPr>
  </w:style>
  <w:style w:type="paragraph" w:customStyle="1" w:styleId="174">
    <w:name w:val="列出段落1"/>
    <w:basedOn w:val="1"/>
    <w:qFormat/>
    <w:uiPriority w:val="34"/>
    <w:pPr>
      <w:ind w:firstLine="420" w:firstLineChars="200"/>
    </w:pPr>
  </w:style>
  <w:style w:type="paragraph" w:customStyle="1" w:styleId="175">
    <w:name w:val="联演正文"/>
    <w:basedOn w:val="1"/>
    <w:link w:val="176"/>
    <w:qFormat/>
    <w:uiPriority w:val="0"/>
    <w:pPr>
      <w:tabs>
        <w:tab w:val="left" w:pos="540"/>
        <w:tab w:val="left" w:pos="720"/>
      </w:tabs>
      <w:spacing w:line="360" w:lineRule="auto"/>
      <w:ind w:right="-147" w:rightChars="-70" w:firstLine="720"/>
      <w:jc w:val="left"/>
    </w:pPr>
    <w:rPr>
      <w:rFonts w:ascii="仿宋_GB2312" w:hAnsi="宋体" w:eastAsia="仿宋_GB2312"/>
      <w:sz w:val="28"/>
      <w:szCs w:val="28"/>
      <w:lang w:val="zh-CN"/>
    </w:rPr>
  </w:style>
  <w:style w:type="character" w:customStyle="1" w:styleId="176">
    <w:name w:val="联演正文 Char"/>
    <w:link w:val="175"/>
    <w:qFormat/>
    <w:uiPriority w:val="0"/>
    <w:rPr>
      <w:rFonts w:ascii="仿宋_GB2312" w:hAnsi="宋体" w:eastAsia="仿宋_GB2312"/>
      <w:kern w:val="2"/>
      <w:sz w:val="28"/>
      <w:szCs w:val="2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A50EB9-2976-4AD8-ABC5-2BE72B8F385E}">
  <ds:schemaRefs/>
</ds:datastoreItem>
</file>

<file path=docProps/app.xml><?xml version="1.0" encoding="utf-8"?>
<Properties xmlns="http://schemas.openxmlformats.org/officeDocument/2006/extended-properties" xmlns:vt="http://schemas.openxmlformats.org/officeDocument/2006/docPropsVTypes">
  <Template>Normal</Template>
  <Company>crec</Company>
  <Pages>25</Pages>
  <Words>12383</Words>
  <Characters>12785</Characters>
  <Lines>10</Lines>
  <Paragraphs>3</Paragraphs>
  <TotalTime>9</TotalTime>
  <ScaleCrop>false</ScaleCrop>
  <LinksUpToDate>false</LinksUpToDate>
  <CharactersWithSpaces>12922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2022-04-15T03:45:00Z</dcterms:created>
  <dc:creator>CNIS</dc:creator>
  <cp:lastModifiedBy>晨雨</cp:lastModifiedBy>
  <cp:lastPrinted>2021-06-30T06:13:00Z</cp:lastPrinted>
  <dcterms:modified xsi:type="dcterms:W3CDTF">2025-09-30T02:13:33Z</dcterms:modified>
  <dc:title>标准名称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253D760CBD364D21B57555B196CF0637_13</vt:lpwstr>
  </property>
  <property fmtid="{D5CDD505-2E9C-101B-9397-08002B2CF9AE}" pid="4" name="KSOTemplateDocerSaveRecord">
    <vt:lpwstr>eyJoZGlkIjoiMzEwNTM5NzYwMDRjMzkwZTVkZjY2ODkwMGIxNGU0OTUiLCJ1c2VySWQiOiI0MTY2NDYyOTYifQ==</vt:lpwstr>
  </property>
</Properties>
</file>